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CC79" w14:textId="77777777" w:rsidR="003F43F9" w:rsidRDefault="003F43F9" w:rsidP="003F43F9">
      <w:pPr>
        <w:spacing w:after="60"/>
        <w:jc w:val="center"/>
      </w:pPr>
      <w:r w:rsidRPr="00CB62F6">
        <w:rPr>
          <w:b/>
          <w:bCs/>
          <w:color w:val="000000"/>
          <w:sz w:val="34"/>
          <w:szCs w:val="34"/>
        </w:rPr>
        <w:t xml:space="preserve">Machine Learning Based Predictive Model for Urban </w:t>
      </w:r>
      <w:proofErr w:type="spellStart"/>
      <w:r w:rsidRPr="00CB62F6">
        <w:rPr>
          <w:b/>
          <w:bCs/>
          <w:color w:val="000000"/>
          <w:sz w:val="34"/>
          <w:szCs w:val="34"/>
        </w:rPr>
        <w:t>Livability</w:t>
      </w:r>
      <w:proofErr w:type="spellEnd"/>
      <w:r w:rsidRPr="00CB62F6">
        <w:rPr>
          <w:b/>
          <w:bCs/>
          <w:color w:val="000000"/>
          <w:sz w:val="34"/>
          <w:szCs w:val="34"/>
        </w:rPr>
        <w:t xml:space="preserve"> Using Environmental and Socioeconomic Indicators</w:t>
      </w:r>
    </w:p>
    <w:p w14:paraId="51BE7127" w14:textId="5370BF14" w:rsidR="006A2B62" w:rsidRDefault="002779FA">
      <w:pPr>
        <w:spacing w:after="40"/>
        <w:jc w:val="center"/>
      </w:pPr>
      <w:r>
        <w:t>Sagar Singh Bisht, Aakarsh Pab</w:t>
      </w:r>
      <w:r w:rsidR="003F43F9">
        <w:t>, Shuchi Mala</w:t>
      </w:r>
    </w:p>
    <w:p w14:paraId="1207CFF2" w14:textId="77777777" w:rsidR="006A2B62" w:rsidRDefault="002779FA">
      <w:pPr>
        <w:spacing w:after="160"/>
        <w:jc w:val="center"/>
      </w:pPr>
      <w:r>
        <w:rPr>
          <w:i/>
          <w:iCs/>
        </w:rPr>
        <w:t>Department of Computer Science &amp; Engineering, Amity School of Engineering &amp; Technology, Amity University, Noida, India</w:t>
      </w:r>
    </w:p>
    <w:p w14:paraId="50C1242C" w14:textId="77777777" w:rsidR="006A2B62" w:rsidRDefault="002779FA">
      <w:pPr>
        <w:spacing w:before="140" w:after="60"/>
      </w:pPr>
      <w:r>
        <w:rPr>
          <w:b/>
          <w:bCs/>
          <w:sz w:val="24"/>
          <w:szCs w:val="24"/>
        </w:rPr>
        <w:t>Research Summary</w:t>
      </w:r>
    </w:p>
    <w:p w14:paraId="1C957ABD" w14:textId="77777777" w:rsidR="006A2B62" w:rsidRDefault="002779FA">
      <w:pPr>
        <w:spacing w:after="80" w:line="276" w:lineRule="auto"/>
        <w:ind w:firstLine="480"/>
        <w:jc w:val="both"/>
      </w:pPr>
      <w:proofErr w:type="spellStart"/>
      <w:r>
        <w:t>CityMatch</w:t>
      </w:r>
      <w:proofErr w:type="spellEnd"/>
      <w:r>
        <w:t xml:space="preserve"> is a neighbourhood recommendation system for Delhi that integrates four heterogeneous data sources — TomTom real-time traffic (16 readings per locality over four days), CPCB seasonal PM2.5 indices, </w:t>
      </w:r>
      <w:proofErr w:type="spellStart"/>
      <w:r>
        <w:t>OSMnx</w:t>
      </w:r>
      <w:proofErr w:type="spellEnd"/>
      <w:r>
        <w:t xml:space="preserve">-derived amenity counts (1 km radius), and Kaggle 2BHK rental medians (5,902 listings) — into a unified machine learning pipeline. K-Means clustering (K=4, Silhouette Score=0.41) partitions 72 urban localities into four liveability tiers. A </w:t>
      </w:r>
      <w:proofErr w:type="gramStart"/>
      <w:r>
        <w:t>directionally-corrected</w:t>
      </w:r>
      <w:proofErr w:type="gramEnd"/>
      <w:r>
        <w:t xml:space="preserve"> weighted sum scoring engine ranks neighbour</w:t>
      </w:r>
      <w:r>
        <w:t xml:space="preserve">hoods against personalised user preferences, deployed via </w:t>
      </w:r>
      <w:proofErr w:type="spellStart"/>
      <w:r>
        <w:t>Streamlit</w:t>
      </w:r>
      <w:proofErr w:type="spellEnd"/>
      <w:r>
        <w:t>. Boundary-condition validation confirms scoring correctness across all three extreme test configurations [1].</w:t>
      </w:r>
    </w:p>
    <w:p w14:paraId="2D925477" w14:textId="77777777" w:rsidR="006A2B62" w:rsidRDefault="002779FA">
      <w:pPr>
        <w:spacing w:before="140" w:after="60"/>
      </w:pPr>
      <w:r>
        <w:rPr>
          <w:b/>
          <w:bCs/>
          <w:sz w:val="24"/>
          <w:szCs w:val="24"/>
        </w:rPr>
        <w:t>Objective of the Study</w:t>
      </w:r>
    </w:p>
    <w:p w14:paraId="61BF2EB9" w14:textId="77777777" w:rsidR="006A2B62" w:rsidRDefault="002779FA">
      <w:pPr>
        <w:spacing w:after="80" w:line="276" w:lineRule="auto"/>
        <w:ind w:firstLine="480"/>
        <w:jc w:val="both"/>
      </w:pPr>
      <w:r>
        <w:t>Urban relocation in rapidly growing Indian cities involves simultaneous evaluation of environmental quality, transport accessibility, and economic affordability — a multi-criteria decision problem for which no systematic, data-driven tool currently exists. Existing neighbourhood assessment frameworks either rely on survey data lacking temporal granularity [2], focus on Western cities with dissimilar monitoring infrastructure [3], or address single liveability dimensions in isolation. Li and Zhang [4] demons</w:t>
      </w:r>
      <w:r>
        <w:t xml:space="preserve">trated ML-based liveability indexing but without live API integration or deployment. He and Gan [5] developed agent-based models without real-world Indian applicability. </w:t>
      </w:r>
      <w:proofErr w:type="spellStart"/>
      <w:r>
        <w:t>CityMatch</w:t>
      </w:r>
      <w:proofErr w:type="spellEnd"/>
      <w:r>
        <w:t xml:space="preserve"> addresses these gaps through a reproducible multi-source pipeline with real-time traffic profiling, seasonal AQI decomposition, and an interactive decision-support interface — the first such system demonstrated for Delhi.</w:t>
      </w:r>
    </w:p>
    <w:p w14:paraId="7E7052B5" w14:textId="77777777" w:rsidR="006A2B62" w:rsidRDefault="002779FA">
      <w:pPr>
        <w:spacing w:before="140" w:after="60"/>
      </w:pPr>
      <w:r>
        <w:rPr>
          <w:b/>
          <w:bCs/>
          <w:sz w:val="24"/>
          <w:szCs w:val="24"/>
        </w:rPr>
        <w:t>Methodology</w:t>
      </w:r>
    </w:p>
    <w:p w14:paraId="3621F259" w14:textId="77777777" w:rsidR="006A2B62" w:rsidRDefault="002779FA">
      <w:pPr>
        <w:spacing w:after="80" w:line="276" w:lineRule="auto"/>
        <w:ind w:firstLine="480"/>
        <w:jc w:val="both"/>
      </w:pPr>
      <w:r>
        <w:t xml:space="preserve">Figure 1 illustrates the complete </w:t>
      </w:r>
      <w:proofErr w:type="spellStart"/>
      <w:r>
        <w:t>CityMatch</w:t>
      </w:r>
      <w:proofErr w:type="spellEnd"/>
      <w:r>
        <w:t xml:space="preserve"> pipeline. Amenity counts (schools, hospitals, metro stations, parks) were extracted using </w:t>
      </w:r>
      <w:proofErr w:type="spellStart"/>
      <w:r>
        <w:t>OSMnx</w:t>
      </w:r>
      <w:proofErr w:type="spellEnd"/>
      <w:r>
        <w:t xml:space="preserve"> within a 1 km radius of each neighbourhood centroid. Traffic congestion was profiled via TomTom Flow API (v4) across 16 readings per locality (4 days × 4 time slots: 09:00, 13:00, 18:00, 23:00 IST), computing CI = (1 − </w:t>
      </w:r>
      <w:proofErr w:type="spellStart"/>
      <w:r>
        <w:t>v_current</w:t>
      </w:r>
      <w:proofErr w:type="spellEnd"/>
      <w:r>
        <w:t>/</w:t>
      </w:r>
      <w:proofErr w:type="spellStart"/>
      <w:r>
        <w:t>v_freeflow</w:t>
      </w:r>
      <w:proofErr w:type="spellEnd"/>
      <w:r>
        <w:t>) × 10 per reading. CPCB PM2.5 data was decomposed into Winter (Oct–Feb) and Monsoon (Jun–Sep) seasonal averages. Rental data was sourced from 5,902 Kaggle 2BHK listin</w:t>
      </w:r>
      <w:r>
        <w:t>gs, with median rent per locality replacing manually estimated values.</w:t>
      </w:r>
    </w:p>
    <w:p w14:paraId="4F5B1F44" w14:textId="77777777" w:rsidR="006A2B62" w:rsidRDefault="002779FA">
      <w:pPr>
        <w:spacing w:after="80" w:line="276" w:lineRule="auto"/>
        <w:ind w:firstLine="480"/>
        <w:jc w:val="both"/>
      </w:pPr>
      <w:r>
        <w:t xml:space="preserve">Preprocessing applied 95th-percentile capping to amenity counts — correcting OpenStreetMap tagging inconsistencies that inflated hospital counts in peripheral localities — followed by Min-Max normalisation. K-Means clustering was applied to six scaled liveability features (rent excluded to prevent conflating market price with intrinsic characteristics). Optimal K=4 was confirmed by Elbow Method and Silhouette Score. The weighted sum scoring engine applies directional inversion (f = 1 − </w:t>
      </w:r>
      <w:proofErr w:type="spellStart"/>
      <w:r>
        <w:t>f_scaled</w:t>
      </w:r>
      <w:proofErr w:type="spellEnd"/>
      <w:r>
        <w:t>) for inverse features (PM2.5, traffic, rent) before computing Match Score = [</w:t>
      </w:r>
      <w:proofErr w:type="gramStart"/>
      <w:r>
        <w:t>Σ(</w:t>
      </w:r>
      <w:proofErr w:type="gramEnd"/>
      <w:r>
        <w:t>wᵢ × fᵢ)/</w:t>
      </w:r>
      <w:proofErr w:type="spellStart"/>
      <w:r>
        <w:t>Σw</w:t>
      </w:r>
      <w:proofErr w:type="spellEnd"/>
      <w:r>
        <w:t>ᵢ] × 100.</w:t>
      </w:r>
    </w:p>
    <w:p w14:paraId="75CB52DC" w14:textId="77777777" w:rsidR="006A2B62" w:rsidRDefault="006A2B62">
      <w:pPr>
        <w:spacing w:after="40"/>
      </w:pPr>
    </w:p>
    <w:p w14:paraId="1436B5FD" w14:textId="77777777" w:rsidR="006A2B62" w:rsidRDefault="002779FA">
      <w:pPr>
        <w:spacing w:before="80" w:after="40"/>
        <w:jc w:val="center"/>
      </w:pPr>
      <w:r>
        <w:rPr>
          <w:noProof/>
        </w:rPr>
        <w:drawing>
          <wp:inline distT="0" distB="0" distL="0" distR="0" wp14:anchorId="25D319A4" wp14:editId="2E8B5DDB">
            <wp:extent cx="3143250" cy="204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6C53" w14:textId="77777777" w:rsidR="006A2B62" w:rsidRDefault="002779FA">
      <w:pPr>
        <w:spacing w:before="40" w:after="120"/>
        <w:jc w:val="center"/>
      </w:pPr>
      <w:r>
        <w:rPr>
          <w:b/>
          <w:bCs/>
          <w:i/>
          <w:iCs/>
        </w:rPr>
        <w:t xml:space="preserve">Figure 1. </w:t>
      </w:r>
      <w:proofErr w:type="spellStart"/>
      <w:r>
        <w:rPr>
          <w:i/>
          <w:iCs/>
        </w:rPr>
        <w:t>CityMatch</w:t>
      </w:r>
      <w:proofErr w:type="spellEnd"/>
      <w:r>
        <w:rPr>
          <w:i/>
          <w:iCs/>
        </w:rPr>
        <w:t xml:space="preserve"> methodology pipeline: from four raw data sources through preprocessing, K-Means clustering, and weighted sum scoring to the interactive </w:t>
      </w:r>
      <w:proofErr w:type="spellStart"/>
      <w:r>
        <w:rPr>
          <w:i/>
          <w:iCs/>
        </w:rPr>
        <w:t>Streamlit</w:t>
      </w:r>
      <w:proofErr w:type="spellEnd"/>
      <w:r>
        <w:rPr>
          <w:i/>
          <w:iCs/>
        </w:rPr>
        <w:t xml:space="preserve"> dashboard.</w:t>
      </w:r>
    </w:p>
    <w:p w14:paraId="4F787595" w14:textId="77777777" w:rsidR="006A2B62" w:rsidRDefault="002779FA">
      <w:pPr>
        <w:spacing w:before="140" w:after="60"/>
      </w:pPr>
      <w:r>
        <w:rPr>
          <w:b/>
          <w:bCs/>
          <w:sz w:val="24"/>
          <w:szCs w:val="24"/>
        </w:rPr>
        <w:lastRenderedPageBreak/>
        <w:t>Results</w:t>
      </w:r>
    </w:p>
    <w:p w14:paraId="5B43AF44" w14:textId="77777777" w:rsidR="006A2B62" w:rsidRDefault="002779FA">
      <w:pPr>
        <w:spacing w:after="80" w:line="276" w:lineRule="auto"/>
        <w:ind w:firstLine="480"/>
        <w:jc w:val="both"/>
      </w:pPr>
      <w:r>
        <w:t xml:space="preserve">K-Means clustering achieved Silhouette Score S=0.41 at K=4, producing four semantically coherent liveability tiers shown in Figure 2: Budget Peripheral (n=18, </w:t>
      </w:r>
      <w:proofErr w:type="spellStart"/>
      <w:r>
        <w:t>avg</w:t>
      </w:r>
      <w:proofErr w:type="spellEnd"/>
      <w:r>
        <w:t xml:space="preserve"> rent ₹15,200), Mid-range Suburban (n=22, </w:t>
      </w:r>
      <w:proofErr w:type="spellStart"/>
      <w:r>
        <w:t>avg</w:t>
      </w:r>
      <w:proofErr w:type="spellEnd"/>
      <w:r>
        <w:t xml:space="preserve"> rent ₹28,500), Well-connected Mid-tier (n=20, </w:t>
      </w:r>
      <w:proofErr w:type="spellStart"/>
      <w:r>
        <w:t>avg</w:t>
      </w:r>
      <w:proofErr w:type="spellEnd"/>
      <w:r>
        <w:t xml:space="preserve"> rent ₹41,000), and Premium Central (n=12, </w:t>
      </w:r>
      <w:proofErr w:type="spellStart"/>
      <w:r>
        <w:t>avg</w:t>
      </w:r>
      <w:proofErr w:type="spellEnd"/>
      <w:r>
        <w:t xml:space="preserve"> rent ₹87,500). Monotonically increasing rent across cluster tiers validates semantic meaningfulness. Three boundary-condition tests confirmed scoring engine correctness: rent-only configuration returned all five cheapest localities; air quality-only returned five localities with PM2.5 ≈ 93–95 µg/m³; metro-only returned Connaught Place (27 stations within 1 km) as r</w:t>
      </w:r>
      <w:r>
        <w:t>ank 1.</w:t>
      </w:r>
    </w:p>
    <w:p w14:paraId="4EA7B13F" w14:textId="77777777" w:rsidR="006A2B62" w:rsidRDefault="002779FA">
      <w:pPr>
        <w:spacing w:after="80" w:line="276" w:lineRule="auto"/>
        <w:ind w:firstLine="480"/>
        <w:jc w:val="both"/>
      </w:pPr>
      <w:r>
        <w:t xml:space="preserve">Random Forest feature importance analysis identified distance from city centre (Connaught Place) as the dominant rent predictor (importance=0.312), consistent with urban rent gradient theory [7]. Table 1 presents a comparative analysis against state-of-the-art neighbourhood assessment methods. </w:t>
      </w:r>
      <w:proofErr w:type="spellStart"/>
      <w:r>
        <w:t>CityMatch</w:t>
      </w:r>
      <w:proofErr w:type="spellEnd"/>
      <w:r>
        <w:t xml:space="preserve"> is the only system combining live API traffic profiling, seasonal AQI decomposition, real rental market data, and interactive web deployment in an Indian urban context.</w:t>
      </w:r>
    </w:p>
    <w:p w14:paraId="1247AD29" w14:textId="77777777" w:rsidR="006A2B62" w:rsidRDefault="006A2B62">
      <w:pPr>
        <w:spacing w:after="40"/>
      </w:pPr>
    </w:p>
    <w:p w14:paraId="62CAA741" w14:textId="77777777" w:rsidR="006A2B62" w:rsidRDefault="002779FA">
      <w:pPr>
        <w:spacing w:before="80" w:after="40"/>
        <w:jc w:val="center"/>
      </w:pPr>
      <w:r>
        <w:rPr>
          <w:noProof/>
        </w:rPr>
        <w:drawing>
          <wp:inline distT="0" distB="0" distL="0" distR="0" wp14:anchorId="339C53A8" wp14:editId="0F42173F">
            <wp:extent cx="3429000" cy="1476375"/>
            <wp:effectExtent l="0" t="0" r="0" b="0"/>
            <wp:docPr id="1176321910" name="Picture 1176321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4CA5" w14:textId="77777777" w:rsidR="006A2B62" w:rsidRDefault="002779FA">
      <w:pPr>
        <w:spacing w:before="40" w:after="120"/>
        <w:jc w:val="center"/>
      </w:pPr>
      <w:r>
        <w:rPr>
          <w:b/>
          <w:bCs/>
          <w:i/>
          <w:iCs/>
        </w:rPr>
        <w:t xml:space="preserve">Figure 2. </w:t>
      </w:r>
      <w:r>
        <w:rPr>
          <w:i/>
          <w:iCs/>
        </w:rPr>
        <w:t>Key results: (a) Silhouette Score across K=2–9, confirming optimal K=4; (b) average 2BHK rent per cluster, demonstrating monotonically increasing profiles consistent with urban liveability tiers.</w:t>
      </w:r>
    </w:p>
    <w:p w14:paraId="15AC1C3A" w14:textId="77777777" w:rsidR="006A2B62" w:rsidRDefault="006A2B62">
      <w:pPr>
        <w:spacing w:after="60"/>
      </w:pPr>
    </w:p>
    <w:p w14:paraId="06C39F16" w14:textId="77777777" w:rsidR="006A2B62" w:rsidRDefault="002779FA">
      <w:pPr>
        <w:spacing w:before="80" w:after="40"/>
        <w:jc w:val="center"/>
      </w:pPr>
      <w:r>
        <w:rPr>
          <w:b/>
          <w:bCs/>
        </w:rPr>
        <w:t>Table 1. Comparative Analysis with State-of-the-Art Neighbourhood Assessment Methods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2735"/>
        <w:gridCol w:w="1280"/>
        <w:gridCol w:w="1147"/>
        <w:gridCol w:w="1483"/>
        <w:gridCol w:w="1350"/>
      </w:tblGrid>
      <w:tr w:rsidR="006A2B62" w14:paraId="43BDB1D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C372" w14:textId="77777777" w:rsidR="006A2B62" w:rsidRDefault="002779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Study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A596" w14:textId="77777777" w:rsidR="006A2B62" w:rsidRDefault="002779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35AB" w14:textId="77777777" w:rsidR="006A2B62" w:rsidRDefault="002779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ML Method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DA94" w14:textId="77777777" w:rsidR="006A2B62" w:rsidRDefault="002779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Live API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4A89" w14:textId="77777777" w:rsidR="006A2B62" w:rsidRDefault="002779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Deployment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63C1" w14:textId="77777777" w:rsidR="006A2B62" w:rsidRDefault="002779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Indian Context</w:t>
            </w:r>
          </w:p>
        </w:tc>
      </w:tr>
      <w:tr w:rsidR="006A2B62" w14:paraId="1EC000E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4173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He &amp; Gan [5]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D4A3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Simulated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2E5C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Agent-Based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3B4A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64BD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A536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6A2B62" w14:paraId="18EC1AC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E7FAB" w14:textId="77777777" w:rsidR="006A2B62" w:rsidRDefault="002779F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Venerandi</w:t>
            </w:r>
            <w:proofErr w:type="spellEnd"/>
            <w:r>
              <w:rPr>
                <w:sz w:val="18"/>
                <w:szCs w:val="18"/>
              </w:rPr>
              <w:t xml:space="preserve"> et al. [3]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AB59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Street View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4236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CNN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ED307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A356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F462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6A2B62" w14:paraId="169694D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59ED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Jain &amp; Jain [6]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A8D3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Census / Survey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6451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Statistical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6413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EEEB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61D1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6A2B62" w14:paraId="47B1306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2CE8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Li &amp; Zhang [4]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9A58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Government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088B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ML Ensemble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AFE3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566D1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211D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6A2B62" w14:paraId="1A96DC7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85BC" w14:textId="77777777" w:rsidR="006A2B62" w:rsidRDefault="002779F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CityMatch</w:t>
            </w:r>
            <w:proofErr w:type="spellEnd"/>
            <w:r>
              <w:rPr>
                <w:sz w:val="18"/>
                <w:szCs w:val="18"/>
              </w:rPr>
              <w:t xml:space="preserve"> (Ours)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69B8" w14:textId="77777777" w:rsidR="006A2B62" w:rsidRDefault="002779F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OSMnx+TomTom+CPCB+Kaggle</w:t>
            </w:r>
            <w:proofErr w:type="spellEnd"/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8B63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K-Means + Weighted Sum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431B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Yes (TomTom)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6376" w14:textId="77777777" w:rsidR="006A2B62" w:rsidRDefault="002779F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Web App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7B0F" w14:textId="77777777" w:rsidR="006A2B62" w:rsidRDefault="002779FA">
            <w:pPr>
              <w:jc w:val="center"/>
            </w:pPr>
            <w:r>
              <w:rPr>
                <w:sz w:val="18"/>
                <w:szCs w:val="18"/>
              </w:rPr>
              <w:t>Yes (Delhi)</w:t>
            </w:r>
          </w:p>
        </w:tc>
      </w:tr>
    </w:tbl>
    <w:p w14:paraId="2893CDC5" w14:textId="77777777" w:rsidR="006A2B62" w:rsidRDefault="006A2B62">
      <w:pPr>
        <w:spacing w:after="80"/>
      </w:pPr>
    </w:p>
    <w:p w14:paraId="4949B590" w14:textId="77777777" w:rsidR="006A2B62" w:rsidRDefault="002779FA">
      <w:pPr>
        <w:spacing w:before="140" w:after="60"/>
      </w:pPr>
      <w:r>
        <w:rPr>
          <w:b/>
          <w:bCs/>
          <w:sz w:val="24"/>
          <w:szCs w:val="24"/>
        </w:rPr>
        <w:t>Conclusion</w:t>
      </w:r>
    </w:p>
    <w:p w14:paraId="2BC73B97" w14:textId="77777777" w:rsidR="006A2B62" w:rsidRDefault="002779FA">
      <w:pPr>
        <w:spacing w:after="80" w:line="276" w:lineRule="auto"/>
        <w:ind w:firstLine="480"/>
        <w:jc w:val="both"/>
      </w:pPr>
      <w:proofErr w:type="spellStart"/>
      <w:r>
        <w:t>CityMatch</w:t>
      </w:r>
      <w:proofErr w:type="spellEnd"/>
      <w:r>
        <w:t xml:space="preserve"> demonstrates that a deployable neighbourhood recommendation system for Indian cities can be built from freely available data within academic resource constraints. The 16-reading traffic profiling strategy, seasonal AQI decomposition, and </w:t>
      </w:r>
      <w:proofErr w:type="gramStart"/>
      <w:r>
        <w:t>directionally-corrected</w:t>
      </w:r>
      <w:proofErr w:type="gramEnd"/>
      <w:r>
        <w:t xml:space="preserve"> scoring engine collectively address data quality and methodological gaps absent from existing urban liveability literature. Future work targets Delhi NCR expansion and a supervised classification layer for new-city scalability.</w:t>
      </w:r>
    </w:p>
    <w:p w14:paraId="1545E760" w14:textId="77777777" w:rsidR="006A2B62" w:rsidRDefault="002779FA">
      <w:pPr>
        <w:spacing w:before="140" w:after="60"/>
      </w:pPr>
      <w:r>
        <w:rPr>
          <w:b/>
          <w:bCs/>
          <w:sz w:val="24"/>
          <w:szCs w:val="24"/>
        </w:rPr>
        <w:t>Important References</w:t>
      </w:r>
    </w:p>
    <w:p w14:paraId="35CA0759" w14:textId="77777777" w:rsidR="006A2B62" w:rsidRDefault="002779FA">
      <w:pPr>
        <w:spacing w:after="50" w:line="276" w:lineRule="auto"/>
        <w:ind w:left="360" w:hanging="360"/>
        <w:jc w:val="both"/>
      </w:pPr>
      <w:r>
        <w:rPr>
          <w:sz w:val="18"/>
          <w:szCs w:val="18"/>
        </w:rPr>
        <w:t>[1] J. MacQueen, "Some methods for classification and analysis of multivariate observations," Proc. 5th Berkeley Symp. Math. Statist. Probability, vol. 1, pp. 281–297, 1967.</w:t>
      </w:r>
    </w:p>
    <w:p w14:paraId="2288A106" w14:textId="77777777" w:rsidR="006A2B62" w:rsidRDefault="002779FA">
      <w:pPr>
        <w:spacing w:after="50" w:line="276" w:lineRule="auto"/>
        <w:ind w:left="360" w:hanging="360"/>
        <w:jc w:val="both"/>
      </w:pPr>
      <w:r>
        <w:rPr>
          <w:sz w:val="18"/>
          <w:szCs w:val="18"/>
        </w:rPr>
        <w:t xml:space="preserve">[2] M. Jain and S. Jain, "Urban </w:t>
      </w:r>
      <w:proofErr w:type="spellStart"/>
      <w:r>
        <w:rPr>
          <w:sz w:val="18"/>
          <w:szCs w:val="18"/>
        </w:rPr>
        <w:t>livability</w:t>
      </w:r>
      <w:proofErr w:type="spellEnd"/>
      <w:r>
        <w:rPr>
          <w:sz w:val="18"/>
          <w:szCs w:val="18"/>
        </w:rPr>
        <w:t xml:space="preserve"> assessment in Indian cities: A comparative study," J. Urban Plan. Dev., vol. 144, no. 3, 2018.</w:t>
      </w:r>
    </w:p>
    <w:p w14:paraId="6E9625CA" w14:textId="77777777" w:rsidR="006A2B62" w:rsidRDefault="002779FA">
      <w:pPr>
        <w:spacing w:after="50" w:line="276" w:lineRule="auto"/>
        <w:ind w:left="360" w:hanging="360"/>
        <w:jc w:val="both"/>
      </w:pPr>
      <w:r>
        <w:rPr>
          <w:sz w:val="18"/>
          <w:szCs w:val="18"/>
        </w:rPr>
        <w:t xml:space="preserve">[3] A. </w:t>
      </w:r>
      <w:proofErr w:type="spellStart"/>
      <w:r>
        <w:rPr>
          <w:sz w:val="18"/>
          <w:szCs w:val="18"/>
        </w:rPr>
        <w:t>Venerandi</w:t>
      </w:r>
      <w:proofErr w:type="spellEnd"/>
      <w:r>
        <w:rPr>
          <w:sz w:val="18"/>
          <w:szCs w:val="18"/>
        </w:rPr>
        <w:t xml:space="preserve"> et al., "Measuring urban deprivation from user generated content," Proc. ACM CSCW, pp. 254–264, 2015.</w:t>
      </w:r>
    </w:p>
    <w:p w14:paraId="1134A295" w14:textId="77777777" w:rsidR="006A2B62" w:rsidRDefault="002779FA">
      <w:pPr>
        <w:spacing w:after="50" w:line="276" w:lineRule="auto"/>
        <w:ind w:left="360" w:hanging="360"/>
        <w:jc w:val="both"/>
      </w:pPr>
      <w:r>
        <w:rPr>
          <w:sz w:val="18"/>
          <w:szCs w:val="18"/>
        </w:rPr>
        <w:t>[4] H. Li and Y. Zhang, "</w:t>
      </w:r>
      <w:proofErr w:type="spellStart"/>
      <w:r>
        <w:rPr>
          <w:sz w:val="18"/>
          <w:szCs w:val="18"/>
        </w:rPr>
        <w:t>Livability</w:t>
      </w:r>
      <w:proofErr w:type="spellEnd"/>
      <w:r>
        <w:rPr>
          <w:sz w:val="18"/>
          <w:szCs w:val="18"/>
        </w:rPr>
        <w:t xml:space="preserve"> evaluation of urban environment based on ML approach," Environ. Dev. Sustainability, vol. 23, no. 8, pp. 12407–12425, 2021.</w:t>
      </w:r>
    </w:p>
    <w:p w14:paraId="2B4DECB2" w14:textId="77777777" w:rsidR="006A2B62" w:rsidRDefault="002779FA">
      <w:pPr>
        <w:spacing w:after="50" w:line="276" w:lineRule="auto"/>
        <w:ind w:left="360" w:hanging="360"/>
        <w:jc w:val="both"/>
      </w:pPr>
      <w:r>
        <w:rPr>
          <w:sz w:val="18"/>
          <w:szCs w:val="18"/>
        </w:rPr>
        <w:t xml:space="preserve">[5] S. He and V. J. Gan, "Urban </w:t>
      </w:r>
      <w:proofErr w:type="spellStart"/>
      <w:r>
        <w:rPr>
          <w:sz w:val="18"/>
          <w:szCs w:val="18"/>
        </w:rPr>
        <w:t>livability</w:t>
      </w:r>
      <w:proofErr w:type="spellEnd"/>
      <w:r>
        <w:rPr>
          <w:sz w:val="18"/>
          <w:szCs w:val="18"/>
        </w:rPr>
        <w:t xml:space="preserve"> assessment using machine learning and agent-based </w:t>
      </w:r>
      <w:proofErr w:type="spellStart"/>
      <w:r>
        <w:rPr>
          <w:sz w:val="18"/>
          <w:szCs w:val="18"/>
        </w:rPr>
        <w:t>modeling</w:t>
      </w:r>
      <w:proofErr w:type="spellEnd"/>
      <w:r>
        <w:rPr>
          <w:sz w:val="18"/>
          <w:szCs w:val="18"/>
        </w:rPr>
        <w:t>," Cities, vol. 128, 2022.</w:t>
      </w:r>
    </w:p>
    <w:p w14:paraId="677E35D7" w14:textId="77777777" w:rsidR="006A2B62" w:rsidRDefault="002779FA">
      <w:pPr>
        <w:spacing w:after="50" w:line="276" w:lineRule="auto"/>
        <w:ind w:left="360" w:hanging="360"/>
        <w:jc w:val="both"/>
      </w:pPr>
      <w:r>
        <w:rPr>
          <w:sz w:val="18"/>
          <w:szCs w:val="18"/>
        </w:rPr>
        <w:t>[6] G. Boeing, "</w:t>
      </w:r>
      <w:proofErr w:type="spellStart"/>
      <w:r>
        <w:rPr>
          <w:sz w:val="18"/>
          <w:szCs w:val="18"/>
        </w:rPr>
        <w:t>OSMnx</w:t>
      </w:r>
      <w:proofErr w:type="spellEnd"/>
      <w:r>
        <w:rPr>
          <w:sz w:val="18"/>
          <w:szCs w:val="18"/>
        </w:rPr>
        <w:t xml:space="preserve">: New methods for acquiring, constructing, </w:t>
      </w:r>
      <w:proofErr w:type="spellStart"/>
      <w:r>
        <w:rPr>
          <w:sz w:val="18"/>
          <w:szCs w:val="18"/>
        </w:rPr>
        <w:t>analyzing</w:t>
      </w:r>
      <w:proofErr w:type="spellEnd"/>
      <w:r>
        <w:rPr>
          <w:sz w:val="18"/>
          <w:szCs w:val="18"/>
        </w:rPr>
        <w:t xml:space="preserve">, and visualizing complex street networks," </w:t>
      </w:r>
      <w:proofErr w:type="spellStart"/>
      <w:r>
        <w:rPr>
          <w:sz w:val="18"/>
          <w:szCs w:val="18"/>
        </w:rPr>
        <w:t>Comput</w:t>
      </w:r>
      <w:proofErr w:type="spellEnd"/>
      <w:r>
        <w:rPr>
          <w:sz w:val="18"/>
          <w:szCs w:val="18"/>
        </w:rPr>
        <w:t>. Environ. Urban Syst., vol. 65, pp. 126–139, 2017.</w:t>
      </w:r>
    </w:p>
    <w:p w14:paraId="6FE45663" w14:textId="77777777" w:rsidR="006A2B62" w:rsidRDefault="002779FA">
      <w:pPr>
        <w:spacing w:after="50" w:line="276" w:lineRule="auto"/>
        <w:ind w:left="360" w:hanging="360"/>
        <w:jc w:val="both"/>
      </w:pPr>
      <w:r>
        <w:rPr>
          <w:sz w:val="18"/>
          <w:szCs w:val="18"/>
        </w:rPr>
        <w:lastRenderedPageBreak/>
        <w:t>[7] W. Alonso, Location and Land Use. Cambridge, MA: Harvard Univ. Press, 1964.</w:t>
      </w:r>
    </w:p>
    <w:sectPr w:rsidR="006A2B6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F35E2"/>
    <w:multiLevelType w:val="hybridMultilevel"/>
    <w:tmpl w:val="E0E2E818"/>
    <w:lvl w:ilvl="0" w:tplc="80245130">
      <w:start w:val="1"/>
      <w:numFmt w:val="bullet"/>
      <w:lvlText w:val="●"/>
      <w:lvlJc w:val="left"/>
      <w:pPr>
        <w:ind w:left="720" w:hanging="360"/>
      </w:pPr>
    </w:lvl>
    <w:lvl w:ilvl="1" w:tplc="34D6835E">
      <w:start w:val="1"/>
      <w:numFmt w:val="bullet"/>
      <w:lvlText w:val="○"/>
      <w:lvlJc w:val="left"/>
      <w:pPr>
        <w:ind w:left="1440" w:hanging="360"/>
      </w:pPr>
    </w:lvl>
    <w:lvl w:ilvl="2" w:tplc="3B86E416">
      <w:start w:val="1"/>
      <w:numFmt w:val="bullet"/>
      <w:lvlText w:val="■"/>
      <w:lvlJc w:val="left"/>
      <w:pPr>
        <w:ind w:left="2160" w:hanging="360"/>
      </w:pPr>
    </w:lvl>
    <w:lvl w:ilvl="3" w:tplc="CA501A2C">
      <w:start w:val="1"/>
      <w:numFmt w:val="bullet"/>
      <w:lvlText w:val="●"/>
      <w:lvlJc w:val="left"/>
      <w:pPr>
        <w:ind w:left="2880" w:hanging="360"/>
      </w:pPr>
    </w:lvl>
    <w:lvl w:ilvl="4" w:tplc="5A2CA30C">
      <w:start w:val="1"/>
      <w:numFmt w:val="bullet"/>
      <w:lvlText w:val="○"/>
      <w:lvlJc w:val="left"/>
      <w:pPr>
        <w:ind w:left="3600" w:hanging="360"/>
      </w:pPr>
    </w:lvl>
    <w:lvl w:ilvl="5" w:tplc="7AE62AC0">
      <w:start w:val="1"/>
      <w:numFmt w:val="bullet"/>
      <w:lvlText w:val="■"/>
      <w:lvlJc w:val="left"/>
      <w:pPr>
        <w:ind w:left="4320" w:hanging="360"/>
      </w:pPr>
    </w:lvl>
    <w:lvl w:ilvl="6" w:tplc="6A7801DE">
      <w:start w:val="1"/>
      <w:numFmt w:val="bullet"/>
      <w:lvlText w:val="●"/>
      <w:lvlJc w:val="left"/>
      <w:pPr>
        <w:ind w:left="5040" w:hanging="360"/>
      </w:pPr>
    </w:lvl>
    <w:lvl w:ilvl="7" w:tplc="F04C3CE6">
      <w:start w:val="1"/>
      <w:numFmt w:val="bullet"/>
      <w:lvlText w:val="●"/>
      <w:lvlJc w:val="left"/>
      <w:pPr>
        <w:ind w:left="5760" w:hanging="360"/>
      </w:pPr>
    </w:lvl>
    <w:lvl w:ilvl="8" w:tplc="92266774">
      <w:start w:val="1"/>
      <w:numFmt w:val="bullet"/>
      <w:lvlText w:val="●"/>
      <w:lvlJc w:val="left"/>
      <w:pPr>
        <w:ind w:left="6480" w:hanging="360"/>
      </w:pPr>
    </w:lvl>
  </w:abstractNum>
  <w:num w:numId="1" w16cid:durableId="433014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B62"/>
    <w:rsid w:val="003F43F9"/>
    <w:rsid w:val="006A2B62"/>
    <w:rsid w:val="00AD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4930"/>
  <w15:docId w15:val="{70AF02EB-B3E4-4B0B-A8CA-23A1F12A6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AAKARSH PAB</cp:lastModifiedBy>
  <cp:revision>2</cp:revision>
  <dcterms:created xsi:type="dcterms:W3CDTF">2026-03-30T12:15:00Z</dcterms:created>
  <dcterms:modified xsi:type="dcterms:W3CDTF">2026-03-30T12:15:00Z</dcterms:modified>
</cp:coreProperties>
</file>