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rPr/>
      </w:pPr>
      <w:r>
        <w:rPr/>
        <w:t>ALAAP</w:t>
      </w:r>
    </w:p>
    <w:p>
      <w:pPr>
        <w:pStyle w:val="BodyTextsub"/>
        <w:bidi w:val="0"/>
        <w:rPr/>
      </w:pPr>
      <w:r>
        <w:rPr/>
        <w:t>Platform Status and Path to First Local Run</w:t>
      </w:r>
    </w:p>
    <w:p>
      <w:pPr>
        <w:pStyle w:val="BodyTextsub"/>
        <w:bidi w:val="0"/>
        <w:rPr/>
      </w:pPr>
      <w:r>
        <w:rPr/>
        <w:t>What is finalised, what is built, and the milestones remaining to running the whole platform on one machine.</w:t>
      </w:r>
    </w:p>
    <w:p>
      <w:pPr>
        <w:pStyle w:val="BodyTextmeta"/>
        <w:bidi w:val="0"/>
        <w:rPr/>
      </w:pPr>
      <w:r>
        <w:rPr/>
        <w:t>Prepared   11 September 2026</w:t>
        <w:br/>
        <w:t>Repository   D:\Projects\wellness\alaap-platform</w:t>
        <w:br/>
        <w:t>Target machine   Ryzen 9 9950X3D  ·  RTX 5070 Ti 16 GB  ·  32 GB RAM</w:t>
        <w:br/>
        <w:t xml:space="preserve">Basis   Direct audit of the repository and the running stack, not estimates. Counts exclude placeholders. </w:t>
      </w:r>
    </w:p>
    <w:p>
      <w:pPr>
        <w:pStyle w:val="Heading3"/>
        <w:bidi w:val="0"/>
        <w:rPr/>
      </w:pPr>
      <w:r>
        <w:rPr/>
        <w:t>How to read this document</w:t>
      </w:r>
    </w:p>
    <w:p>
      <w:pPr>
        <w:pStyle w:val="BodyText"/>
        <w:bidi w:val="0"/>
        <w:rPr/>
      </w:pPr>
      <w:r>
        <w:rPr/>
        <w:t>Sections 1 to 3 describe what has been decided and will not change without a good reason. Sections 4 and 5 are the honest inventory: what actually runs today, and what is still an empty directory. Section 6 is the AI classifier, stated exactly, because it is the item most likely to be misread. Section 7 is the remaining path. Section 8 is what could go wrong.</w:t>
      </w:r>
    </w:p>
    <w:p>
      <w:pPr>
        <w:pStyle w:val="BodyText"/>
        <w:bidi w:val="0"/>
        <w:rPr/>
      </w:pPr>
      <w:r>
        <w:rPr/>
        <w:t>Where a number is exact it comes from counting files or querying the running system. Where it is an estimate it says so. Nothing here is rounded up to look better.</w:t>
      </w:r>
    </w:p>
    <w:p>
      <w:pPr>
        <w:pStyle w:val="Heading2"/>
        <w:bidi w:val="0"/>
        <w:rPr/>
      </w:pPr>
      <w:r>
        <w:rPr/>
        <w:t>1.  What Alaap Is</w:t>
      </w:r>
    </w:p>
    <w:p>
      <w:pPr>
        <w:pStyle w:val="BodyText"/>
        <w:bidi w:val="0"/>
        <w:rPr/>
      </w:pPr>
      <w:r>
        <w:rPr/>
        <w:t>Alaap is a mental wellness platform built around one idea: that a person should be able to say the thing they cannot say anywhere else, without it costing them their name.</w:t>
      </w:r>
    </w:p>
    <w:p>
      <w:pPr>
        <w:pStyle w:val="BodyText"/>
        <w:bidi w:val="0"/>
        <w:rPr/>
      </w:pPr>
      <w:r>
        <w:rPr/>
        <w:t>Four things happen on it. A person posts anonymously and receives an AI response plus replies from other people. They keep a private journal and mood record. They can book a therapist. And in a crisis, a narrow, evidenced, two-person-approved path can reach an emergency contact — and only then.</w:t>
      </w:r>
    </w:p>
    <w:p>
      <w:pPr>
        <w:pStyle w:val="BodyText"/>
        <w:bidi w:val="0"/>
        <w:rPr/>
      </w:pPr>
      <w:r>
        <w:rPr/>
        <w:t xml:space="preserve">The word </w:t>
      </w:r>
      <w:r>
        <w:rPr>
          <w:i/>
        </w:rPr>
        <w:t>alaap</w:t>
      </w:r>
      <w:r>
        <w:rPr/>
        <w:t xml:space="preserve"> is the opening of a raga: unmetered, unaccompanied, one voice finding what it wants to say before anything else joins in.</w:t>
      </w:r>
    </w:p>
    <w:p>
      <w:pPr>
        <w:pStyle w:val="Heading2"/>
        <w:bidi w:val="0"/>
        <w:rPr/>
      </w:pPr>
      <w:r>
        <w:rPr/>
        <w:t>2.  Plans and Limits</w:t>
      </w:r>
    </w:p>
    <w:p>
      <w:pPr>
        <w:pStyle w:val="BodyText"/>
        <w:bidi w:val="0"/>
        <w:rPr/>
      </w:pPr>
      <w:r>
        <w:rPr/>
        <w:t>Four tiers. No advertising on any of them, ever — someone who has come here for relief should not be sold to while they are in it. That constraint is what makes the free tier's limits necessary rather than greedy: the paid tiers carry the AI and infrastructure cost.</w:t>
      </w:r>
    </w:p>
    <w:tbl>
      <w:tblPr>
        <w:tblW w:w="10352" w:type="dxa"/>
        <w:jc w:val="left"/>
        <w:tblInd w:w="28" w:type="dxa"/>
        <w:tblLayout w:type="fixed"/>
        <w:tblCellMar>
          <w:top w:w="28" w:type="dxa"/>
          <w:left w:w="28" w:type="dxa"/>
          <w:bottom w:w="28" w:type="dxa"/>
          <w:right w:w="28" w:type="dxa"/>
        </w:tblCellMar>
      </w:tblPr>
      <w:tblGrid>
        <w:gridCol w:w="2341"/>
        <w:gridCol w:w="1409"/>
        <w:gridCol w:w="3421"/>
        <w:gridCol w:w="1934"/>
        <w:gridCol w:w="1247"/>
      </w:tblGrid>
      <w:tr>
        <w:trPr/>
        <w:tc>
          <w:tcPr>
            <w:tcW w:w="2341" w:type="dxa"/>
            <w:tcBorders/>
            <w:vAlign w:val="center"/>
          </w:tcPr>
          <w:p>
            <w:pPr>
              <w:pStyle w:val="TableHeading"/>
              <w:suppressLineNumbers/>
              <w:shd w:fill="EEEEEE" w:val="clear"/>
              <w:bidi w:val="0"/>
              <w:spacing w:before="0" w:after="283"/>
              <w:jc w:val="left"/>
              <w:rPr/>
            </w:pPr>
            <w:r>
              <w:rPr/>
              <w:t> </w:t>
            </w:r>
          </w:p>
        </w:tc>
        <w:tc>
          <w:tcPr>
            <w:tcW w:w="1409" w:type="dxa"/>
            <w:tcBorders/>
            <w:vAlign w:val="center"/>
          </w:tcPr>
          <w:p>
            <w:pPr>
              <w:pStyle w:val="TableHeading"/>
              <w:suppressLineNumbers/>
              <w:shd w:fill="EEEEEE" w:val="clear"/>
              <w:bidi w:val="0"/>
              <w:spacing w:before="0" w:after="283"/>
              <w:jc w:val="left"/>
              <w:rPr/>
            </w:pPr>
            <w:r>
              <w:rPr/>
              <w:t>Free</w:t>
            </w:r>
          </w:p>
        </w:tc>
        <w:tc>
          <w:tcPr>
            <w:tcW w:w="3421" w:type="dxa"/>
            <w:tcBorders/>
            <w:vAlign w:val="center"/>
          </w:tcPr>
          <w:p>
            <w:pPr>
              <w:pStyle w:val="TableHeading"/>
              <w:suppressLineNumbers/>
              <w:shd w:fill="EEEEEE" w:val="clear"/>
              <w:bidi w:val="0"/>
              <w:spacing w:before="0" w:after="283"/>
              <w:jc w:val="left"/>
              <w:rPr/>
            </w:pPr>
            <w:r>
              <w:rPr/>
              <w:t>Interaction (₹99/mo)</w:t>
            </w:r>
          </w:p>
        </w:tc>
        <w:tc>
          <w:tcPr>
            <w:tcW w:w="1934" w:type="dxa"/>
            <w:tcBorders/>
            <w:vAlign w:val="center"/>
          </w:tcPr>
          <w:p>
            <w:pPr>
              <w:pStyle w:val="TableHeading"/>
              <w:suppressLineNumbers/>
              <w:shd w:fill="EEEEEE" w:val="clear"/>
              <w:bidi w:val="0"/>
              <w:spacing w:before="0" w:after="283"/>
              <w:jc w:val="left"/>
              <w:rPr/>
            </w:pPr>
            <w:r>
              <w:rPr/>
              <w:t>Interaction Plus</w:t>
            </w:r>
          </w:p>
        </w:tc>
        <w:tc>
          <w:tcPr>
            <w:tcW w:w="1247" w:type="dxa"/>
            <w:tcBorders/>
            <w:vAlign w:val="center"/>
          </w:tcPr>
          <w:p>
            <w:pPr>
              <w:pStyle w:val="TableHeading"/>
              <w:suppressLineNumbers/>
              <w:shd w:fill="EEEEEE" w:val="clear"/>
              <w:bidi w:val="0"/>
              <w:spacing w:before="0" w:after="283"/>
              <w:jc w:val="left"/>
              <w:rPr/>
            </w:pPr>
            <w:r>
              <w:rPr/>
              <w:t>Care</w:t>
            </w:r>
          </w:p>
        </w:tc>
      </w:tr>
      <w:tr>
        <w:trPr/>
        <w:tc>
          <w:tcPr>
            <w:tcW w:w="2341" w:type="dxa"/>
            <w:tcBorders/>
            <w:vAlign w:val="center"/>
          </w:tcPr>
          <w:p>
            <w:pPr>
              <w:pStyle w:val="TableContents"/>
              <w:bidi w:val="0"/>
              <w:spacing w:before="0" w:after="283"/>
              <w:jc w:val="left"/>
              <w:rPr/>
            </w:pPr>
            <w:r>
              <w:rPr/>
              <w:t>Posts</w:t>
            </w:r>
          </w:p>
        </w:tc>
        <w:tc>
          <w:tcPr>
            <w:tcW w:w="1409" w:type="dxa"/>
            <w:tcBorders/>
            <w:vAlign w:val="center"/>
          </w:tcPr>
          <w:p>
            <w:pPr>
              <w:pStyle w:val="TableContents"/>
              <w:bidi w:val="0"/>
              <w:spacing w:before="0" w:after="283"/>
              <w:jc w:val="left"/>
              <w:rPr/>
            </w:pPr>
            <w:r>
              <w:rPr/>
              <w:t>4 per month</w:t>
            </w:r>
          </w:p>
        </w:tc>
        <w:tc>
          <w:tcPr>
            <w:tcW w:w="3421" w:type="dxa"/>
            <w:tcBorders/>
            <w:vAlign w:val="center"/>
          </w:tcPr>
          <w:p>
            <w:pPr>
              <w:pStyle w:val="TableContents"/>
              <w:bidi w:val="0"/>
              <w:spacing w:before="0" w:after="283"/>
              <w:jc w:val="left"/>
              <w:rPr/>
            </w:pPr>
            <w:r>
              <w:rPr/>
              <w:t>Unlimited</w:t>
            </w:r>
          </w:p>
        </w:tc>
        <w:tc>
          <w:tcPr>
            <w:tcW w:w="1934" w:type="dxa"/>
            <w:tcBorders/>
            <w:vAlign w:val="center"/>
          </w:tcPr>
          <w:p>
            <w:pPr>
              <w:pStyle w:val="TableContents"/>
              <w:bidi w:val="0"/>
              <w:spacing w:before="0" w:after="283"/>
              <w:jc w:val="left"/>
              <w:rPr/>
            </w:pPr>
            <w:r>
              <w:rPr/>
              <w:t>Unlimited</w:t>
            </w:r>
          </w:p>
        </w:tc>
        <w:tc>
          <w:tcPr>
            <w:tcW w:w="1247" w:type="dxa"/>
            <w:tcBorders/>
            <w:vAlign w:val="center"/>
          </w:tcPr>
          <w:p>
            <w:pPr>
              <w:pStyle w:val="TableContents"/>
              <w:bidi w:val="0"/>
              <w:spacing w:before="0" w:after="283"/>
              <w:jc w:val="left"/>
              <w:rPr/>
            </w:pPr>
            <w:r>
              <w:rPr/>
              <w:t>Unlimited</w:t>
            </w:r>
          </w:p>
        </w:tc>
      </w:tr>
      <w:tr>
        <w:trPr/>
        <w:tc>
          <w:tcPr>
            <w:tcW w:w="2341" w:type="dxa"/>
            <w:tcBorders/>
            <w:vAlign w:val="center"/>
          </w:tcPr>
          <w:p>
            <w:pPr>
              <w:pStyle w:val="TableContents"/>
              <w:bidi w:val="0"/>
              <w:spacing w:before="0" w:after="283"/>
              <w:jc w:val="left"/>
              <w:rPr/>
            </w:pPr>
            <w:r>
              <w:rPr/>
              <w:t>Replies written</w:t>
            </w:r>
          </w:p>
        </w:tc>
        <w:tc>
          <w:tcPr>
            <w:tcW w:w="1409" w:type="dxa"/>
            <w:tcBorders/>
            <w:vAlign w:val="center"/>
          </w:tcPr>
          <w:p>
            <w:pPr>
              <w:pStyle w:val="TableContents"/>
              <w:bidi w:val="0"/>
              <w:spacing w:before="0" w:after="283"/>
              <w:jc w:val="left"/>
              <w:rPr/>
            </w:pPr>
            <w:r>
              <w:rPr/>
              <w:t>10 per month</w:t>
            </w:r>
          </w:p>
        </w:tc>
        <w:tc>
          <w:tcPr>
            <w:tcW w:w="3421" w:type="dxa"/>
            <w:tcBorders/>
            <w:vAlign w:val="center"/>
          </w:tcPr>
          <w:p>
            <w:pPr>
              <w:pStyle w:val="TableContents"/>
              <w:bidi w:val="0"/>
              <w:spacing w:before="0" w:after="283"/>
              <w:jc w:val="left"/>
              <w:rPr/>
            </w:pPr>
            <w:r>
              <w:rPr/>
              <w:t>Unlimited</w:t>
            </w:r>
          </w:p>
        </w:tc>
        <w:tc>
          <w:tcPr>
            <w:tcW w:w="1934" w:type="dxa"/>
            <w:tcBorders/>
            <w:vAlign w:val="center"/>
          </w:tcPr>
          <w:p>
            <w:pPr>
              <w:pStyle w:val="TableContents"/>
              <w:bidi w:val="0"/>
              <w:spacing w:before="0" w:after="283"/>
              <w:jc w:val="left"/>
              <w:rPr/>
            </w:pPr>
            <w:r>
              <w:rPr/>
              <w:t>Unlimited</w:t>
            </w:r>
          </w:p>
        </w:tc>
        <w:tc>
          <w:tcPr>
            <w:tcW w:w="1247" w:type="dxa"/>
            <w:tcBorders/>
            <w:vAlign w:val="center"/>
          </w:tcPr>
          <w:p>
            <w:pPr>
              <w:pStyle w:val="TableContents"/>
              <w:bidi w:val="0"/>
              <w:spacing w:before="0" w:after="283"/>
              <w:jc w:val="left"/>
              <w:rPr/>
            </w:pPr>
            <w:r>
              <w:rPr/>
              <w:t>Unlimited</w:t>
            </w:r>
          </w:p>
        </w:tc>
      </w:tr>
      <w:tr>
        <w:trPr/>
        <w:tc>
          <w:tcPr>
            <w:tcW w:w="2341" w:type="dxa"/>
            <w:tcBorders/>
            <w:vAlign w:val="center"/>
          </w:tcPr>
          <w:p>
            <w:pPr>
              <w:pStyle w:val="TableContents"/>
              <w:bidi w:val="0"/>
              <w:spacing w:before="0" w:after="283"/>
              <w:jc w:val="left"/>
              <w:rPr/>
            </w:pPr>
            <w:r>
              <w:rPr/>
              <w:t>AI response</w:t>
            </w:r>
          </w:p>
        </w:tc>
        <w:tc>
          <w:tcPr>
            <w:tcW w:w="1409" w:type="dxa"/>
            <w:tcBorders/>
            <w:vAlign w:val="center"/>
          </w:tcPr>
          <w:p>
            <w:pPr>
              <w:pStyle w:val="TableContents"/>
              <w:bidi w:val="0"/>
              <w:spacing w:before="0" w:after="283"/>
              <w:jc w:val="left"/>
              <w:rPr/>
            </w:pPr>
            <w:r>
              <w:rPr/>
              <w:t>1 per post</w:t>
            </w:r>
          </w:p>
        </w:tc>
        <w:tc>
          <w:tcPr>
            <w:tcW w:w="3421" w:type="dxa"/>
            <w:tcBorders/>
            <w:vAlign w:val="center"/>
          </w:tcPr>
          <w:p>
            <w:pPr>
              <w:pStyle w:val="TableContents"/>
              <w:bidi w:val="0"/>
              <w:spacing w:before="0" w:after="283"/>
              <w:jc w:val="left"/>
              <w:rPr/>
            </w:pPr>
            <w:r>
              <w:rPr/>
              <w:t>1 per post, plus reflection prompts</w:t>
            </w:r>
          </w:p>
        </w:tc>
        <w:tc>
          <w:tcPr>
            <w:tcW w:w="1934" w:type="dxa"/>
            <w:tcBorders/>
            <w:vAlign w:val="center"/>
          </w:tcPr>
          <w:p>
            <w:pPr>
              <w:pStyle w:val="TableContents"/>
              <w:bidi w:val="0"/>
              <w:spacing w:before="0" w:after="283"/>
              <w:jc w:val="left"/>
              <w:rPr/>
            </w:pPr>
            <w:r>
              <w:rPr/>
              <w:t>Extended</w:t>
            </w:r>
          </w:p>
        </w:tc>
        <w:tc>
          <w:tcPr>
            <w:tcW w:w="1247" w:type="dxa"/>
            <w:tcBorders/>
            <w:vAlign w:val="center"/>
          </w:tcPr>
          <w:p>
            <w:pPr>
              <w:pStyle w:val="TableContents"/>
              <w:bidi w:val="0"/>
              <w:spacing w:before="0" w:after="283"/>
              <w:jc w:val="left"/>
              <w:rPr/>
            </w:pPr>
            <w:r>
              <w:rPr/>
              <w:t>Extended</w:t>
            </w:r>
          </w:p>
        </w:tc>
      </w:tr>
      <w:tr>
        <w:trPr/>
        <w:tc>
          <w:tcPr>
            <w:tcW w:w="2341" w:type="dxa"/>
            <w:tcBorders/>
            <w:vAlign w:val="center"/>
          </w:tcPr>
          <w:p>
            <w:pPr>
              <w:pStyle w:val="TableContents"/>
              <w:bidi w:val="0"/>
              <w:spacing w:before="0" w:after="283"/>
              <w:jc w:val="left"/>
              <w:rPr/>
            </w:pPr>
            <w:r>
              <w:rPr/>
              <w:t>Journal &amp; short stories</w:t>
            </w:r>
          </w:p>
        </w:tc>
        <w:tc>
          <w:tcPr>
            <w:tcW w:w="1409" w:type="dxa"/>
            <w:tcBorders/>
            <w:vAlign w:val="center"/>
          </w:tcPr>
          <w:p>
            <w:pPr>
              <w:pStyle w:val="TableContents"/>
              <w:bidi w:val="0"/>
              <w:spacing w:before="0" w:after="283"/>
              <w:jc w:val="left"/>
              <w:rPr/>
            </w:pPr>
            <w:r>
              <w:rPr/>
              <w:t>Not available</w:t>
            </w:r>
          </w:p>
        </w:tc>
        <w:tc>
          <w:tcPr>
            <w:tcW w:w="3421" w:type="dxa"/>
            <w:tcBorders/>
            <w:vAlign w:val="center"/>
          </w:tcPr>
          <w:p>
            <w:pPr>
              <w:pStyle w:val="TableContents"/>
              <w:bidi w:val="0"/>
              <w:spacing w:before="0" w:after="283"/>
              <w:jc w:val="left"/>
              <w:rPr/>
            </w:pPr>
            <w:r>
              <w:rPr/>
              <w:t>Not available</w:t>
            </w:r>
          </w:p>
        </w:tc>
        <w:tc>
          <w:tcPr>
            <w:tcW w:w="1934" w:type="dxa"/>
            <w:tcBorders/>
            <w:vAlign w:val="center"/>
          </w:tcPr>
          <w:p>
            <w:pPr>
              <w:pStyle w:val="TableContents"/>
              <w:bidi w:val="0"/>
              <w:spacing w:before="0" w:after="283"/>
              <w:jc w:val="left"/>
              <w:rPr/>
            </w:pPr>
            <w:r>
              <w:rPr/>
              <w:t>Included</w:t>
            </w:r>
          </w:p>
        </w:tc>
        <w:tc>
          <w:tcPr>
            <w:tcW w:w="1247" w:type="dxa"/>
            <w:tcBorders/>
            <w:vAlign w:val="center"/>
          </w:tcPr>
          <w:p>
            <w:pPr>
              <w:pStyle w:val="TableContents"/>
              <w:bidi w:val="0"/>
              <w:spacing w:before="0" w:after="283"/>
              <w:jc w:val="left"/>
              <w:rPr/>
            </w:pPr>
            <w:r>
              <w:rPr/>
              <w:t>Included</w:t>
            </w:r>
          </w:p>
        </w:tc>
      </w:tr>
      <w:tr>
        <w:trPr/>
        <w:tc>
          <w:tcPr>
            <w:tcW w:w="2341" w:type="dxa"/>
            <w:tcBorders/>
            <w:vAlign w:val="center"/>
          </w:tcPr>
          <w:p>
            <w:pPr>
              <w:pStyle w:val="TableContents"/>
              <w:bidi w:val="0"/>
              <w:spacing w:before="0" w:after="283"/>
              <w:jc w:val="left"/>
              <w:rPr/>
            </w:pPr>
            <w:r>
              <w:rPr/>
              <w:t>Post expiry</w:t>
            </w:r>
          </w:p>
        </w:tc>
        <w:tc>
          <w:tcPr>
            <w:tcW w:w="1409" w:type="dxa"/>
            <w:tcBorders/>
            <w:vAlign w:val="center"/>
          </w:tcPr>
          <w:p>
            <w:pPr>
              <w:pStyle w:val="TableContents"/>
              <w:bidi w:val="0"/>
              <w:spacing w:before="0" w:after="283"/>
              <w:jc w:val="left"/>
              <w:rPr/>
            </w:pPr>
            <w:r>
              <w:rPr/>
              <w:t>5 days</w:t>
            </w:r>
          </w:p>
        </w:tc>
        <w:tc>
          <w:tcPr>
            <w:tcW w:w="3421" w:type="dxa"/>
            <w:tcBorders/>
            <w:vAlign w:val="center"/>
          </w:tcPr>
          <w:p>
            <w:pPr>
              <w:pStyle w:val="TableContents"/>
              <w:bidi w:val="0"/>
              <w:spacing w:before="0" w:after="283"/>
              <w:jc w:val="left"/>
              <w:rPr/>
            </w:pPr>
            <w:r>
              <w:rPr/>
              <w:t>5 days, extendable to 30</w:t>
            </w:r>
          </w:p>
        </w:tc>
        <w:tc>
          <w:tcPr>
            <w:tcW w:w="1934" w:type="dxa"/>
            <w:tcBorders/>
            <w:vAlign w:val="center"/>
          </w:tcPr>
          <w:p>
            <w:pPr>
              <w:pStyle w:val="TableContents"/>
              <w:bidi w:val="0"/>
              <w:spacing w:before="0" w:after="283"/>
              <w:jc w:val="left"/>
              <w:rPr/>
            </w:pPr>
            <w:r>
              <w:rPr/>
              <w:t>Extendable</w:t>
            </w:r>
          </w:p>
        </w:tc>
        <w:tc>
          <w:tcPr>
            <w:tcW w:w="1247" w:type="dxa"/>
            <w:tcBorders/>
            <w:vAlign w:val="center"/>
          </w:tcPr>
          <w:p>
            <w:pPr>
              <w:pStyle w:val="TableContents"/>
              <w:bidi w:val="0"/>
              <w:spacing w:before="0" w:after="283"/>
              <w:jc w:val="left"/>
              <w:rPr/>
            </w:pPr>
            <w:r>
              <w:rPr/>
              <w:t>Extendable</w:t>
            </w:r>
          </w:p>
        </w:tc>
      </w:tr>
      <w:tr>
        <w:trPr/>
        <w:tc>
          <w:tcPr>
            <w:tcW w:w="2341" w:type="dxa"/>
            <w:tcBorders/>
            <w:vAlign w:val="center"/>
          </w:tcPr>
          <w:p>
            <w:pPr>
              <w:pStyle w:val="TableContents"/>
              <w:bidi w:val="0"/>
              <w:spacing w:before="0" w:after="283"/>
              <w:jc w:val="left"/>
              <w:rPr/>
            </w:pPr>
            <w:r>
              <w:rPr/>
              <w:t>Therapy</w:t>
            </w:r>
          </w:p>
        </w:tc>
        <w:tc>
          <w:tcPr>
            <w:tcW w:w="1409" w:type="dxa"/>
            <w:tcBorders/>
            <w:vAlign w:val="center"/>
          </w:tcPr>
          <w:p>
            <w:pPr>
              <w:pStyle w:val="TableContents"/>
              <w:bidi w:val="0"/>
              <w:spacing w:before="0" w:after="283"/>
              <w:jc w:val="left"/>
              <w:rPr/>
            </w:pPr>
            <w:r>
              <w:rPr/>
              <w:t>—</w:t>
            </w:r>
          </w:p>
        </w:tc>
        <w:tc>
          <w:tcPr>
            <w:tcW w:w="3421" w:type="dxa"/>
            <w:tcBorders/>
            <w:vAlign w:val="center"/>
          </w:tcPr>
          <w:p>
            <w:pPr>
              <w:pStyle w:val="TableContents"/>
              <w:bidi w:val="0"/>
              <w:spacing w:before="0" w:after="283"/>
              <w:jc w:val="left"/>
              <w:rPr/>
            </w:pPr>
            <w:r>
              <w:rPr/>
              <w:t>—</w:t>
            </w:r>
          </w:p>
        </w:tc>
        <w:tc>
          <w:tcPr>
            <w:tcW w:w="1934" w:type="dxa"/>
            <w:tcBorders/>
            <w:vAlign w:val="center"/>
          </w:tcPr>
          <w:p>
            <w:pPr>
              <w:pStyle w:val="TableContents"/>
              <w:bidi w:val="0"/>
              <w:spacing w:before="0" w:after="283"/>
              <w:jc w:val="left"/>
              <w:rPr/>
            </w:pPr>
            <w:r>
              <w:rPr/>
              <w:t>—</w:t>
            </w:r>
          </w:p>
        </w:tc>
        <w:tc>
          <w:tcPr>
            <w:tcW w:w="1247" w:type="dxa"/>
            <w:tcBorders/>
            <w:vAlign w:val="center"/>
          </w:tcPr>
          <w:p>
            <w:pPr>
              <w:pStyle w:val="TableContents"/>
              <w:bidi w:val="0"/>
              <w:spacing w:before="0" w:after="283"/>
              <w:jc w:val="left"/>
              <w:rPr/>
            </w:pPr>
            <w:r>
              <w:rPr/>
              <w:t>Included</w:t>
            </w:r>
          </w:p>
        </w:tc>
      </w:tr>
    </w:tbl>
    <w:p>
      <w:pPr>
        <w:pStyle w:val="BodyText"/>
        <w:bidi w:val="0"/>
        <w:rPr/>
      </w:pPr>
      <w:r>
        <w:rPr/>
        <w:t>Government subsidy is planned at the full ₹99 rate rather than a reduced one, so a subsidised member's experience is identical to a paying member's and nothing on screen marks them out.</w:t>
      </w:r>
    </w:p>
    <w:p>
      <w:pPr>
        <w:pStyle w:val="Heading2"/>
        <w:bidi w:val="0"/>
        <w:rPr/>
      </w:pPr>
      <w:r>
        <w:rPr/>
        <w:t>3.  Architecture</w:t>
      </w:r>
    </w:p>
    <w:p>
      <w:pPr>
        <w:pStyle w:val="Heading3"/>
        <w:bidi w:val="0"/>
        <w:rPr/>
      </w:pPr>
      <w:r>
        <w:rPr/>
        <w:t>3.1  Five vaults, three databases</w:t>
      </w:r>
    </w:p>
    <w:p>
      <w:pPr>
        <w:pStyle w:val="BodyText"/>
        <w:bidi w:val="0"/>
        <w:rPr/>
      </w:pPr>
      <w:r>
        <w:rPr>
          <w:b/>
        </w:rPr>
        <w:t>53 tables</w:t>
      </w:r>
      <w:r>
        <w:rPr/>
        <w:t xml:space="preserve"> across six databases on </w:t>
      </w:r>
      <w:r>
        <w:rPr>
          <w:b/>
        </w:rPr>
        <w:t>three separate PostgreSQL instances</w:t>
      </w:r>
      <w:r>
        <w:rPr/>
        <w:t>. The separation is not organisational tidiness — it is what makes "no cross-vault join" structurally true rather than a rule someone has to remember.</w:t>
      </w:r>
    </w:p>
    <w:tbl>
      <w:tblPr>
        <w:tblW w:w="11339" w:type="dxa"/>
        <w:jc w:val="left"/>
        <w:tblInd w:w="28" w:type="dxa"/>
        <w:tblLayout w:type="fixed"/>
        <w:tblCellMar>
          <w:top w:w="28" w:type="dxa"/>
          <w:left w:w="28" w:type="dxa"/>
          <w:bottom w:w="28" w:type="dxa"/>
          <w:right w:w="28" w:type="dxa"/>
        </w:tblCellMar>
      </w:tblPr>
      <w:tblGrid>
        <w:gridCol w:w="1951"/>
        <w:gridCol w:w="1844"/>
        <w:gridCol w:w="843"/>
        <w:gridCol w:w="6701"/>
      </w:tblGrid>
      <w:tr>
        <w:trPr/>
        <w:tc>
          <w:tcPr>
            <w:tcW w:w="1951" w:type="dxa"/>
            <w:tcBorders/>
            <w:vAlign w:val="center"/>
          </w:tcPr>
          <w:p>
            <w:pPr>
              <w:pStyle w:val="TableHeading"/>
              <w:suppressLineNumbers/>
              <w:shd w:fill="EEEEEE" w:val="clear"/>
              <w:bidi w:val="0"/>
              <w:spacing w:before="0" w:after="283"/>
              <w:jc w:val="left"/>
              <w:rPr/>
            </w:pPr>
            <w:r>
              <w:rPr/>
              <w:t>Instance</w:t>
            </w:r>
          </w:p>
        </w:tc>
        <w:tc>
          <w:tcPr>
            <w:tcW w:w="1844" w:type="dxa"/>
            <w:tcBorders/>
            <w:vAlign w:val="center"/>
          </w:tcPr>
          <w:p>
            <w:pPr>
              <w:pStyle w:val="TableHeading"/>
              <w:suppressLineNumbers/>
              <w:shd w:fill="EEEEEE" w:val="clear"/>
              <w:bidi w:val="0"/>
              <w:spacing w:before="0" w:after="283"/>
              <w:jc w:val="left"/>
              <w:rPr/>
            </w:pPr>
            <w:r>
              <w:rPr/>
              <w:t>Database</w:t>
            </w:r>
          </w:p>
        </w:tc>
        <w:tc>
          <w:tcPr>
            <w:tcW w:w="843" w:type="dxa"/>
            <w:tcBorders/>
            <w:vAlign w:val="center"/>
          </w:tcPr>
          <w:p>
            <w:pPr>
              <w:pStyle w:val="TableHeading"/>
              <w:suppressLineNumbers/>
              <w:shd w:fill="EEEEEE" w:val="clear"/>
              <w:bidi w:val="0"/>
              <w:spacing w:before="0" w:after="283"/>
              <w:jc w:val="left"/>
              <w:rPr/>
            </w:pPr>
            <w:r>
              <w:rPr/>
              <w:t>Tables</w:t>
            </w:r>
          </w:p>
        </w:tc>
        <w:tc>
          <w:tcPr>
            <w:tcW w:w="6701" w:type="dxa"/>
            <w:tcBorders/>
            <w:vAlign w:val="center"/>
          </w:tcPr>
          <w:p>
            <w:pPr>
              <w:pStyle w:val="TableHeading"/>
              <w:suppressLineNumbers/>
              <w:shd w:fill="EEEEEE" w:val="clear"/>
              <w:bidi w:val="0"/>
              <w:spacing w:before="0" w:after="283"/>
              <w:jc w:val="left"/>
              <w:rPr/>
            </w:pPr>
            <w:r>
              <w:rPr/>
              <w:t>Holds</w:t>
            </w:r>
          </w:p>
        </w:tc>
      </w:tr>
      <w:tr>
        <w:trPr/>
        <w:tc>
          <w:tcPr>
            <w:tcW w:w="1951" w:type="dxa"/>
            <w:vMerge w:val="restart"/>
            <w:tcBorders/>
            <w:vAlign w:val="center"/>
          </w:tcPr>
          <w:p>
            <w:pPr>
              <w:pStyle w:val="TableContents"/>
              <w:bidi w:val="0"/>
              <w:spacing w:before="0" w:after="283"/>
              <w:jc w:val="left"/>
              <w:rPr/>
            </w:pPr>
            <w:r>
              <w:rPr/>
              <w:t>shared</w:t>
            </w:r>
          </w:p>
        </w:tc>
        <w:tc>
          <w:tcPr>
            <w:tcW w:w="1844" w:type="dxa"/>
            <w:tcBorders/>
            <w:vAlign w:val="center"/>
          </w:tcPr>
          <w:p>
            <w:pPr>
              <w:pStyle w:val="TableContents"/>
              <w:bidi w:val="0"/>
              <w:spacing w:before="0" w:after="283"/>
              <w:jc w:val="left"/>
              <w:rPr/>
            </w:pPr>
            <w:r>
              <w:rPr/>
              <w:t>core</w:t>
            </w:r>
          </w:p>
        </w:tc>
        <w:tc>
          <w:tcPr>
            <w:tcW w:w="843" w:type="dxa"/>
            <w:tcBorders/>
            <w:vAlign w:val="center"/>
          </w:tcPr>
          <w:p>
            <w:pPr>
              <w:pStyle w:val="TableContents"/>
              <w:bidi w:val="0"/>
              <w:spacing w:before="0" w:after="283"/>
              <w:jc w:val="left"/>
              <w:rPr/>
            </w:pPr>
            <w:r>
              <w:rPr/>
              <w:t>6</w:t>
            </w:r>
          </w:p>
        </w:tc>
        <w:tc>
          <w:tcPr>
            <w:tcW w:w="6701" w:type="dxa"/>
            <w:tcBorders/>
            <w:vAlign w:val="center"/>
          </w:tcPr>
          <w:p>
            <w:pPr>
              <w:pStyle w:val="TableContents"/>
              <w:bidi w:val="0"/>
              <w:spacing w:before="0" w:after="283"/>
              <w:jc w:val="left"/>
              <w:rPr/>
            </w:pPr>
            <w:r>
              <w:rPr/>
              <w:t>Accounts, passkeys, recovery codes, trusted devices, sessions, login events</w:t>
            </w:r>
          </w:p>
        </w:tc>
      </w:tr>
      <w:tr>
        <w:trPr/>
        <w:tc>
          <w:tcPr>
            <w:tcW w:w="1951" w:type="dxa"/>
            <w:vMerge w:val="continue"/>
            <w:tcBorders/>
            <w:vAlign w:val="center"/>
          </w:tcPr>
          <w:p>
            <w:pPr>
              <w:pStyle w:val="TableContents"/>
              <w:bidi w:val="0"/>
              <w:spacing w:before="0" w:after="283"/>
              <w:jc w:val="left"/>
              <w:rPr>
                <w:sz w:val="4"/>
                <w:szCs w:val="4"/>
              </w:rPr>
            </w:pPr>
            <w:r>
              <w:rPr>
                <w:sz w:val="4"/>
                <w:szCs w:val="4"/>
              </w:rPr>
            </w:r>
          </w:p>
        </w:tc>
        <w:tc>
          <w:tcPr>
            <w:tcW w:w="1844" w:type="dxa"/>
            <w:tcBorders/>
            <w:vAlign w:val="center"/>
          </w:tcPr>
          <w:p>
            <w:pPr>
              <w:pStyle w:val="TableContents"/>
              <w:bidi w:val="0"/>
              <w:spacing w:before="0" w:after="283"/>
              <w:jc w:val="left"/>
              <w:rPr/>
            </w:pPr>
            <w:r>
              <w:rPr/>
              <w:t>community_vault</w:t>
            </w:r>
          </w:p>
        </w:tc>
        <w:tc>
          <w:tcPr>
            <w:tcW w:w="843" w:type="dxa"/>
            <w:tcBorders/>
            <w:vAlign w:val="center"/>
          </w:tcPr>
          <w:p>
            <w:pPr>
              <w:pStyle w:val="TableContents"/>
              <w:bidi w:val="0"/>
              <w:spacing w:before="0" w:after="283"/>
              <w:jc w:val="left"/>
              <w:rPr/>
            </w:pPr>
            <w:r>
              <w:rPr/>
              <w:t>15</w:t>
            </w:r>
          </w:p>
        </w:tc>
        <w:tc>
          <w:tcPr>
            <w:tcW w:w="6701" w:type="dxa"/>
            <w:tcBorders/>
            <w:vAlign w:val="center"/>
          </w:tcPr>
          <w:p>
            <w:pPr>
              <w:pStyle w:val="TableContents"/>
              <w:bidi w:val="0"/>
              <w:spacing w:before="0" w:after="283"/>
              <w:jc w:val="left"/>
              <w:rPr/>
            </w:pPr>
            <w:r>
              <w:rPr/>
              <w:t>Personas, posts, replies, reports, blocks</w:t>
            </w:r>
          </w:p>
        </w:tc>
      </w:tr>
      <w:tr>
        <w:trPr/>
        <w:tc>
          <w:tcPr>
            <w:tcW w:w="1951" w:type="dxa"/>
            <w:vMerge w:val="continue"/>
            <w:tcBorders/>
            <w:vAlign w:val="center"/>
          </w:tcPr>
          <w:p>
            <w:pPr>
              <w:pStyle w:val="TableContents"/>
              <w:bidi w:val="0"/>
              <w:spacing w:before="0" w:after="283"/>
              <w:jc w:val="left"/>
              <w:rPr>
                <w:sz w:val="4"/>
                <w:szCs w:val="4"/>
              </w:rPr>
            </w:pPr>
            <w:r>
              <w:rPr>
                <w:sz w:val="4"/>
                <w:szCs w:val="4"/>
              </w:rPr>
            </w:r>
          </w:p>
        </w:tc>
        <w:tc>
          <w:tcPr>
            <w:tcW w:w="1844" w:type="dxa"/>
            <w:tcBorders/>
            <w:vAlign w:val="center"/>
          </w:tcPr>
          <w:p>
            <w:pPr>
              <w:pStyle w:val="TableContents"/>
              <w:bidi w:val="0"/>
              <w:spacing w:before="0" w:after="283"/>
              <w:jc w:val="left"/>
              <w:rPr/>
            </w:pPr>
            <w:r>
              <w:rPr/>
              <w:t>clinical_vault</w:t>
            </w:r>
          </w:p>
        </w:tc>
        <w:tc>
          <w:tcPr>
            <w:tcW w:w="843" w:type="dxa"/>
            <w:tcBorders/>
            <w:vAlign w:val="center"/>
          </w:tcPr>
          <w:p>
            <w:pPr>
              <w:pStyle w:val="TableContents"/>
              <w:bidi w:val="0"/>
              <w:spacing w:before="0" w:after="283"/>
              <w:jc w:val="left"/>
              <w:rPr/>
            </w:pPr>
            <w:r>
              <w:rPr/>
              <w:t>11</w:t>
            </w:r>
          </w:p>
        </w:tc>
        <w:tc>
          <w:tcPr>
            <w:tcW w:w="6701" w:type="dxa"/>
            <w:tcBorders/>
            <w:vAlign w:val="center"/>
          </w:tcPr>
          <w:p>
            <w:pPr>
              <w:pStyle w:val="TableContents"/>
              <w:bidi w:val="0"/>
              <w:spacing w:before="0" w:after="283"/>
              <w:jc w:val="left"/>
              <w:rPr/>
            </w:pPr>
            <w:r>
              <w:rPr/>
              <w:t>Journals, moods, stories, therapy records</w:t>
            </w:r>
          </w:p>
        </w:tc>
      </w:tr>
      <w:tr>
        <w:trPr/>
        <w:tc>
          <w:tcPr>
            <w:tcW w:w="1951" w:type="dxa"/>
            <w:vMerge w:val="continue"/>
            <w:tcBorders/>
            <w:vAlign w:val="center"/>
          </w:tcPr>
          <w:p>
            <w:pPr>
              <w:pStyle w:val="TableContents"/>
              <w:bidi w:val="0"/>
              <w:spacing w:before="0" w:after="283"/>
              <w:jc w:val="left"/>
              <w:rPr>
                <w:sz w:val="4"/>
                <w:szCs w:val="4"/>
              </w:rPr>
            </w:pPr>
            <w:r>
              <w:rPr>
                <w:sz w:val="4"/>
                <w:szCs w:val="4"/>
              </w:rPr>
            </w:r>
          </w:p>
        </w:tc>
        <w:tc>
          <w:tcPr>
            <w:tcW w:w="1844" w:type="dxa"/>
            <w:tcBorders/>
            <w:vAlign w:val="center"/>
          </w:tcPr>
          <w:p>
            <w:pPr>
              <w:pStyle w:val="TableContents"/>
              <w:bidi w:val="0"/>
              <w:spacing w:before="0" w:after="283"/>
              <w:jc w:val="left"/>
              <w:rPr/>
            </w:pPr>
            <w:r>
              <w:rPr/>
              <w:t>billing_vault</w:t>
            </w:r>
          </w:p>
        </w:tc>
        <w:tc>
          <w:tcPr>
            <w:tcW w:w="843" w:type="dxa"/>
            <w:tcBorders/>
            <w:vAlign w:val="center"/>
          </w:tcPr>
          <w:p>
            <w:pPr>
              <w:pStyle w:val="TableContents"/>
              <w:bidi w:val="0"/>
              <w:spacing w:before="0" w:after="283"/>
              <w:jc w:val="left"/>
              <w:rPr/>
            </w:pPr>
            <w:r>
              <w:rPr/>
              <w:t>7</w:t>
            </w:r>
          </w:p>
        </w:tc>
        <w:tc>
          <w:tcPr>
            <w:tcW w:w="6701" w:type="dxa"/>
            <w:tcBorders/>
            <w:vAlign w:val="center"/>
          </w:tcPr>
          <w:p>
            <w:pPr>
              <w:pStyle w:val="TableContents"/>
              <w:bidi w:val="0"/>
              <w:spacing w:before="0" w:after="283"/>
              <w:jc w:val="left"/>
              <w:rPr/>
            </w:pPr>
            <w:r>
              <w:rPr/>
              <w:t>Subscriptions, payments, subsidy allocations</w:t>
            </w:r>
          </w:p>
        </w:tc>
      </w:tr>
      <w:tr>
        <w:trPr/>
        <w:tc>
          <w:tcPr>
            <w:tcW w:w="1951" w:type="dxa"/>
            <w:tcBorders/>
            <w:vAlign w:val="center"/>
          </w:tcPr>
          <w:p>
            <w:pPr>
              <w:pStyle w:val="TableContents"/>
              <w:bidi w:val="0"/>
              <w:spacing w:before="0" w:after="283"/>
              <w:jc w:val="left"/>
              <w:rPr/>
            </w:pPr>
            <w:r>
              <w:rPr/>
              <w:t xml:space="preserve">identity </w:t>
            </w:r>
            <w:r>
              <w:rPr>
                <w:i/>
              </w:rPr>
              <w:t>(dedicated)</w:t>
            </w:r>
          </w:p>
        </w:tc>
        <w:tc>
          <w:tcPr>
            <w:tcW w:w="1844" w:type="dxa"/>
            <w:tcBorders/>
            <w:vAlign w:val="center"/>
          </w:tcPr>
          <w:p>
            <w:pPr>
              <w:pStyle w:val="TableContents"/>
              <w:bidi w:val="0"/>
              <w:spacing w:before="0" w:after="283"/>
              <w:jc w:val="left"/>
              <w:rPr/>
            </w:pPr>
            <w:r>
              <w:rPr/>
              <w:t>identity_vault</w:t>
            </w:r>
          </w:p>
        </w:tc>
        <w:tc>
          <w:tcPr>
            <w:tcW w:w="843" w:type="dxa"/>
            <w:tcBorders/>
            <w:vAlign w:val="center"/>
          </w:tcPr>
          <w:p>
            <w:pPr>
              <w:pStyle w:val="TableContents"/>
              <w:bidi w:val="0"/>
              <w:spacing w:before="0" w:after="283"/>
              <w:jc w:val="left"/>
              <w:rPr/>
            </w:pPr>
            <w:r>
              <w:rPr/>
              <w:t>11</w:t>
            </w:r>
          </w:p>
        </w:tc>
        <w:tc>
          <w:tcPr>
            <w:tcW w:w="6701" w:type="dxa"/>
            <w:tcBorders/>
            <w:vAlign w:val="center"/>
          </w:tcPr>
          <w:p>
            <w:pPr>
              <w:pStyle w:val="TableContents"/>
              <w:bidi w:val="0"/>
              <w:spacing w:before="0" w:after="283"/>
              <w:jc w:val="left"/>
              <w:rPr/>
            </w:pPr>
            <w:r>
              <w:rPr/>
              <w:t>Real names, verified numbers, emergency contacts, break-glass cases</w:t>
            </w:r>
          </w:p>
        </w:tc>
      </w:tr>
      <w:tr>
        <w:trPr/>
        <w:tc>
          <w:tcPr>
            <w:tcW w:w="1951" w:type="dxa"/>
            <w:tcBorders/>
            <w:vAlign w:val="center"/>
          </w:tcPr>
          <w:p>
            <w:pPr>
              <w:pStyle w:val="TableContents"/>
              <w:bidi w:val="0"/>
              <w:spacing w:before="0" w:after="283"/>
              <w:jc w:val="left"/>
              <w:rPr/>
            </w:pPr>
            <w:r>
              <w:rPr/>
              <w:t xml:space="preserve">audit </w:t>
            </w:r>
            <w:r>
              <w:rPr>
                <w:i/>
              </w:rPr>
              <w:t>(dedicated)</w:t>
            </w:r>
          </w:p>
        </w:tc>
        <w:tc>
          <w:tcPr>
            <w:tcW w:w="1844" w:type="dxa"/>
            <w:tcBorders/>
            <w:vAlign w:val="center"/>
          </w:tcPr>
          <w:p>
            <w:pPr>
              <w:pStyle w:val="TableContents"/>
              <w:bidi w:val="0"/>
              <w:spacing w:before="0" w:after="283"/>
              <w:jc w:val="left"/>
              <w:rPr/>
            </w:pPr>
            <w:r>
              <w:rPr/>
              <w:t>audit_vault</w:t>
            </w:r>
          </w:p>
        </w:tc>
        <w:tc>
          <w:tcPr>
            <w:tcW w:w="843" w:type="dxa"/>
            <w:tcBorders/>
            <w:vAlign w:val="center"/>
          </w:tcPr>
          <w:p>
            <w:pPr>
              <w:pStyle w:val="TableContents"/>
              <w:bidi w:val="0"/>
              <w:spacing w:before="0" w:after="283"/>
              <w:jc w:val="left"/>
              <w:rPr/>
            </w:pPr>
            <w:r>
              <w:rPr/>
              <w:t>3</w:t>
            </w:r>
          </w:p>
        </w:tc>
        <w:tc>
          <w:tcPr>
            <w:tcW w:w="6701" w:type="dxa"/>
            <w:tcBorders/>
            <w:vAlign w:val="center"/>
          </w:tcPr>
          <w:p>
            <w:pPr>
              <w:pStyle w:val="TableContents"/>
              <w:bidi w:val="0"/>
              <w:spacing w:before="0" w:after="283"/>
              <w:jc w:val="left"/>
              <w:rPr/>
            </w:pPr>
            <w:r>
              <w:rPr/>
              <w:t>Append-only, hash-chained event log</w:t>
            </w:r>
          </w:p>
        </w:tc>
      </w:tr>
    </w:tbl>
    <w:p>
      <w:pPr>
        <w:pStyle w:val="Heading3"/>
        <w:bidi w:val="0"/>
        <w:rPr/>
      </w:pPr>
      <w:r>
        <w:rPr/>
        <w:t>3.2  Seventeen services and an AI tier, behind one door</w:t>
      </w:r>
    </w:p>
    <w:p>
      <w:pPr>
        <w:pStyle w:val="BodyText"/>
        <w:bidi w:val="0"/>
        <w:rPr/>
      </w:pPr>
      <w:r>
        <w:rPr/>
        <w:t xml:space="preserve">Every request enters through the privacy gateway and nothing reaches a service directly. The gateway runs a nine-stage pipeline — route policy, session, RBAC, consent, purpose limitation, rate limiting, data minimisation, audit, then forward. </w:t>
      </w:r>
      <w:r>
        <w:rPr>
          <w:b/>
        </w:rPr>
        <w:t>26 API groups</w:t>
      </w:r>
      <w:r>
        <w:rPr/>
        <w:t xml:space="preserve"> are declared in metadata; the gateway's entire routing and authorisation behaviour is derived from that file rather than written in code.</w:t>
      </w:r>
    </w:p>
    <w:p>
      <w:pPr>
        <w:pStyle w:val="BodyText"/>
        <w:bidi w:val="0"/>
        <w:rPr/>
      </w:pPr>
      <w:r>
        <w:rPr/>
        <w:t xml:space="preserve">Audit is written </w:t>
      </w:r>
      <w:r>
        <w:rPr>
          <w:i/>
        </w:rPr>
        <w:t>before</w:t>
      </w:r>
      <w:r>
        <w:rPr/>
        <w:t xml:space="preserve"> the request is forwarded, not after. That is the only arrangement that satisfies both rules at once: every access decision is recorded, and nothing is recorded that did not happen.</w:t>
      </w:r>
    </w:p>
    <w:p>
      <w:pPr>
        <w:pStyle w:val="Heading3"/>
        <w:bidi w:val="0"/>
        <w:rPr/>
      </w:pPr>
      <w:r>
        <w:rPr/>
        <w:t>3.3  Technology decisions, settled</w:t>
      </w:r>
    </w:p>
    <w:tbl>
      <w:tblPr>
        <w:tblW w:w="9244" w:type="dxa"/>
        <w:jc w:val="left"/>
        <w:tblInd w:w="28" w:type="dxa"/>
        <w:tblLayout w:type="fixed"/>
        <w:tblCellMar>
          <w:top w:w="28" w:type="dxa"/>
          <w:left w:w="28" w:type="dxa"/>
          <w:bottom w:w="28" w:type="dxa"/>
          <w:right w:w="28" w:type="dxa"/>
        </w:tblCellMar>
      </w:tblPr>
      <w:tblGrid>
        <w:gridCol w:w="1851"/>
        <w:gridCol w:w="7393"/>
      </w:tblGrid>
      <w:tr>
        <w:trPr/>
        <w:tc>
          <w:tcPr>
            <w:tcW w:w="1851" w:type="dxa"/>
            <w:tcBorders/>
            <w:vAlign w:val="center"/>
          </w:tcPr>
          <w:p>
            <w:pPr>
              <w:pStyle w:val="TableContents"/>
              <w:bidi w:val="0"/>
              <w:spacing w:before="0" w:after="283"/>
              <w:jc w:val="left"/>
              <w:rPr/>
            </w:pPr>
            <w:r>
              <w:rPr/>
              <w:t>Runtime</w:t>
            </w:r>
          </w:p>
        </w:tc>
        <w:tc>
          <w:tcPr>
            <w:tcW w:w="7393" w:type="dxa"/>
            <w:tcBorders/>
            <w:vAlign w:val="center"/>
          </w:tcPr>
          <w:p>
            <w:pPr>
              <w:pStyle w:val="TableContents"/>
              <w:bidi w:val="0"/>
              <w:spacing w:before="0" w:after="283"/>
              <w:jc w:val="left"/>
              <w:rPr/>
            </w:pPr>
            <w:r>
              <w:rPr/>
              <w:t>Node 26, TypeScript, pnpm workspaces + Turborepo</w:t>
            </w:r>
          </w:p>
        </w:tc>
      </w:tr>
      <w:tr>
        <w:trPr/>
        <w:tc>
          <w:tcPr>
            <w:tcW w:w="1851" w:type="dxa"/>
            <w:tcBorders/>
            <w:vAlign w:val="center"/>
          </w:tcPr>
          <w:p>
            <w:pPr>
              <w:pStyle w:val="TableContents"/>
              <w:bidi w:val="0"/>
              <w:spacing w:before="0" w:after="283"/>
              <w:jc w:val="left"/>
              <w:rPr/>
            </w:pPr>
            <w:r>
              <w:rPr/>
              <w:t>AI tier</w:t>
            </w:r>
          </w:p>
        </w:tc>
        <w:tc>
          <w:tcPr>
            <w:tcW w:w="7393" w:type="dxa"/>
            <w:tcBorders/>
            <w:vAlign w:val="center"/>
          </w:tcPr>
          <w:p>
            <w:pPr>
              <w:pStyle w:val="TableContents"/>
              <w:bidi w:val="0"/>
              <w:spacing w:before="0" w:after="283"/>
              <w:jc w:val="left"/>
              <w:rPr/>
            </w:pPr>
            <w:r>
              <w:rPr/>
              <w:t>Python, FastAPI, PyTorch — separate deployable, holds no vault credential</w:t>
            </w:r>
          </w:p>
        </w:tc>
      </w:tr>
      <w:tr>
        <w:trPr/>
        <w:tc>
          <w:tcPr>
            <w:tcW w:w="1851" w:type="dxa"/>
            <w:tcBorders/>
            <w:vAlign w:val="center"/>
          </w:tcPr>
          <w:p>
            <w:pPr>
              <w:pStyle w:val="TableContents"/>
              <w:bidi w:val="0"/>
              <w:spacing w:before="0" w:after="283"/>
              <w:jc w:val="left"/>
              <w:rPr/>
            </w:pPr>
            <w:r>
              <w:rPr/>
              <w:t>Sessions</w:t>
            </w:r>
          </w:p>
        </w:tc>
        <w:tc>
          <w:tcPr>
            <w:tcW w:w="7393" w:type="dxa"/>
            <w:tcBorders/>
            <w:vAlign w:val="center"/>
          </w:tcPr>
          <w:p>
            <w:pPr>
              <w:pStyle w:val="TableContents"/>
              <w:bidi w:val="0"/>
              <w:spacing w:before="0" w:after="283"/>
              <w:jc w:val="left"/>
              <w:rPr/>
            </w:pPr>
            <w:r>
              <w:rPr/>
              <w:t>Opaque tokens in Redis, not JWTs — so revocation is instant</w:t>
            </w:r>
          </w:p>
        </w:tc>
      </w:tr>
      <w:tr>
        <w:trPr/>
        <w:tc>
          <w:tcPr>
            <w:tcW w:w="1851" w:type="dxa"/>
            <w:tcBorders/>
            <w:vAlign w:val="center"/>
          </w:tcPr>
          <w:p>
            <w:pPr>
              <w:pStyle w:val="TableContents"/>
              <w:bidi w:val="0"/>
              <w:spacing w:before="0" w:after="283"/>
              <w:jc w:val="left"/>
              <w:rPr/>
            </w:pPr>
            <w:r>
              <w:rPr/>
              <w:t>Authentication</w:t>
            </w:r>
          </w:p>
        </w:tc>
        <w:tc>
          <w:tcPr>
            <w:tcW w:w="7393" w:type="dxa"/>
            <w:tcBorders/>
            <w:vAlign w:val="center"/>
          </w:tcPr>
          <w:p>
            <w:pPr>
              <w:pStyle w:val="TableContents"/>
              <w:bidi w:val="0"/>
              <w:spacing w:before="0" w:after="283"/>
              <w:jc w:val="left"/>
              <w:rPr/>
            </w:pPr>
            <w:r>
              <w:rPr/>
              <w:t>Phone + OTP, WebAuthn passkeys, recovery codes</w:t>
            </w:r>
          </w:p>
        </w:tc>
      </w:tr>
      <w:tr>
        <w:trPr/>
        <w:tc>
          <w:tcPr>
            <w:tcW w:w="1851" w:type="dxa"/>
            <w:tcBorders/>
            <w:vAlign w:val="center"/>
          </w:tcPr>
          <w:p>
            <w:pPr>
              <w:pStyle w:val="TableContents"/>
              <w:bidi w:val="0"/>
              <w:spacing w:before="0" w:after="283"/>
              <w:jc w:val="left"/>
              <w:rPr/>
            </w:pPr>
            <w:r>
              <w:rPr/>
              <w:t>Encryption</w:t>
            </w:r>
          </w:p>
        </w:tc>
        <w:tc>
          <w:tcPr>
            <w:tcW w:w="7393" w:type="dxa"/>
            <w:tcBorders/>
            <w:vAlign w:val="center"/>
          </w:tcPr>
          <w:p>
            <w:pPr>
              <w:pStyle w:val="TableContents"/>
              <w:bidi w:val="0"/>
              <w:spacing w:before="0" w:after="283"/>
              <w:jc w:val="left"/>
              <w:rPr/>
            </w:pPr>
            <w:r>
              <w:rPr/>
              <w:t>Envelope encryption per record; OpenBao Transit holds the keys</w:t>
            </w:r>
          </w:p>
        </w:tc>
      </w:tr>
      <w:tr>
        <w:trPr/>
        <w:tc>
          <w:tcPr>
            <w:tcW w:w="1851" w:type="dxa"/>
            <w:tcBorders/>
            <w:vAlign w:val="center"/>
          </w:tcPr>
          <w:p>
            <w:pPr>
              <w:pStyle w:val="TableContents"/>
              <w:bidi w:val="0"/>
              <w:spacing w:before="0" w:after="283"/>
              <w:jc w:val="left"/>
              <w:rPr/>
            </w:pPr>
            <w:r>
              <w:rPr/>
              <w:t>Service-to-service</w:t>
            </w:r>
          </w:p>
        </w:tc>
        <w:tc>
          <w:tcPr>
            <w:tcW w:w="7393" w:type="dxa"/>
            <w:tcBorders/>
            <w:vAlign w:val="center"/>
          </w:tcPr>
          <w:p>
            <w:pPr>
              <w:pStyle w:val="TableContents"/>
              <w:bidi w:val="0"/>
              <w:spacing w:before="0" w:after="283"/>
              <w:jc w:val="left"/>
              <w:rPr/>
            </w:pPr>
            <w:r>
              <w:rPr/>
              <w:t>HMAC-signed identity headers (mTLS before production)</w:t>
            </w:r>
          </w:p>
        </w:tc>
      </w:tr>
      <w:tr>
        <w:trPr/>
        <w:tc>
          <w:tcPr>
            <w:tcW w:w="1851" w:type="dxa"/>
            <w:tcBorders/>
            <w:vAlign w:val="center"/>
          </w:tcPr>
          <w:p>
            <w:pPr>
              <w:pStyle w:val="TableContents"/>
              <w:bidi w:val="0"/>
              <w:spacing w:before="0" w:after="283"/>
              <w:jc w:val="left"/>
              <w:rPr/>
            </w:pPr>
            <w:r>
              <w:rPr/>
              <w:t>A1 moderation</w:t>
            </w:r>
          </w:p>
        </w:tc>
        <w:tc>
          <w:tcPr>
            <w:tcW w:w="7393" w:type="dxa"/>
            <w:tcBorders/>
            <w:vAlign w:val="center"/>
          </w:tcPr>
          <w:p>
            <w:pPr>
              <w:pStyle w:val="TableContents"/>
              <w:bidi w:val="0"/>
              <w:spacing w:before="0" w:after="283"/>
              <w:jc w:val="left"/>
              <w:rPr/>
            </w:pPr>
            <w:r>
              <w:rPr/>
              <w:t>MuRIL-large, 506M parameters, self-hosted on the GPU</w:t>
            </w:r>
          </w:p>
        </w:tc>
      </w:tr>
    </w:tbl>
    <w:p>
      <w:pPr>
        <w:pStyle w:val="Heading3"/>
        <w:bidi w:val="0"/>
        <w:rPr/>
      </w:pPr>
      <w:r>
        <w:rPr/>
        <w:t>3.4  Three mechanisms worth understanding</w:t>
      </w:r>
    </w:p>
    <w:p>
      <w:pPr>
        <w:pStyle w:val="BodyText"/>
        <w:bidi w:val="0"/>
        <w:rPr/>
      </w:pPr>
      <w:r>
        <w:rPr>
          <w:b/>
        </w:rPr>
        <w:t>The audit chain.</w:t>
      </w:r>
      <w:r>
        <w:rPr/>
        <w:t xml:space="preserve"> Every row carries the hash of the row before it. Tampering with any row breaks every hash after it, so the log can prove it has not been edited. A failed audit write fails the operation it was recording — an unrecorded access is treated as an access that must not happen.</w:t>
      </w:r>
    </w:p>
    <w:p>
      <w:pPr>
        <w:pStyle w:val="BodyText"/>
        <w:bidi w:val="0"/>
        <w:rPr/>
      </w:pPr>
      <w:r>
        <w:rPr>
          <w:b/>
        </w:rPr>
        <w:t>Metadata as the source of truth.</w:t>
      </w:r>
      <w:r>
        <w:rPr/>
        <w:t xml:space="preserve"> Route policy, plan quotas, consent purposes, audit event types and the handle vocabulary all live in schema-validated YAML. There are no hardcoded lists in code, which means a policy change is reviewable by someone who does not read TypeScript.</w:t>
      </w:r>
    </w:p>
    <w:p>
      <w:pPr>
        <w:pStyle w:val="BodyText"/>
        <w:bidi w:val="0"/>
        <w:rPr/>
      </w:pPr>
      <w:r>
        <w:rPr>
          <w:b/>
        </w:rPr>
        <w:t>Signed identity headers, driven by what is present.</w:t>
      </w:r>
      <w:r>
        <w:rPr/>
        <w:t xml:space="preserve"> The gateway signs its assertion about who is calling; every service verifies it. The canonical form covers whichever </w:t>
      </w:r>
      <w:r>
        <w:rPr>
          <w:rStyle w:val="SourceText"/>
        </w:rPr>
        <w:t>x-alaap-*</w:t>
      </w:r>
      <w:r>
        <w:rPr/>
        <w:t xml:space="preserve"> fields are present rather than a fixed list, so adding a field does not require redeploying every service at once. There are two implementations of this contract — one TypeScript, one Python — and the Python one is tested against signatures generated by the real Node signer rather than against itself.</w:t>
      </w:r>
    </w:p>
    <w:p>
      <w:pPr>
        <w:pStyle w:val="Heading2"/>
        <w:bidi w:val="0"/>
        <w:rPr/>
      </w:pPr>
      <w:r>
        <w:rPr/>
        <w:t>4.  What Is Actually Built</w:t>
      </w:r>
    </w:p>
    <w:p>
      <w:pPr>
        <w:pStyle w:val="BodyText"/>
        <w:bidi w:val="0"/>
        <w:rPr/>
      </w:pPr>
      <w:r>
        <w:rPr/>
        <w:t>Five milestones complete. The numbers below come from the repository and the running stack.</w:t>
      </w:r>
    </w:p>
    <w:tbl>
      <w:tblPr>
        <w:tblW w:w="11339" w:type="dxa"/>
        <w:jc w:val="left"/>
        <w:tblInd w:w="28" w:type="dxa"/>
        <w:tblLayout w:type="fixed"/>
        <w:tblCellMar>
          <w:top w:w="28" w:type="dxa"/>
          <w:left w:w="28" w:type="dxa"/>
          <w:bottom w:w="28" w:type="dxa"/>
          <w:right w:w="28" w:type="dxa"/>
        </w:tblCellMar>
      </w:tblPr>
      <w:tblGrid>
        <w:gridCol w:w="3169"/>
        <w:gridCol w:w="1441"/>
        <w:gridCol w:w="6729"/>
      </w:tblGrid>
      <w:tr>
        <w:trPr/>
        <w:tc>
          <w:tcPr>
            <w:tcW w:w="3169" w:type="dxa"/>
            <w:tcBorders/>
            <w:vAlign w:val="center"/>
          </w:tcPr>
          <w:p>
            <w:pPr>
              <w:pStyle w:val="TableHeading"/>
              <w:suppressLineNumbers/>
              <w:shd w:fill="EEEEEE" w:val="clear"/>
              <w:bidi w:val="0"/>
              <w:spacing w:before="0" w:after="283"/>
              <w:jc w:val="left"/>
              <w:rPr/>
            </w:pPr>
            <w:r>
              <w:rPr/>
              <w:t>Component</w:t>
            </w:r>
          </w:p>
        </w:tc>
        <w:tc>
          <w:tcPr>
            <w:tcW w:w="1441" w:type="dxa"/>
            <w:tcBorders/>
            <w:vAlign w:val="center"/>
          </w:tcPr>
          <w:p>
            <w:pPr>
              <w:pStyle w:val="TableHeading"/>
              <w:suppressLineNumbers/>
              <w:shd w:fill="EEEEEE" w:val="clear"/>
              <w:bidi w:val="0"/>
              <w:spacing w:before="0" w:after="283"/>
              <w:jc w:val="left"/>
              <w:rPr/>
            </w:pPr>
            <w:r>
              <w:rPr/>
              <w:t>State</w:t>
            </w:r>
          </w:p>
        </w:tc>
        <w:tc>
          <w:tcPr>
            <w:tcW w:w="6729" w:type="dxa"/>
            <w:tcBorders/>
            <w:vAlign w:val="center"/>
          </w:tcPr>
          <w:p>
            <w:pPr>
              <w:pStyle w:val="TableHeading"/>
              <w:suppressLineNumbers/>
              <w:shd w:fill="EEEEEE" w:val="clear"/>
              <w:bidi w:val="0"/>
              <w:spacing w:before="0" w:after="283"/>
              <w:jc w:val="left"/>
              <w:rPr/>
            </w:pPr>
            <w:r>
              <w:rPr/>
              <w:t>Evidence</w:t>
            </w:r>
          </w:p>
        </w:tc>
      </w:tr>
      <w:tr>
        <w:trPr/>
        <w:tc>
          <w:tcPr>
            <w:tcW w:w="3169" w:type="dxa"/>
            <w:tcBorders/>
            <w:vAlign w:val="center"/>
          </w:tcPr>
          <w:p>
            <w:pPr>
              <w:pStyle w:val="TableContents"/>
              <w:bidi w:val="0"/>
              <w:spacing w:before="0" w:after="283"/>
              <w:ind w:hanging="0" w:left="0" w:right="0"/>
              <w:jc w:val="left"/>
              <w:rPr/>
            </w:pPr>
            <w:r>
              <w:rPr/>
              <w:t>Privacy gateway</w:t>
            </w:r>
          </w:p>
        </w:tc>
        <w:tc>
          <w:tcPr>
            <w:tcW w:w="1441" w:type="dxa"/>
            <w:tcBorders/>
            <w:vAlign w:val="center"/>
          </w:tcPr>
          <w:p>
            <w:pPr>
              <w:pStyle w:val="TableContents"/>
              <w:bidi w:val="0"/>
              <w:spacing w:before="0" w:after="283"/>
              <w:jc w:val="left"/>
              <w:rPr>
                <w:b/>
                <w:color w:val="1A6B2A"/>
              </w:rPr>
            </w:pPr>
            <w:r>
              <w:rPr>
                <w:b/>
                <w:color w:val="1A6B2A"/>
              </w:rPr>
              <w:t>RUNNING</w:t>
            </w:r>
          </w:p>
        </w:tc>
        <w:tc>
          <w:tcPr>
            <w:tcW w:w="6729" w:type="dxa"/>
            <w:tcBorders/>
            <w:vAlign w:val="center"/>
          </w:tcPr>
          <w:p>
            <w:pPr>
              <w:pStyle w:val="TableContents"/>
              <w:bidi w:val="0"/>
              <w:spacing w:before="0" w:after="283"/>
              <w:jc w:val="left"/>
              <w:rPr/>
            </w:pPr>
            <w:r>
              <w:rPr/>
              <w:t>9 stages, 26 route groups, 38 tests</w:t>
            </w:r>
          </w:p>
        </w:tc>
      </w:tr>
      <w:tr>
        <w:trPr/>
        <w:tc>
          <w:tcPr>
            <w:tcW w:w="3169" w:type="dxa"/>
            <w:tcBorders/>
            <w:vAlign w:val="center"/>
          </w:tcPr>
          <w:p>
            <w:pPr>
              <w:pStyle w:val="TableContents"/>
              <w:bidi w:val="0"/>
              <w:spacing w:before="0" w:after="283"/>
              <w:ind w:hanging="0" w:left="0" w:right="0"/>
              <w:jc w:val="left"/>
              <w:rPr/>
            </w:pPr>
            <w:r>
              <w:rPr/>
              <w:t>M0  Local infrastructure</w:t>
            </w:r>
          </w:p>
        </w:tc>
        <w:tc>
          <w:tcPr>
            <w:tcW w:w="1441" w:type="dxa"/>
            <w:tcBorders/>
            <w:vAlign w:val="center"/>
          </w:tcPr>
          <w:p>
            <w:pPr>
              <w:pStyle w:val="TableContents"/>
              <w:bidi w:val="0"/>
              <w:spacing w:before="0" w:after="283"/>
              <w:jc w:val="left"/>
              <w:rPr>
                <w:b/>
                <w:color w:val="1A6B2A"/>
              </w:rPr>
            </w:pPr>
            <w:r>
              <w:rPr>
                <w:b/>
                <w:color w:val="1A6B2A"/>
              </w:rPr>
              <w:t>COMPLETE</w:t>
            </w:r>
          </w:p>
        </w:tc>
        <w:tc>
          <w:tcPr>
            <w:tcW w:w="6729" w:type="dxa"/>
            <w:tcBorders/>
            <w:vAlign w:val="center"/>
          </w:tcPr>
          <w:p>
            <w:pPr>
              <w:pStyle w:val="TableContents"/>
              <w:bidi w:val="0"/>
              <w:spacing w:before="0" w:after="283"/>
              <w:jc w:val="left"/>
              <w:rPr/>
            </w:pPr>
            <w:r>
              <w:rPr/>
              <w:t>3 Postgres instances, Redis, OpenBao; 17 migration and grant files apply cleanly from scratch</w:t>
            </w:r>
          </w:p>
        </w:tc>
      </w:tr>
      <w:tr>
        <w:trPr/>
        <w:tc>
          <w:tcPr>
            <w:tcW w:w="3169" w:type="dxa"/>
            <w:tcBorders/>
            <w:vAlign w:val="center"/>
          </w:tcPr>
          <w:p>
            <w:pPr>
              <w:pStyle w:val="TableContents"/>
              <w:bidi w:val="0"/>
              <w:spacing w:before="0" w:after="283"/>
              <w:ind w:hanging="0" w:left="0" w:right="0"/>
              <w:jc w:val="left"/>
              <w:rPr/>
            </w:pPr>
            <w:r>
              <w:rPr/>
              <w:t>M1  Vault schemas</w:t>
            </w:r>
          </w:p>
        </w:tc>
        <w:tc>
          <w:tcPr>
            <w:tcW w:w="1441" w:type="dxa"/>
            <w:tcBorders/>
            <w:vAlign w:val="center"/>
          </w:tcPr>
          <w:p>
            <w:pPr>
              <w:pStyle w:val="TableContents"/>
              <w:bidi w:val="0"/>
              <w:spacing w:before="0" w:after="283"/>
              <w:jc w:val="left"/>
              <w:rPr>
                <w:b/>
                <w:color w:val="1A6B2A"/>
              </w:rPr>
            </w:pPr>
            <w:r>
              <w:rPr>
                <w:b/>
                <w:color w:val="1A6B2A"/>
              </w:rPr>
              <w:t>COMPLETE</w:t>
            </w:r>
          </w:p>
        </w:tc>
        <w:tc>
          <w:tcPr>
            <w:tcW w:w="6729" w:type="dxa"/>
            <w:tcBorders/>
            <w:vAlign w:val="center"/>
          </w:tcPr>
          <w:p>
            <w:pPr>
              <w:pStyle w:val="TableContents"/>
              <w:bidi w:val="0"/>
              <w:spacing w:before="0" w:after="283"/>
              <w:jc w:val="left"/>
              <w:rPr/>
            </w:pPr>
            <w:r>
              <w:rPr/>
              <w:t>53 tables; 127 audit event types seeded (62 declared, 65 derived from route policy)</w:t>
            </w:r>
          </w:p>
        </w:tc>
      </w:tr>
      <w:tr>
        <w:trPr/>
        <w:tc>
          <w:tcPr>
            <w:tcW w:w="3169" w:type="dxa"/>
            <w:tcBorders/>
            <w:vAlign w:val="center"/>
          </w:tcPr>
          <w:p>
            <w:pPr>
              <w:pStyle w:val="TableContents"/>
              <w:bidi w:val="0"/>
              <w:spacing w:before="0" w:after="283"/>
              <w:ind w:hanging="0" w:left="0" w:right="0"/>
              <w:jc w:val="left"/>
              <w:rPr/>
            </w:pPr>
            <w:r>
              <w:rPr/>
              <w:t>M2  Shared packages</w:t>
            </w:r>
          </w:p>
        </w:tc>
        <w:tc>
          <w:tcPr>
            <w:tcW w:w="1441" w:type="dxa"/>
            <w:tcBorders/>
            <w:vAlign w:val="center"/>
          </w:tcPr>
          <w:p>
            <w:pPr>
              <w:pStyle w:val="TableContents"/>
              <w:bidi w:val="0"/>
              <w:spacing w:before="0" w:after="283"/>
              <w:jc w:val="left"/>
              <w:rPr>
                <w:b/>
                <w:color w:val="1A6B2A"/>
              </w:rPr>
            </w:pPr>
            <w:r>
              <w:rPr>
                <w:b/>
                <w:color w:val="1A6B2A"/>
              </w:rPr>
              <w:t>COMPLETE</w:t>
            </w:r>
          </w:p>
        </w:tc>
        <w:tc>
          <w:tcPr>
            <w:tcW w:w="6729" w:type="dxa"/>
            <w:tcBorders/>
            <w:vAlign w:val="center"/>
          </w:tcPr>
          <w:p>
            <w:pPr>
              <w:pStyle w:val="TableContents"/>
              <w:bidi w:val="0"/>
              <w:spacing w:before="0" w:after="283"/>
              <w:jc w:val="left"/>
              <w:rPr/>
            </w:pPr>
            <w:r>
              <w:rPr/>
              <w:t>consent-policy-engine, audit-client, session-store, service-auth, shared-types</w:t>
            </w:r>
          </w:p>
        </w:tc>
      </w:tr>
      <w:tr>
        <w:trPr/>
        <w:tc>
          <w:tcPr>
            <w:tcW w:w="3169" w:type="dxa"/>
            <w:tcBorders/>
            <w:vAlign w:val="center"/>
          </w:tcPr>
          <w:p>
            <w:pPr>
              <w:pStyle w:val="TableContents"/>
              <w:bidi w:val="0"/>
              <w:spacing w:before="0" w:after="283"/>
              <w:ind w:hanging="0" w:left="0" w:right="0"/>
              <w:jc w:val="left"/>
              <w:rPr/>
            </w:pPr>
            <w:r>
              <w:rPr/>
              <w:t>M3  auth-service + pseudonym-service</w:t>
            </w:r>
          </w:p>
        </w:tc>
        <w:tc>
          <w:tcPr>
            <w:tcW w:w="1441" w:type="dxa"/>
            <w:tcBorders/>
            <w:vAlign w:val="center"/>
          </w:tcPr>
          <w:p>
            <w:pPr>
              <w:pStyle w:val="TableContents"/>
              <w:bidi w:val="0"/>
              <w:spacing w:before="0" w:after="283"/>
              <w:jc w:val="left"/>
              <w:rPr>
                <w:b/>
                <w:color w:val="1A6B2A"/>
              </w:rPr>
            </w:pPr>
            <w:r>
              <w:rPr>
                <w:b/>
                <w:color w:val="1A6B2A"/>
              </w:rPr>
              <w:t>COMPLETE</w:t>
            </w:r>
          </w:p>
        </w:tc>
        <w:tc>
          <w:tcPr>
            <w:tcW w:w="6729" w:type="dxa"/>
            <w:tcBorders/>
            <w:vAlign w:val="center"/>
          </w:tcPr>
          <w:p>
            <w:pPr>
              <w:pStyle w:val="TableContents"/>
              <w:bidi w:val="0"/>
              <w:spacing w:before="0" w:after="283"/>
              <w:jc w:val="left"/>
              <w:rPr/>
            </w:pPr>
            <w:r>
              <w:rPr/>
              <w:t>Registration, passkeys, OTP login, recovery codes, permanent handles, trusted devices</w:t>
            </w:r>
          </w:p>
        </w:tc>
      </w:tr>
      <w:tr>
        <w:trPr/>
        <w:tc>
          <w:tcPr>
            <w:tcW w:w="3169" w:type="dxa"/>
            <w:tcBorders/>
            <w:vAlign w:val="center"/>
          </w:tcPr>
          <w:p>
            <w:pPr>
              <w:pStyle w:val="TableContents"/>
              <w:bidi w:val="0"/>
              <w:spacing w:before="0" w:after="283"/>
              <w:ind w:hanging="0" w:left="0" w:right="0"/>
              <w:jc w:val="left"/>
              <w:rPr/>
            </w:pPr>
            <w:r>
              <w:rPr/>
              <w:t>M4  A1 served behind the gateway</w:t>
            </w:r>
          </w:p>
        </w:tc>
        <w:tc>
          <w:tcPr>
            <w:tcW w:w="1441" w:type="dxa"/>
            <w:tcBorders/>
            <w:vAlign w:val="center"/>
          </w:tcPr>
          <w:p>
            <w:pPr>
              <w:pStyle w:val="TableContents"/>
              <w:bidi w:val="0"/>
              <w:spacing w:before="0" w:after="283"/>
              <w:jc w:val="left"/>
              <w:rPr>
                <w:b/>
                <w:color w:val="1A6B2A"/>
              </w:rPr>
            </w:pPr>
            <w:r>
              <w:rPr>
                <w:b/>
                <w:color w:val="1A6B2A"/>
              </w:rPr>
              <w:t>COMPLETE</w:t>
            </w:r>
          </w:p>
        </w:tc>
        <w:tc>
          <w:tcPr>
            <w:tcW w:w="6729" w:type="dxa"/>
            <w:tcBorders/>
            <w:vAlign w:val="center"/>
          </w:tcPr>
          <w:p>
            <w:pPr>
              <w:pStyle w:val="TableContents"/>
              <w:bidi w:val="0"/>
              <w:spacing w:before="0" w:after="283"/>
              <w:jc w:val="left"/>
              <w:rPr/>
            </w:pPr>
            <w:r>
              <w:rPr/>
              <w:t>a1-v10 on the GPU; a harmful reply is blocked through the real request path and the access is audited</w:t>
            </w:r>
          </w:p>
        </w:tc>
      </w:tr>
      <w:tr>
        <w:trPr/>
        <w:tc>
          <w:tcPr>
            <w:tcW w:w="3169" w:type="dxa"/>
            <w:tcBorders/>
            <w:vAlign w:val="center"/>
          </w:tcPr>
          <w:p>
            <w:pPr>
              <w:pStyle w:val="TableContents"/>
              <w:bidi w:val="0"/>
              <w:spacing w:before="0" w:after="283"/>
              <w:ind w:hanging="0" w:left="0" w:right="0"/>
              <w:jc w:val="left"/>
              <w:rPr/>
            </w:pPr>
            <w:r>
              <w:rPr/>
              <w:t>M5  community + moderation services</w:t>
            </w:r>
          </w:p>
        </w:tc>
        <w:tc>
          <w:tcPr>
            <w:tcW w:w="1441" w:type="dxa"/>
            <w:tcBorders/>
            <w:vAlign w:val="center"/>
          </w:tcPr>
          <w:p>
            <w:pPr>
              <w:pStyle w:val="TableContents"/>
              <w:bidi w:val="0"/>
              <w:spacing w:before="0" w:after="283"/>
              <w:jc w:val="left"/>
              <w:rPr>
                <w:b/>
                <w:color w:val="9A5B00"/>
              </w:rPr>
            </w:pPr>
            <w:r>
              <w:rPr>
                <w:b/>
                <w:color w:val="9A5B00"/>
              </w:rPr>
              <w:t>NEXT</w:t>
            </w:r>
          </w:p>
        </w:tc>
        <w:tc>
          <w:tcPr>
            <w:tcW w:w="6729" w:type="dxa"/>
            <w:tcBorders/>
            <w:vAlign w:val="center"/>
          </w:tcPr>
          <w:p>
            <w:pPr>
              <w:pStyle w:val="TableContents"/>
              <w:bidi w:val="0"/>
              <w:spacing w:before="0" w:after="283"/>
              <w:jc w:val="left"/>
              <w:rPr/>
            </w:pPr>
            <w:r>
              <w:rPr/>
              <w:t>Not started</w:t>
            </w:r>
          </w:p>
        </w:tc>
      </w:tr>
    </w:tbl>
    <w:p>
      <w:pPr>
        <w:pStyle w:val="Heading3"/>
        <w:bidi w:val="0"/>
        <w:rPr/>
      </w:pPr>
      <w:r>
        <w:rPr/>
        <w:t>4.1  What M3 delivered</w:t>
      </w:r>
    </w:p>
    <w:p>
      <w:pPr>
        <w:pStyle w:val="BodyText"/>
        <w:bidi w:val="0"/>
        <w:rPr/>
      </w:pPr>
      <w:r>
        <w:rPr/>
        <w:t>Three ways back into an account, each covering the failure of the one above it:</w:t>
      </w:r>
    </w:p>
    <w:p>
      <w:pPr>
        <w:pStyle w:val="BodyText"/>
        <w:numPr>
          <w:ilvl w:val="0"/>
          <w:numId w:val="1"/>
        </w:numPr>
        <w:tabs>
          <w:tab w:val="clear" w:pos="1134"/>
          <w:tab w:val="left" w:pos="709" w:leader="none"/>
        </w:tabs>
        <w:bidi w:val="0"/>
        <w:spacing w:before="0" w:after="0"/>
        <w:ind w:hanging="283" w:left="709"/>
        <w:rPr/>
      </w:pPr>
      <w:r>
        <w:rPr>
          <w:b/>
        </w:rPr>
        <w:t>Passkey</w:t>
      </w:r>
      <w:r>
        <w:rPr/>
        <w:t xml:space="preserve"> — the member has their device. Real WebAuthn, verified against a virtual authenticator that signs with a genuine P-256 key rather than a stub. </w:t>
      </w:r>
    </w:p>
    <w:p>
      <w:pPr>
        <w:pStyle w:val="BodyText"/>
        <w:numPr>
          <w:ilvl w:val="0"/>
          <w:numId w:val="1"/>
        </w:numPr>
        <w:tabs>
          <w:tab w:val="clear" w:pos="1134"/>
          <w:tab w:val="left" w:pos="709" w:leader="none"/>
        </w:tabs>
        <w:bidi w:val="0"/>
        <w:spacing w:before="0" w:after="0"/>
        <w:ind w:hanging="283" w:left="709"/>
        <w:rPr/>
      </w:pPr>
      <w:r>
        <w:rPr>
          <w:b/>
        </w:rPr>
        <w:t>OTP</w:t>
      </w:r>
      <w:r>
        <w:rPr/>
        <w:t xml:space="preserve"> — the device is gone, the number is not. Rate limited per number, not per session, so clearing cookies does not reset it. </w:t>
      </w:r>
    </w:p>
    <w:p>
      <w:pPr>
        <w:pStyle w:val="BodyText"/>
        <w:numPr>
          <w:ilvl w:val="0"/>
          <w:numId w:val="1"/>
        </w:numPr>
        <w:tabs>
          <w:tab w:val="clear" w:pos="1134"/>
          <w:tab w:val="left" w:pos="709" w:leader="none"/>
        </w:tabs>
        <w:bidi w:val="0"/>
        <w:ind w:hanging="283" w:left="709"/>
        <w:rPr/>
      </w:pPr>
      <w:r>
        <w:rPr>
          <w:b/>
        </w:rPr>
        <w:t>Recovery code</w:t>
      </w:r>
      <w:r>
        <w:rPr/>
        <w:t xml:space="preserve"> — the number itself is gone. Deliberately requires no OTP, because that is precisely the situation it exists for. Single use, enforced by an atomic update. </w:t>
      </w:r>
    </w:p>
    <w:p>
      <w:pPr>
        <w:pStyle w:val="BodyText"/>
        <w:bidi w:val="0"/>
        <w:rPr/>
      </w:pPr>
      <w:r>
        <w:rPr/>
        <w:t>Every failure across all three returns an identical response, so none of them can be used to discover whether a given handle or number has an account on a mental health platform.</w:t>
      </w:r>
    </w:p>
    <w:p>
      <w:pPr>
        <w:pStyle w:val="BodyText"/>
        <w:bidi w:val="0"/>
        <w:rPr/>
      </w:pPr>
      <w:r>
        <w:rPr>
          <w:b/>
        </w:rPr>
        <w:t>Handles are permanent and always drawn.</w:t>
      </w:r>
      <w:r>
        <w:rPr/>
        <w:t xml:space="preserve"> </w:t>
      </w:r>
      <w:r>
        <w:rPr>
          <w:rStyle w:val="SourceText"/>
        </w:rPr>
        <w:t>QuietRiver-4821</w:t>
      </w:r>
      <w:r>
        <w:rPr/>
        <w:t xml:space="preserve">. Members cannot choose their own, and that absence is the privacy property: a chosen name is almost always a name already used elsewhere, and reusing it here would tie everything written about a person's mental health to their public identity. The vocabulary is 200 × 200 words × 9000 numbers = </w:t>
      </w:r>
      <w:r>
        <w:rPr>
          <w:b/>
        </w:rPr>
        <w:t>360 million</w:t>
      </w:r>
      <w:r>
        <w:rPr/>
        <w:t xml:space="preserve"> handles, about 36× the membership target — which matters because a permanent handle is never returned to the pool, making the vocabulary a hard ceiling on total accounts.</w:t>
      </w:r>
    </w:p>
    <w:p>
      <w:pPr>
        <w:pStyle w:val="BodyText"/>
        <w:bidi w:val="0"/>
        <w:rPr/>
      </w:pPr>
      <w:r>
        <w:rPr>
          <w:b/>
        </w:rPr>
        <w:t>Trusted devices are not credentials.</w:t>
      </w:r>
      <w:r>
        <w:rPr/>
        <w:t xml:space="preserve"> A device grants nothing, skips nothing, and shortens no login. It exists so a member can see where their account is signed in and end a session they do not recognise. The stored identifier is scoped to the account — </w:t>
      </w:r>
      <w:r>
        <w:rPr>
          <w:rStyle w:val="SourceText"/>
        </w:rPr>
        <w:t>HMAC(pepper, accountId ‖ deviceKey)</w:t>
      </w:r>
      <w:r>
        <w:rPr/>
        <w:t xml:space="preserve"> — so one physical phone produces a different hash for every account used on it, and the table cannot reveal that two pseudonymous accounts share a handset.</w:t>
      </w:r>
    </w:p>
    <w:p>
      <w:pPr>
        <w:pStyle w:val="Heading3"/>
        <w:bidi w:val="0"/>
        <w:rPr/>
      </w:pPr>
      <w:r>
        <w:rPr/>
        <w:t>4.2  What M4 delivered</w:t>
      </w:r>
    </w:p>
    <w:p>
      <w:pPr>
        <w:pStyle w:val="BodyText"/>
        <w:bidi w:val="0"/>
        <w:rPr/>
      </w:pPr>
      <w:r>
        <w:rPr/>
        <w:t xml:space="preserve">A1 now runs on the 5070 Ti behind the AI orchestrator, and the gateway routes to it on </w:t>
      </w:r>
      <w:r>
        <w:rPr>
          <w:rStyle w:val="SourceText"/>
        </w:rPr>
        <w:t>/api/ai</w:t>
      </w:r>
      <w:r>
        <w:rPr/>
        <w:t xml:space="preserve">. A harmful reply typed by a signed-in member is blocked on the real request path, in roughly 80 ms, and the access is audited as </w:t>
      </w:r>
      <w:r>
        <w:rPr>
          <w:rStyle w:val="SourceText"/>
        </w:rPr>
        <w:t>gateway.ai.create</w:t>
      </w:r>
      <w:r>
        <w:rPr/>
        <w:t>.</w:t>
      </w:r>
    </w:p>
    <w:p>
      <w:pPr>
        <w:pStyle w:val="BodyText"/>
        <w:bidi w:val="0"/>
        <w:rPr/>
      </w:pPr>
      <w:r>
        <w:rPr/>
        <w:t>Three decisions shaped the wiring:</w:t>
      </w:r>
    </w:p>
    <w:p>
      <w:pPr>
        <w:pStyle w:val="BodyText"/>
        <w:numPr>
          <w:ilvl w:val="0"/>
          <w:numId w:val="2"/>
        </w:numPr>
        <w:tabs>
          <w:tab w:val="clear" w:pos="1134"/>
          <w:tab w:val="left" w:pos="709" w:leader="none"/>
        </w:tabs>
        <w:bidi w:val="0"/>
        <w:spacing w:before="0" w:after="0"/>
        <w:ind w:hanging="283" w:left="709"/>
        <w:rPr/>
      </w:pPr>
      <w:r>
        <w:rPr>
          <w:b/>
        </w:rPr>
        <w:t>The classifier is no longer reachable without the gateway.</w:t>
      </w:r>
      <w:r>
        <w:rPr/>
        <w:t xml:space="preserve"> It previously answered anyone who could reach the port. An unauthenticated classifier is a free oracle for working out what gets past moderation, so the orchestrator now verifies the gateway's signature and refuses everything else. </w:t>
      </w:r>
    </w:p>
    <w:p>
      <w:pPr>
        <w:pStyle w:val="BodyText"/>
        <w:numPr>
          <w:ilvl w:val="0"/>
          <w:numId w:val="2"/>
        </w:numPr>
        <w:tabs>
          <w:tab w:val="clear" w:pos="1134"/>
          <w:tab w:val="left" w:pos="709" w:leader="none"/>
        </w:tabs>
        <w:bidi w:val="0"/>
        <w:spacing w:before="0" w:after="0"/>
        <w:ind w:hanging="283" w:left="709"/>
        <w:rPr/>
      </w:pPr>
      <w:r>
        <w:rPr>
          <w:b/>
        </w:rPr>
        <w:t>Only the public verdict is exposed.</w:t>
      </w:r>
      <w:r>
        <w:rPr/>
        <w:t xml:space="preserve"> The internal route returns scores, thresholds and model ids and has </w:t>
      </w:r>
      <w:r>
        <w:rPr>
          <w:i/>
        </w:rPr>
        <w:t>no</w:t>
      </w:r>
      <w:r>
        <w:rPr/>
        <w:t xml:space="preserve"> gateway path at all. The split is at the routing layer rather than a query flag, so a forgotten default cannot leak it. </w:t>
      </w:r>
    </w:p>
    <w:p>
      <w:pPr>
        <w:pStyle w:val="BodyText"/>
        <w:numPr>
          <w:ilvl w:val="0"/>
          <w:numId w:val="2"/>
        </w:numPr>
        <w:tabs>
          <w:tab w:val="clear" w:pos="1134"/>
          <w:tab w:val="left" w:pos="709" w:leader="none"/>
        </w:tabs>
        <w:bidi w:val="0"/>
        <w:ind w:hanging="283" w:left="709"/>
        <w:rPr/>
      </w:pPr>
      <w:r>
        <w:rPr>
          <w:b/>
        </w:rPr>
        <w:t>The AI tier owns no table.</w:t>
      </w:r>
      <w:r>
        <w:rPr/>
        <w:t xml:space="preserve"> It is given text, returns a verdict and keeps nothing — which is what makes it safe to run a 506M-parameter model on the same machine as the databases. A compromise of the classifier yields no rows. The verdict itself is therefore not audited here; that belongs with moderation-service, which owns </w:t>
      </w:r>
      <w:r>
        <w:rPr>
          <w:rStyle w:val="SourceText"/>
        </w:rPr>
        <w:t>moderation_verdicts</w:t>
      </w:r>
      <w:r>
        <w:rPr/>
        <w:t xml:space="preserve"> and can tie a verdict to the post it acted on. </w:t>
      </w:r>
    </w:p>
    <w:p>
      <w:pPr>
        <w:pStyle w:val="Heading3"/>
        <w:bidi w:val="0"/>
        <w:rPr/>
      </w:pPr>
      <w:r>
        <w:rPr/>
        <w:t>4.3  Verification that exists today</w:t>
      </w:r>
    </w:p>
    <w:tbl>
      <w:tblPr>
        <w:tblW w:w="11339" w:type="dxa"/>
        <w:jc w:val="left"/>
        <w:tblInd w:w="28" w:type="dxa"/>
        <w:tblLayout w:type="fixed"/>
        <w:tblCellMar>
          <w:top w:w="28" w:type="dxa"/>
          <w:left w:w="28" w:type="dxa"/>
          <w:bottom w:w="28" w:type="dxa"/>
          <w:right w:w="28" w:type="dxa"/>
        </w:tblCellMar>
      </w:tblPr>
      <w:tblGrid>
        <w:gridCol w:w="2205"/>
        <w:gridCol w:w="9134"/>
      </w:tblGrid>
      <w:tr>
        <w:trPr/>
        <w:tc>
          <w:tcPr>
            <w:tcW w:w="2205" w:type="dxa"/>
            <w:tcBorders/>
            <w:vAlign w:val="center"/>
          </w:tcPr>
          <w:p>
            <w:pPr>
              <w:pStyle w:val="TableContents"/>
              <w:bidi w:val="0"/>
              <w:spacing w:before="0" w:after="283"/>
              <w:jc w:val="left"/>
              <w:rPr/>
            </w:pPr>
            <w:r>
              <w:rPr>
                <w:b/>
              </w:rPr>
              <w:t>263</w:t>
            </w:r>
            <w:r>
              <w:rPr/>
              <w:t xml:space="preserve"> unit tests</w:t>
            </w:r>
          </w:p>
        </w:tc>
        <w:tc>
          <w:tcPr>
            <w:tcW w:w="9134" w:type="dxa"/>
            <w:tcBorders/>
            <w:vAlign w:val="center"/>
          </w:tcPr>
          <w:p>
            <w:pPr>
              <w:pStyle w:val="TableContents"/>
              <w:bidi w:val="0"/>
              <w:spacing w:before="0" w:after="283"/>
              <w:jc w:val="left"/>
              <w:rPr/>
            </w:pPr>
            <w:r>
              <w:rPr/>
              <w:t>182 TypeScript (gateway 38, auth-service 40, pseudonym-service 20, consent engine 42, session store 18, service-auth 16, audit client 8) and 81 Python</w:t>
            </w:r>
          </w:p>
        </w:tc>
      </w:tr>
      <w:tr>
        <w:trPr/>
        <w:tc>
          <w:tcPr>
            <w:tcW w:w="2205" w:type="dxa"/>
            <w:tcBorders/>
            <w:vAlign w:val="center"/>
          </w:tcPr>
          <w:p>
            <w:pPr>
              <w:pStyle w:val="TableContents"/>
              <w:bidi w:val="0"/>
              <w:spacing w:before="0" w:after="283"/>
              <w:jc w:val="left"/>
              <w:rPr/>
            </w:pPr>
            <w:r>
              <w:rPr>
                <w:b/>
              </w:rPr>
              <w:t>39</w:t>
            </w:r>
            <w:r>
              <w:rPr/>
              <w:t xml:space="preserve"> privilege boundary checks</w:t>
            </w:r>
          </w:p>
        </w:tc>
        <w:tc>
          <w:tcPr>
            <w:tcW w:w="9134" w:type="dxa"/>
            <w:tcBorders/>
            <w:vAlign w:val="center"/>
          </w:tcPr>
          <w:p>
            <w:pPr>
              <w:pStyle w:val="TableContents"/>
              <w:bidi w:val="0"/>
              <w:spacing w:before="0" w:after="283"/>
              <w:jc w:val="left"/>
              <w:rPr/>
            </w:pPr>
            <w:r>
              <w:rPr/>
              <w:t>Proves each service can reach its own vault and cannot reach anyone else's, including across instances</w:t>
            </w:r>
          </w:p>
        </w:tc>
      </w:tr>
      <w:tr>
        <w:trPr/>
        <w:tc>
          <w:tcPr>
            <w:tcW w:w="2205" w:type="dxa"/>
            <w:tcBorders/>
            <w:vAlign w:val="center"/>
          </w:tcPr>
          <w:p>
            <w:pPr>
              <w:pStyle w:val="TableContents"/>
              <w:bidi w:val="0"/>
              <w:spacing w:before="0" w:after="283"/>
              <w:jc w:val="left"/>
              <w:rPr/>
            </w:pPr>
            <w:r>
              <w:rPr>
                <w:b/>
              </w:rPr>
              <w:t>4</w:t>
            </w:r>
            <w:r>
              <w:rPr/>
              <w:t xml:space="preserve"> live end-to-end suites</w:t>
            </w:r>
          </w:p>
        </w:tc>
        <w:tc>
          <w:tcPr>
            <w:tcW w:w="9134" w:type="dxa"/>
            <w:tcBorders/>
            <w:vAlign w:val="center"/>
          </w:tcPr>
          <w:p>
            <w:pPr>
              <w:pStyle w:val="TableContents"/>
              <w:bidi w:val="0"/>
              <w:spacing w:before="0" w:after="283"/>
              <w:jc w:val="left"/>
              <w:rPr/>
            </w:pPr>
            <w:r>
              <w:rPr/>
              <w:t>Passkey flows; login and recovery (35 checks); device management (37 checks); AI through the gateway (17 checks) — run against the real stack, not mocks</w:t>
            </w:r>
          </w:p>
        </w:tc>
      </w:tr>
      <w:tr>
        <w:trPr/>
        <w:tc>
          <w:tcPr>
            <w:tcW w:w="2205" w:type="dxa"/>
            <w:tcBorders/>
            <w:vAlign w:val="center"/>
          </w:tcPr>
          <w:p>
            <w:pPr>
              <w:pStyle w:val="TableContents"/>
              <w:bidi w:val="0"/>
              <w:spacing w:before="0" w:after="283"/>
              <w:jc w:val="left"/>
              <w:rPr/>
            </w:pPr>
            <w:r>
              <w:rPr/>
              <w:t>Audit integrity</w:t>
            </w:r>
          </w:p>
        </w:tc>
        <w:tc>
          <w:tcPr>
            <w:tcW w:w="9134" w:type="dxa"/>
            <w:tcBorders/>
            <w:vAlign w:val="center"/>
          </w:tcPr>
          <w:p>
            <w:pPr>
              <w:pStyle w:val="TableContents"/>
              <w:bidi w:val="0"/>
              <w:spacing w:before="0" w:after="283"/>
              <w:jc w:val="left"/>
              <w:rPr/>
            </w:pPr>
            <w:r>
              <w:rPr/>
              <w:t>Hash chain verified unbroken. No mobile number, device label, user-agent or member post text appears in any audit row.</w:t>
            </w:r>
          </w:p>
        </w:tc>
      </w:tr>
    </w:tbl>
    <w:p>
      <w:pPr>
        <w:pStyle w:val="Heading2"/>
        <w:bidi w:val="0"/>
        <w:rPr/>
      </w:pPr>
      <w:r>
        <w:rPr/>
        <w:t>5.  What Is Not Built</w:t>
      </w:r>
    </w:p>
    <w:p>
      <w:pPr>
        <w:pStyle w:val="BodyText"/>
        <w:bidi w:val="0"/>
        <w:rPr/>
      </w:pPr>
      <w:r>
        <w:rPr/>
        <w:t>Stated plainly, because the directory structure makes the platform look more finished than it is.</w:t>
      </w:r>
    </w:p>
    <w:p>
      <w:pPr>
        <w:pStyle w:val="BodyText"/>
        <w:numPr>
          <w:ilvl w:val="0"/>
          <w:numId w:val="3"/>
        </w:numPr>
        <w:tabs>
          <w:tab w:val="clear" w:pos="1134"/>
          <w:tab w:val="left" w:pos="709" w:leader="none"/>
        </w:tabs>
        <w:bidi w:val="0"/>
        <w:spacing w:before="0" w:after="0"/>
        <w:ind w:hanging="283" w:left="709"/>
        <w:rPr/>
      </w:pPr>
      <w:r>
        <w:rPr>
          <w:b/>
        </w:rPr>
        <w:t>Fifteen of seventeen backend services are empty scaffolding</w:t>
      </w:r>
      <w:r>
        <w:rPr/>
        <w:t xml:space="preserve"> — community, moderation, clinical vault, consent, care/therapy, therapist, billing/subsidy, safety/crisis, break-glass, identity vault, notification, retention, partner, admin, audit query. Directories and route policy exist; no code does. </w:t>
      </w:r>
    </w:p>
    <w:p>
      <w:pPr>
        <w:pStyle w:val="BodyText"/>
        <w:numPr>
          <w:ilvl w:val="0"/>
          <w:numId w:val="3"/>
        </w:numPr>
        <w:tabs>
          <w:tab w:val="clear" w:pos="1134"/>
          <w:tab w:val="left" w:pos="709" w:leader="none"/>
        </w:tabs>
        <w:bidi w:val="0"/>
        <w:spacing w:before="0" w:after="0"/>
        <w:ind w:hanging="283" w:left="709"/>
        <w:rPr/>
      </w:pPr>
      <w:r>
        <w:rPr>
          <w:b/>
        </w:rPr>
        <w:t>Fifteen of twenty shared packages are empty</w:t>
      </w:r>
      <w:r>
        <w:rPr/>
        <w:t xml:space="preserve"> — crypto-client, pricing-engine, observability, i18n-core and others are declared but unimplemented. </w:t>
      </w:r>
    </w:p>
    <w:p>
      <w:pPr>
        <w:pStyle w:val="BodyText"/>
        <w:numPr>
          <w:ilvl w:val="0"/>
          <w:numId w:val="3"/>
        </w:numPr>
        <w:tabs>
          <w:tab w:val="clear" w:pos="1134"/>
          <w:tab w:val="left" w:pos="709" w:leader="none"/>
        </w:tabs>
        <w:bidi w:val="0"/>
        <w:spacing w:before="0" w:after="0"/>
        <w:ind w:hanging="283" w:left="709"/>
        <w:rPr/>
      </w:pPr>
      <w:r>
        <w:rPr>
          <w:b/>
        </w:rPr>
        <w:t>OpenBao Transit is not configured.</w:t>
      </w:r>
      <w:r>
        <w:rPr/>
        <w:t xml:space="preserve"> Envelope encryption columns exist in the schema; nothing writes to them yet. </w:t>
      </w:r>
    </w:p>
    <w:p>
      <w:pPr>
        <w:pStyle w:val="BodyText"/>
        <w:numPr>
          <w:ilvl w:val="0"/>
          <w:numId w:val="3"/>
        </w:numPr>
        <w:tabs>
          <w:tab w:val="clear" w:pos="1134"/>
          <w:tab w:val="left" w:pos="709" w:leader="none"/>
        </w:tabs>
        <w:bidi w:val="0"/>
        <w:spacing w:before="0" w:after="0"/>
        <w:ind w:hanging="283" w:left="709"/>
        <w:rPr/>
      </w:pPr>
      <w:r>
        <w:rPr>
          <w:b/>
        </w:rPr>
        <w:t>The frontend is not wired to the real API.</w:t>
      </w:r>
      <w:r>
        <w:rPr/>
        <w:t xml:space="preserve"> It still talks to the AI tier directly on a development port. </w:t>
      </w:r>
    </w:p>
    <w:p>
      <w:pPr>
        <w:pStyle w:val="BodyText"/>
        <w:numPr>
          <w:ilvl w:val="0"/>
          <w:numId w:val="3"/>
        </w:numPr>
        <w:tabs>
          <w:tab w:val="clear" w:pos="1134"/>
          <w:tab w:val="left" w:pos="709" w:leader="none"/>
        </w:tabs>
        <w:bidi w:val="0"/>
        <w:spacing w:before="0" w:after="0"/>
        <w:ind w:hanging="283" w:left="709"/>
        <w:rPr/>
      </w:pPr>
      <w:r>
        <w:rPr>
          <w:b/>
        </w:rPr>
        <w:t>The privacy test suite does not exist</w:t>
      </w:r>
      <w:r>
        <w:rPr/>
        <w:t xml:space="preserve"> (</w:t>
      </w:r>
      <w:r>
        <w:rPr>
          <w:rStyle w:val="SourceText"/>
        </w:rPr>
        <w:t>tests/privacy/</w:t>
      </w:r>
      <w:r>
        <w:rPr/>
        <w:t xml:space="preserve">), nor does the data classification metadata. Both are named in the architecture. </w:t>
      </w:r>
    </w:p>
    <w:p>
      <w:pPr>
        <w:pStyle w:val="BodyText"/>
        <w:numPr>
          <w:ilvl w:val="0"/>
          <w:numId w:val="3"/>
        </w:numPr>
        <w:tabs>
          <w:tab w:val="clear" w:pos="1134"/>
          <w:tab w:val="left" w:pos="709" w:leader="none"/>
        </w:tabs>
        <w:bidi w:val="0"/>
        <w:spacing w:before="0" w:after="0"/>
        <w:ind w:hanging="283" w:left="709"/>
        <w:rPr/>
      </w:pPr>
      <w:r>
        <w:rPr>
          <w:b/>
        </w:rPr>
        <w:t>Six of the seven planned ADRs are unwritten.</w:t>
      </w:r>
      <w:r>
        <w:rPr/>
        <w:t xml:space="preserve"> Only ADR-0001, on AI layer topology, exists. </w:t>
      </w:r>
    </w:p>
    <w:p>
      <w:pPr>
        <w:pStyle w:val="BodyText"/>
        <w:numPr>
          <w:ilvl w:val="0"/>
          <w:numId w:val="3"/>
        </w:numPr>
        <w:tabs>
          <w:tab w:val="clear" w:pos="1134"/>
          <w:tab w:val="left" w:pos="709" w:leader="none"/>
        </w:tabs>
        <w:bidi w:val="0"/>
        <w:ind w:hanging="283" w:left="709"/>
        <w:rPr/>
      </w:pPr>
      <w:r>
        <w:rPr>
          <w:b/>
        </w:rPr>
        <w:t>A2, the crisis model, is a baseline.</w:t>
      </w:r>
      <w:r>
        <w:rPr/>
        <w:t xml:space="preserve"> </w:t>
      </w:r>
      <w:r>
        <w:rPr>
          <w:rStyle w:val="SourceText"/>
        </w:rPr>
        <w:t>baseline-crisis-v0</w:t>
      </w:r>
      <w:r>
        <w:rPr/>
        <w:t xml:space="preserve"> is a placeholder, not a trained model. </w:t>
      </w:r>
    </w:p>
    <w:p>
      <w:pPr>
        <w:pStyle w:val="Heading2"/>
        <w:bidi w:val="0"/>
        <w:rPr/>
      </w:pPr>
      <w:r>
        <w:rPr/>
        <w:t>6.  The A1 Classifier — Stated Exactly</w:t>
      </w:r>
    </w:p>
    <w:p>
      <w:pPr>
        <w:pStyle w:val="BodyText"/>
        <w:bidi w:val="0"/>
        <w:rPr/>
      </w:pPr>
      <w:r>
        <w:rPr/>
        <w:t xml:space="preserve">This is the item most likely to be misread, so it is spelled out. Note in particular that the </w:t>
      </w:r>
      <w:r>
        <w:rPr>
          <w:b/>
        </w:rPr>
        <w:t>newest checkpoint is not the served one</w:t>
      </w:r>
      <w:r>
        <w:rPr/>
        <w:t>.</w:t>
      </w:r>
    </w:p>
    <w:tbl>
      <w:tblPr>
        <w:tblW w:w="11339" w:type="dxa"/>
        <w:jc w:val="left"/>
        <w:tblInd w:w="28" w:type="dxa"/>
        <w:tblLayout w:type="fixed"/>
        <w:tblCellMar>
          <w:top w:w="28" w:type="dxa"/>
          <w:left w:w="28" w:type="dxa"/>
          <w:bottom w:w="28" w:type="dxa"/>
          <w:right w:w="28" w:type="dxa"/>
        </w:tblCellMar>
      </w:tblPr>
      <w:tblGrid>
        <w:gridCol w:w="2512"/>
        <w:gridCol w:w="8827"/>
      </w:tblGrid>
      <w:tr>
        <w:trPr/>
        <w:tc>
          <w:tcPr>
            <w:tcW w:w="2512" w:type="dxa"/>
            <w:tcBorders/>
            <w:vAlign w:val="center"/>
          </w:tcPr>
          <w:p>
            <w:pPr>
              <w:pStyle w:val="TableContents"/>
              <w:bidi w:val="0"/>
              <w:spacing w:before="0" w:after="283"/>
              <w:jc w:val="left"/>
              <w:rPr/>
            </w:pPr>
            <w:r>
              <w:rPr/>
              <w:t>Served</w:t>
            </w:r>
          </w:p>
        </w:tc>
        <w:tc>
          <w:tcPr>
            <w:tcW w:w="8827" w:type="dxa"/>
            <w:tcBorders/>
            <w:vAlign w:val="center"/>
          </w:tcPr>
          <w:p>
            <w:pPr>
              <w:pStyle w:val="TableContents"/>
              <w:bidi w:val="0"/>
              <w:spacing w:before="0" w:after="283"/>
              <w:jc w:val="left"/>
              <w:rPr/>
            </w:pPr>
            <w:r>
              <w:rPr>
                <w:b/>
              </w:rPr>
              <w:t>a1-v10</w:t>
            </w:r>
            <w:r>
              <w:rPr/>
              <w:t>, MuRIL-large (506M), full fine-tune, thresholds calibrated for this exact checkpoint</w:t>
            </w:r>
          </w:p>
        </w:tc>
      </w:tr>
      <w:tr>
        <w:trPr/>
        <w:tc>
          <w:tcPr>
            <w:tcW w:w="2512" w:type="dxa"/>
            <w:tcBorders/>
            <w:vAlign w:val="center"/>
          </w:tcPr>
          <w:p>
            <w:pPr>
              <w:pStyle w:val="TableContents"/>
              <w:bidi w:val="0"/>
              <w:spacing w:before="0" w:after="283"/>
              <w:jc w:val="left"/>
              <w:rPr/>
            </w:pPr>
            <w:r>
              <w:rPr/>
              <w:t>Newest trained</w:t>
            </w:r>
          </w:p>
        </w:tc>
        <w:tc>
          <w:tcPr>
            <w:tcW w:w="8827" w:type="dxa"/>
            <w:tcBorders/>
            <w:vAlign w:val="center"/>
          </w:tcPr>
          <w:p>
            <w:pPr>
              <w:pStyle w:val="TableContents"/>
              <w:bidi w:val="0"/>
              <w:spacing w:before="0" w:after="283"/>
              <w:jc w:val="left"/>
              <w:rPr/>
            </w:pPr>
            <w:r>
              <w:rPr/>
              <w:t xml:space="preserve">a1-v11 — </w:t>
            </w:r>
            <w:r>
              <w:rPr>
                <w:b/>
              </w:rPr>
              <w:t>not served.</w:t>
            </w:r>
            <w:r>
              <w:rPr/>
              <w:t xml:space="preserve"> It is English-only, its </w:t>
            </w:r>
            <w:r>
              <w:rPr>
                <w:rStyle w:val="SourceText"/>
              </w:rPr>
              <w:t>passive_aggressive_abuse</w:t>
            </w:r>
            <w:r>
              <w:rPr/>
              <w:t xml:space="preserve"> recall collapsed to 0.11, and it scores 12/15 on the probe set against v10's 15/15.</w:t>
            </w:r>
          </w:p>
        </w:tc>
      </w:tr>
      <w:tr>
        <w:trPr/>
        <w:tc>
          <w:tcPr>
            <w:tcW w:w="2512" w:type="dxa"/>
            <w:tcBorders/>
            <w:vAlign w:val="center"/>
          </w:tcPr>
          <w:p>
            <w:pPr>
              <w:pStyle w:val="TableContents"/>
              <w:bidi w:val="0"/>
              <w:spacing w:before="0" w:after="283"/>
              <w:jc w:val="left"/>
              <w:rPr/>
            </w:pPr>
            <w:r>
              <w:rPr/>
              <w:t>Training data</w:t>
            </w:r>
          </w:p>
        </w:tc>
        <w:tc>
          <w:tcPr>
            <w:tcW w:w="8827" w:type="dxa"/>
            <w:tcBorders/>
            <w:vAlign w:val="center"/>
          </w:tcPr>
          <w:p>
            <w:pPr>
              <w:pStyle w:val="TableContents"/>
              <w:bidi w:val="0"/>
              <w:spacing w:before="0" w:after="283"/>
              <w:jc w:val="left"/>
              <w:rPr/>
            </w:pPr>
            <w:r>
              <w:rPr/>
              <w:t>60,414 examples; 7,599 held out for validation</w:t>
            </w:r>
          </w:p>
        </w:tc>
      </w:tr>
      <w:tr>
        <w:trPr/>
        <w:tc>
          <w:tcPr>
            <w:tcW w:w="2512" w:type="dxa"/>
            <w:tcBorders/>
            <w:vAlign w:val="center"/>
          </w:tcPr>
          <w:p>
            <w:pPr>
              <w:pStyle w:val="TableContents"/>
              <w:bidi w:val="0"/>
              <w:spacing w:before="0" w:after="283"/>
              <w:jc w:val="left"/>
              <w:rPr/>
            </w:pPr>
            <w:r>
              <w:rPr/>
              <w:t>Categories declared</w:t>
            </w:r>
          </w:p>
        </w:tc>
        <w:tc>
          <w:tcPr>
            <w:tcW w:w="8827" w:type="dxa"/>
            <w:tcBorders/>
            <w:vAlign w:val="center"/>
          </w:tcPr>
          <w:p>
            <w:pPr>
              <w:pStyle w:val="TableContents"/>
              <w:bidi w:val="0"/>
              <w:spacing w:before="0" w:after="283"/>
              <w:jc w:val="left"/>
              <w:rPr/>
            </w:pPr>
            <w:r>
              <w:rPr/>
              <w:t>16</w:t>
            </w:r>
          </w:p>
        </w:tc>
      </w:tr>
      <w:tr>
        <w:trPr/>
        <w:tc>
          <w:tcPr>
            <w:tcW w:w="2512" w:type="dxa"/>
            <w:tcBorders/>
            <w:vAlign w:val="center"/>
          </w:tcPr>
          <w:p>
            <w:pPr>
              <w:pStyle w:val="TableContents"/>
              <w:bidi w:val="0"/>
              <w:spacing w:before="0" w:after="283"/>
              <w:jc w:val="left"/>
              <w:rPr/>
            </w:pPr>
            <w:r>
              <w:rPr/>
              <w:t>Categories trained</w:t>
            </w:r>
          </w:p>
        </w:tc>
        <w:tc>
          <w:tcPr>
            <w:tcW w:w="8827" w:type="dxa"/>
            <w:tcBorders/>
            <w:vAlign w:val="center"/>
          </w:tcPr>
          <w:p>
            <w:pPr>
              <w:pStyle w:val="TableContents"/>
              <w:bidi w:val="0"/>
              <w:spacing w:before="0" w:after="283"/>
              <w:jc w:val="left"/>
              <w:rPr/>
            </w:pPr>
            <w:r>
              <w:rPr/>
              <w:t>7</w:t>
            </w:r>
          </w:p>
        </w:tc>
      </w:tr>
      <w:tr>
        <w:trPr/>
        <w:tc>
          <w:tcPr>
            <w:tcW w:w="2512" w:type="dxa"/>
            <w:tcBorders/>
            <w:vAlign w:val="center"/>
          </w:tcPr>
          <w:p>
            <w:pPr>
              <w:pStyle w:val="TableContents"/>
              <w:bidi w:val="0"/>
              <w:spacing w:before="0" w:after="283"/>
              <w:jc w:val="left"/>
              <w:rPr/>
            </w:pPr>
            <w:r>
              <w:rPr/>
              <w:t>Categories the model actually scores</w:t>
            </w:r>
          </w:p>
        </w:tc>
        <w:tc>
          <w:tcPr>
            <w:tcW w:w="8827" w:type="dxa"/>
            <w:tcBorders/>
            <w:vAlign w:val="center"/>
          </w:tcPr>
          <w:p>
            <w:pPr>
              <w:pStyle w:val="TableContents"/>
              <w:bidi w:val="0"/>
              <w:spacing w:before="0" w:after="283"/>
              <w:jc w:val="left"/>
              <w:rPr/>
            </w:pPr>
            <w:r>
              <w:rPr/>
              <w:t xml:space="preserve">6 — </w:t>
            </w:r>
            <w:r>
              <w:rPr>
                <w:rStyle w:val="SourceText"/>
              </w:rPr>
              <w:t>unsafe_medical_advice</w:t>
            </w:r>
            <w:r>
              <w:rPr/>
              <w:t xml:space="preserve"> is trained but does not measure usably</w:t>
            </w:r>
          </w:p>
        </w:tc>
      </w:tr>
      <w:tr>
        <w:trPr/>
        <w:tc>
          <w:tcPr>
            <w:tcW w:w="2512" w:type="dxa"/>
            <w:tcBorders/>
            <w:vAlign w:val="center"/>
          </w:tcPr>
          <w:p>
            <w:pPr>
              <w:pStyle w:val="TableContents"/>
              <w:bidi w:val="0"/>
              <w:spacing w:before="0" w:after="283"/>
              <w:jc w:val="left"/>
              <w:rPr>
                <w:b/>
              </w:rPr>
            </w:pPr>
            <w:r>
              <w:rPr>
                <w:b/>
              </w:rPr>
              <w:t>Categories actually enforced</w:t>
            </w:r>
          </w:p>
        </w:tc>
        <w:tc>
          <w:tcPr>
            <w:tcW w:w="8827" w:type="dxa"/>
            <w:tcBorders/>
            <w:vAlign w:val="center"/>
          </w:tcPr>
          <w:p>
            <w:pPr>
              <w:pStyle w:val="TableContents"/>
              <w:bidi w:val="0"/>
              <w:spacing w:before="0" w:after="283"/>
              <w:jc w:val="left"/>
              <w:rPr/>
            </w:pPr>
            <w:r>
              <w:rPr>
                <w:b/>
              </w:rPr>
              <w:t>5</w:t>
            </w:r>
            <w:r>
              <w:rPr/>
              <w:t xml:space="preserve"> — </w:t>
            </w:r>
            <w:r>
              <w:rPr>
                <w:rStyle w:val="SourceText"/>
              </w:rPr>
              <w:t>grooming_exploitation</w:t>
            </w:r>
            <w:r>
              <w:rPr/>
              <w:t xml:space="preserve"> is disabled deliberately (below). One of the five, </w:t>
            </w:r>
            <w:r>
              <w:rPr>
                <w:rStyle w:val="SourceText"/>
              </w:rPr>
              <w:t>passive_aggressive_abuse</w:t>
            </w:r>
            <w:r>
              <w:rPr/>
              <w:t>, is enforced in English only.</w:t>
            </w:r>
          </w:p>
        </w:tc>
      </w:tr>
      <w:tr>
        <w:trPr/>
        <w:tc>
          <w:tcPr>
            <w:tcW w:w="2512" w:type="dxa"/>
            <w:tcBorders/>
            <w:vAlign w:val="center"/>
          </w:tcPr>
          <w:p>
            <w:pPr>
              <w:pStyle w:val="TableContents"/>
              <w:bidi w:val="0"/>
              <w:spacing w:before="0" w:after="283"/>
              <w:jc w:val="left"/>
              <w:rPr/>
            </w:pPr>
            <w:r>
              <w:rPr/>
              <w:t>Adjudicated</w:t>
            </w:r>
          </w:p>
        </w:tc>
        <w:tc>
          <w:tcPr>
            <w:tcW w:w="8827" w:type="dxa"/>
            <w:tcBorders/>
            <w:vAlign w:val="center"/>
          </w:tcPr>
          <w:p>
            <w:pPr>
              <w:pStyle w:val="TableContents"/>
              <w:bidi w:val="0"/>
              <w:spacing w:before="0" w:after="283"/>
              <w:jc w:val="left"/>
              <w:rPr/>
            </w:pPr>
            <w:r>
              <w:rPr/>
              <w:t>No</w:t>
            </w:r>
          </w:p>
        </w:tc>
      </w:tr>
      <w:tr>
        <w:trPr/>
        <w:tc>
          <w:tcPr>
            <w:tcW w:w="2512" w:type="dxa"/>
            <w:tcBorders/>
            <w:vAlign w:val="center"/>
          </w:tcPr>
          <w:p>
            <w:pPr>
              <w:pStyle w:val="TableContents"/>
              <w:bidi w:val="0"/>
              <w:spacing w:before="0" w:after="283"/>
              <w:jc w:val="left"/>
              <w:rPr/>
            </w:pPr>
            <w:r>
              <w:rPr/>
              <w:t>Evaluation gates passed</w:t>
            </w:r>
          </w:p>
        </w:tc>
        <w:tc>
          <w:tcPr>
            <w:tcW w:w="8827" w:type="dxa"/>
            <w:tcBorders/>
            <w:vAlign w:val="center"/>
          </w:tcPr>
          <w:p>
            <w:pPr>
              <w:pStyle w:val="TableContents"/>
              <w:bidi w:val="0"/>
              <w:spacing w:before="0" w:after="283"/>
              <w:jc w:val="left"/>
              <w:rPr/>
            </w:pPr>
            <w:r>
              <w:rPr/>
              <w:t>None</w:t>
            </w:r>
          </w:p>
        </w:tc>
      </w:tr>
      <w:tr>
        <w:trPr/>
        <w:tc>
          <w:tcPr>
            <w:tcW w:w="2512" w:type="dxa"/>
            <w:tcBorders/>
            <w:vAlign w:val="center"/>
          </w:tcPr>
          <w:p>
            <w:pPr>
              <w:pStyle w:val="TableContents"/>
              <w:bidi w:val="0"/>
              <w:spacing w:before="0" w:after="283"/>
              <w:jc w:val="left"/>
              <w:rPr/>
            </w:pPr>
            <w:r>
              <w:rPr/>
              <w:t>Production ready</w:t>
            </w:r>
          </w:p>
        </w:tc>
        <w:tc>
          <w:tcPr>
            <w:tcW w:w="8827" w:type="dxa"/>
            <w:tcBorders/>
            <w:vAlign w:val="center"/>
          </w:tcPr>
          <w:p>
            <w:pPr>
              <w:pStyle w:val="TableContents"/>
              <w:bidi w:val="0"/>
              <w:spacing w:before="0" w:after="283"/>
              <w:jc w:val="left"/>
              <w:rPr/>
            </w:pPr>
            <w:r>
              <w:rPr>
                <w:b/>
              </w:rPr>
              <w:t>No</w:t>
            </w:r>
            <w:r>
              <w:rPr/>
              <w:t>, per its own model card</w:t>
            </w:r>
          </w:p>
        </w:tc>
      </w:tr>
    </w:tbl>
    <w:p>
      <w:pPr>
        <w:pStyle w:val="Heading3"/>
        <w:bidi w:val="0"/>
        <w:rPr/>
      </w:pPr>
      <w:r>
        <w:rPr/>
        <w:t>6.1  Why grooming detection is switched off</w:t>
      </w:r>
    </w:p>
    <w:p>
      <w:pPr>
        <w:pStyle w:val="BodyText"/>
        <w:bidi w:val="0"/>
        <w:rPr/>
      </w:pPr>
      <w:r>
        <w:rPr/>
        <w:t>It has the best calibration figures of any category — precision 0.92, recall 0.99 — and it blocks ordinary conversation. Real scores against its 0.62 threshold:</w:t>
      </w:r>
    </w:p>
    <w:tbl>
      <w:tblPr>
        <w:tblW w:w="4058" w:type="dxa"/>
        <w:jc w:val="left"/>
        <w:tblInd w:w="28" w:type="dxa"/>
        <w:tblLayout w:type="fixed"/>
        <w:tblCellMar>
          <w:top w:w="28" w:type="dxa"/>
          <w:left w:w="28" w:type="dxa"/>
          <w:bottom w:w="28" w:type="dxa"/>
          <w:right w:w="28" w:type="dxa"/>
        </w:tblCellMar>
      </w:tblPr>
      <w:tblGrid>
        <w:gridCol w:w="706"/>
        <w:gridCol w:w="3352"/>
      </w:tblGrid>
      <w:tr>
        <w:trPr/>
        <w:tc>
          <w:tcPr>
            <w:tcW w:w="706" w:type="dxa"/>
            <w:tcBorders/>
            <w:vAlign w:val="center"/>
          </w:tcPr>
          <w:p>
            <w:pPr>
              <w:pStyle w:val="TableContents"/>
              <w:bidi w:val="0"/>
              <w:spacing w:before="0" w:after="283"/>
              <w:jc w:val="left"/>
              <w:rPr/>
            </w:pPr>
            <w:r>
              <w:rPr/>
              <w:t>0.994</w:t>
            </w:r>
          </w:p>
        </w:tc>
        <w:tc>
          <w:tcPr>
            <w:tcW w:w="3352" w:type="dxa"/>
            <w:tcBorders/>
            <w:vAlign w:val="center"/>
          </w:tcPr>
          <w:p>
            <w:pPr>
              <w:pStyle w:val="TableContents"/>
              <w:bidi w:val="0"/>
              <w:spacing w:before="0" w:after="283"/>
              <w:jc w:val="left"/>
              <w:rPr/>
            </w:pPr>
            <w:r>
              <w:rPr/>
              <w:t>"i dont want to be here anymore"</w:t>
            </w:r>
          </w:p>
        </w:tc>
      </w:tr>
      <w:tr>
        <w:trPr/>
        <w:tc>
          <w:tcPr>
            <w:tcW w:w="706" w:type="dxa"/>
            <w:tcBorders/>
            <w:vAlign w:val="center"/>
          </w:tcPr>
          <w:p>
            <w:pPr>
              <w:pStyle w:val="TableContents"/>
              <w:bidi w:val="0"/>
              <w:spacing w:before="0" w:after="283"/>
              <w:jc w:val="left"/>
              <w:rPr/>
            </w:pPr>
            <w:r>
              <w:rPr/>
              <w:t>0.990</w:t>
            </w:r>
          </w:p>
        </w:tc>
        <w:tc>
          <w:tcPr>
            <w:tcW w:w="3352" w:type="dxa"/>
            <w:tcBorders/>
            <w:vAlign w:val="center"/>
          </w:tcPr>
          <w:p>
            <w:pPr>
              <w:pStyle w:val="TableContents"/>
              <w:bidi w:val="0"/>
              <w:spacing w:before="0" w:after="283"/>
              <w:jc w:val="left"/>
              <w:rPr/>
            </w:pPr>
            <w:r>
              <w:rPr/>
              <w:t>"how was your weekend?"</w:t>
            </w:r>
          </w:p>
        </w:tc>
      </w:tr>
      <w:tr>
        <w:trPr/>
        <w:tc>
          <w:tcPr>
            <w:tcW w:w="706" w:type="dxa"/>
            <w:tcBorders/>
            <w:vAlign w:val="center"/>
          </w:tcPr>
          <w:p>
            <w:pPr>
              <w:pStyle w:val="TableContents"/>
              <w:bidi w:val="0"/>
              <w:spacing w:before="0" w:after="283"/>
              <w:jc w:val="left"/>
              <w:rPr/>
            </w:pPr>
            <w:r>
              <w:rPr/>
              <w:t>0.980</w:t>
            </w:r>
          </w:p>
        </w:tc>
        <w:tc>
          <w:tcPr>
            <w:tcW w:w="3352" w:type="dxa"/>
            <w:tcBorders/>
            <w:vAlign w:val="center"/>
          </w:tcPr>
          <w:p>
            <w:pPr>
              <w:pStyle w:val="TableContents"/>
              <w:bidi w:val="0"/>
              <w:spacing w:before="0" w:after="283"/>
              <w:jc w:val="left"/>
              <w:rPr/>
            </w:pPr>
            <w:r>
              <w:rPr/>
              <w:t>"i feel so alone today"</w:t>
            </w:r>
          </w:p>
        </w:tc>
      </w:tr>
    </w:tbl>
    <w:p>
      <w:pPr>
        <w:pStyle w:val="BodyText"/>
        <w:bidi w:val="0"/>
        <w:rPr/>
      </w:pPr>
      <w:r>
        <w:rPr/>
        <w:t xml:space="preserve">All three exceed the threshold, so at block tier a person disclosing distress would have their words refused and be labelled predatory. No threshold fixes it: "how was your weekend?" scores above three of the four real positives it is meant to catch. The cause is register, not capacity — its 5,923 examples are 2000s instant-messenger logs, matched against benign text from Wikipedia talk pages. The model learned </w:t>
      </w:r>
      <w:r>
        <w:rPr>
          <w:i/>
        </w:rPr>
        <w:t>short conversational message</w:t>
      </w:r>
      <w:r>
        <w:rPr/>
        <w:t>.</w:t>
      </w:r>
    </w:p>
    <w:p>
      <w:pPr>
        <w:pStyle w:val="BodyText"/>
        <w:bidi w:val="0"/>
        <w:spacing w:before="200" w:after="200"/>
        <w:ind w:hanging="0" w:left="200" w:right="200"/>
        <w:rPr/>
      </w:pPr>
      <w:r>
        <w:rPr>
          <w:b/>
          <w:bdr w:val="single" w:sz="18" w:space="10" w:color="888888"/>
          <w:shd w:fill="F4F4F4" w:val="clear"/>
        </w:rPr>
        <w:t>What this means for launch.</w:t>
      </w:r>
      <w:r>
        <w:rPr>
          <w:bdr w:val="single" w:sz="18" w:space="10" w:color="888888"/>
          <w:shd w:fill="F4F4F4" w:val="clear"/>
        </w:rPr>
        <w:t xml:space="preserve"> </w:t>
      </w:r>
      <w:r>
        <w:rPr>
          <w:rStyle w:val="SourceText"/>
          <w:bdr w:val="single" w:sz="18" w:space="10" w:color="888888"/>
          <w:shd w:fill="F4F4F4" w:val="clear"/>
        </w:rPr>
        <w:t>self_harm_encouragement</w:t>
      </w:r>
      <w:r>
        <w:rPr>
          <w:bdr w:val="single" w:sz="18" w:space="10" w:color="888888"/>
          <w:shd w:fill="F4F4F4" w:val="clear"/>
        </w:rPr>
        <w:t xml:space="preserve"> — the single category that matters most on a mental wellness platform — has no trained detector at all. A lexical rule stands in for it, and a rule is a stopgap for a missing corpus, not a classifier. Verified live during M4: </w:t>
      </w:r>
      <w:r>
        <w:rPr>
          <w:i/>
          <w:bdr w:val="single" w:sz="18" w:space="10" w:color="888888"/>
          <w:shd w:fill="F4F4F4" w:val="clear"/>
        </w:rPr>
        <w:t>"you are worthless and everyone would be happier if you were gone"</w:t>
      </w:r>
      <w:r>
        <w:rPr>
          <w:bdr w:val="single" w:sz="18" w:space="10" w:color="888888"/>
          <w:shd w:fill="F4F4F4" w:val="clear"/>
        </w:rPr>
        <w:t xml:space="preserve"> passes.</w:t>
      </w:r>
    </w:p>
    <w:p>
      <w:pPr>
        <w:pStyle w:val="BodyText"/>
        <w:bidi w:val="0"/>
        <w:spacing w:before="200" w:after="200"/>
        <w:ind w:hanging="0" w:left="200" w:right="200"/>
        <w:rPr>
          <w:bdr w:val="single" w:sz="18" w:space="10" w:color="888888"/>
          <w:shd w:fill="F4F4F4" w:val="clear"/>
        </w:rPr>
      </w:pPr>
      <w:r>
        <w:rPr>
          <w:bdr w:val="single" w:sz="18" w:space="10" w:color="888888"/>
          <w:shd w:fill="F4F4F4" w:val="clear"/>
        </w:rPr>
        <w:t>Until that category works, the platform can be opened to a capped, adult, waitlisted group with human review behind it. It cannot be opened to school students, and it cannot be opened to the public.</w:t>
      </w:r>
    </w:p>
    <w:p>
      <w:pPr>
        <w:pStyle w:val="BodyText"/>
        <w:bidi w:val="0"/>
        <w:spacing w:before="200" w:after="200"/>
        <w:ind w:hanging="0" w:left="200" w:right="200"/>
        <w:rPr>
          <w:bdr w:val="single" w:sz="18" w:space="10" w:color="888888"/>
          <w:shd w:fill="F4F4F4" w:val="clear"/>
        </w:rPr>
      </w:pPr>
      <w:r>
        <w:rPr>
          <w:bdr w:val="single" w:sz="18" w:space="10" w:color="888888"/>
          <w:shd w:fill="F4F4F4" w:val="clear"/>
        </w:rPr>
        <w:t xml:space="preserve">Fixing it is a </w:t>
      </w:r>
      <w:r>
        <w:rPr>
          <w:b/>
          <w:bdr w:val="single" w:sz="18" w:space="10" w:color="888888"/>
          <w:shd w:fill="F4F4F4" w:val="clear"/>
        </w:rPr>
        <w:t>data</w:t>
      </w:r>
      <w:r>
        <w:rPr>
          <w:bdr w:val="single" w:sz="18" w:space="10" w:color="888888"/>
          <w:shd w:fill="F4F4F4" w:val="clear"/>
        </w:rPr>
        <w:t xml:space="preserve"> problem, not an architecture problem. The pipeline, the model, the threshold calibration and the serving path are all sound and now proven end to end. The category lacks adjudicated training examples. Estimated two to four months of focused work, and it remains the highest-value item on the roadmap.</w:t>
      </w:r>
    </w:p>
    <w:p>
      <w:pPr>
        <w:pStyle w:val="Heading3"/>
        <w:bidi w:val="0"/>
        <w:ind w:hanging="0"/>
        <w:rPr/>
      </w:pPr>
      <w:r>
        <w:rPr/>
        <w:t>6.2  Two design decisions that are easy to mistake for bugs</w:t>
      </w:r>
    </w:p>
    <w:p>
      <w:pPr>
        <w:pStyle w:val="BodyText"/>
        <w:bidi w:val="0"/>
        <w:rPr/>
      </w:pPr>
      <w:r>
        <w:rPr>
          <w:b/>
        </w:rPr>
        <w:t>A member's own post is never moderated.</w:t>
      </w:r>
      <w:r>
        <w:rPr/>
        <w:t xml:space="preserve"> Not blocked, not held, not gated, not asked to reword. Every category needs a recipient, and a new post has none. Only crisis detection runs on a post, and it gates nothing. Replies and comments are moderated, because someone else is on the receiving end.</w:t>
      </w:r>
    </w:p>
    <w:p>
      <w:pPr>
        <w:pStyle w:val="BodyText"/>
        <w:bidi w:val="0"/>
        <w:rPr/>
      </w:pPr>
      <w:r>
        <w:rPr>
          <w:b/>
        </w:rPr>
        <w:t>Categories are scoped by language, not duplicated per language.</w:t>
      </w:r>
      <w:r>
        <w:rPr/>
        <w:t xml:space="preserve"> A category is enforced only where it measures acceptably and is demoted to human review elsewhere. This is why abusive Hinglish can pass where the English equivalent is blocked: it is a known gap held open deliberately, because enforcing an unmeasured category would produce false positives against exactly the people the platform is for.</w:t>
      </w:r>
    </w:p>
    <w:p>
      <w:pPr>
        <w:pStyle w:val="Heading2"/>
        <w:bidi w:val="0"/>
        <w:rPr/>
      </w:pPr>
      <w:r>
        <w:rPr/>
        <w:t>7.  Milestones to First Local Run</w:t>
      </w:r>
    </w:p>
    <w:p>
      <w:pPr>
        <w:pStyle w:val="Heading3"/>
        <w:bidi w:val="0"/>
        <w:rPr/>
      </w:pPr>
      <w:r>
        <w:rPr/>
        <w:t>7.1  The goal, defined precisely</w:t>
      </w:r>
    </w:p>
    <w:p>
      <w:pPr>
        <w:pStyle w:val="BodyText"/>
        <w:bidi w:val="0"/>
        <w:rPr/>
      </w:pPr>
      <w:r>
        <w:rPr/>
        <w:t>One machine runs the whole platform. In a browser you can register with a phone number, create a passkey, post anonymously, watch the post be moderated by A1, receive an AI supportive response, receive a reply, write a journal entry, withdraw a consent, export your data and delete your account. Every sensitive step writes a row to the audit vault, and the privacy test suite passes.</w:t>
      </w:r>
    </w:p>
    <w:p>
      <w:pPr>
        <w:pStyle w:val="BodyText"/>
        <w:bidi w:val="0"/>
        <w:rPr/>
      </w:pPr>
      <w:r>
        <w:rPr/>
        <w:t>That is a complete, honest vertical slice. Everything after it is breadth.</w:t>
      </w:r>
    </w:p>
    <w:tbl>
      <w:tblPr>
        <w:tblW w:w="11339" w:type="dxa"/>
        <w:jc w:val="left"/>
        <w:tblInd w:w="28" w:type="dxa"/>
        <w:tblLayout w:type="fixed"/>
        <w:tblCellMar>
          <w:top w:w="28" w:type="dxa"/>
          <w:left w:w="28" w:type="dxa"/>
          <w:bottom w:w="28" w:type="dxa"/>
          <w:right w:w="28" w:type="dxa"/>
        </w:tblCellMar>
      </w:tblPr>
      <w:tblGrid>
        <w:gridCol w:w="460"/>
        <w:gridCol w:w="5423"/>
        <w:gridCol w:w="3969"/>
        <w:gridCol w:w="1487"/>
      </w:tblGrid>
      <w:tr>
        <w:trPr/>
        <w:tc>
          <w:tcPr>
            <w:tcW w:w="460" w:type="dxa"/>
            <w:tcBorders/>
            <w:vAlign w:val="center"/>
          </w:tcPr>
          <w:p>
            <w:pPr>
              <w:pStyle w:val="TableHeading"/>
              <w:suppressLineNumbers/>
              <w:shd w:fill="EEEEEE" w:val="clear"/>
              <w:bidi w:val="0"/>
              <w:spacing w:before="0" w:after="283"/>
              <w:jc w:val="left"/>
              <w:rPr/>
            </w:pPr>
            <w:r>
              <w:rPr/>
              <w:t>M</w:t>
            </w:r>
          </w:p>
        </w:tc>
        <w:tc>
          <w:tcPr>
            <w:tcW w:w="5423" w:type="dxa"/>
            <w:tcBorders/>
            <w:vAlign w:val="center"/>
          </w:tcPr>
          <w:p>
            <w:pPr>
              <w:pStyle w:val="TableHeading"/>
              <w:suppressLineNumbers/>
              <w:shd w:fill="EEEEEE" w:val="clear"/>
              <w:bidi w:val="0"/>
              <w:spacing w:before="0" w:after="283"/>
              <w:jc w:val="left"/>
              <w:rPr/>
            </w:pPr>
            <w:r>
              <w:rPr/>
              <w:t>What it delivers</w:t>
            </w:r>
          </w:p>
        </w:tc>
        <w:tc>
          <w:tcPr>
            <w:tcW w:w="3969" w:type="dxa"/>
            <w:tcBorders/>
            <w:vAlign w:val="center"/>
          </w:tcPr>
          <w:p>
            <w:pPr>
              <w:pStyle w:val="TableHeading"/>
              <w:suppressLineNumbers/>
              <w:shd w:fill="EEEEEE" w:val="clear"/>
              <w:bidi w:val="0"/>
              <w:spacing w:before="0" w:after="283"/>
              <w:jc w:val="left"/>
              <w:rPr/>
            </w:pPr>
            <w:r>
              <w:rPr/>
              <w:t>Done when</w:t>
            </w:r>
          </w:p>
        </w:tc>
        <w:tc>
          <w:tcPr>
            <w:tcW w:w="1487" w:type="dxa"/>
            <w:tcBorders/>
            <w:vAlign w:val="center"/>
          </w:tcPr>
          <w:p>
            <w:pPr>
              <w:pStyle w:val="TableHeading"/>
              <w:suppressLineNumbers/>
              <w:shd w:fill="EEEEEE" w:val="clear"/>
              <w:bidi w:val="0"/>
              <w:spacing w:before="0" w:after="283"/>
              <w:jc w:val="left"/>
              <w:rPr/>
            </w:pPr>
            <w:r>
              <w:rPr/>
              <w:t>Estimate</w:t>
            </w:r>
          </w:p>
        </w:tc>
      </w:tr>
      <w:tr>
        <w:trPr/>
        <w:tc>
          <w:tcPr>
            <w:tcW w:w="460" w:type="dxa"/>
            <w:tcBorders/>
            <w:vAlign w:val="center"/>
          </w:tcPr>
          <w:p>
            <w:pPr>
              <w:pStyle w:val="TableContents"/>
              <w:bidi w:val="0"/>
              <w:spacing w:before="0" w:after="283"/>
              <w:jc w:val="left"/>
              <w:rPr/>
            </w:pPr>
            <w:r>
              <w:rPr/>
              <w:t>M0</w:t>
            </w:r>
          </w:p>
        </w:tc>
        <w:tc>
          <w:tcPr>
            <w:tcW w:w="5423" w:type="dxa"/>
            <w:tcBorders/>
            <w:vAlign w:val="center"/>
          </w:tcPr>
          <w:p>
            <w:pPr>
              <w:pStyle w:val="TableContents"/>
              <w:bidi w:val="0"/>
              <w:spacing w:before="0" w:after="283"/>
              <w:jc w:val="left"/>
              <w:rPr/>
            </w:pPr>
            <w:r>
              <w:rPr/>
              <w:t>Local infrastructure — Docker Compose for three Postgres instances, Redis and OpenBao, with migration, grant and verification runners.</w:t>
            </w:r>
          </w:p>
        </w:tc>
        <w:tc>
          <w:tcPr>
            <w:tcW w:w="3969" w:type="dxa"/>
            <w:tcBorders/>
            <w:vAlign w:val="center"/>
          </w:tcPr>
          <w:p>
            <w:pPr>
              <w:pStyle w:val="TableContents"/>
              <w:bidi w:val="0"/>
              <w:spacing w:before="0" w:after="283"/>
              <w:ind w:hanging="0" w:left="0" w:right="0"/>
              <w:jc w:val="left"/>
              <w:rPr/>
            </w:pPr>
            <w:r>
              <w:rPr/>
              <w:t>The gateway boots against it, resolves a session and writes an audit row.</w:t>
            </w:r>
          </w:p>
        </w:tc>
        <w:tc>
          <w:tcPr>
            <w:tcW w:w="1487" w:type="dxa"/>
            <w:tcBorders/>
            <w:vAlign w:val="center"/>
          </w:tcPr>
          <w:p>
            <w:pPr>
              <w:pStyle w:val="TableContents"/>
              <w:bidi w:val="0"/>
              <w:spacing w:before="0" w:after="283"/>
              <w:jc w:val="left"/>
              <w:rPr>
                <w:b/>
                <w:color w:val="1A6B2A"/>
              </w:rPr>
            </w:pPr>
            <w:r>
              <w:rPr>
                <w:b/>
                <w:color w:val="1A6B2A"/>
              </w:rPr>
              <w:t>COMPLETE</w:t>
            </w:r>
          </w:p>
        </w:tc>
      </w:tr>
      <w:tr>
        <w:trPr/>
        <w:tc>
          <w:tcPr>
            <w:tcW w:w="460" w:type="dxa"/>
            <w:tcBorders/>
            <w:vAlign w:val="center"/>
          </w:tcPr>
          <w:p>
            <w:pPr>
              <w:pStyle w:val="TableContents"/>
              <w:bidi w:val="0"/>
              <w:spacing w:before="0" w:after="283"/>
              <w:jc w:val="left"/>
              <w:rPr/>
            </w:pPr>
            <w:r>
              <w:rPr/>
              <w:t>M1</w:t>
            </w:r>
          </w:p>
        </w:tc>
        <w:tc>
          <w:tcPr>
            <w:tcW w:w="5423" w:type="dxa"/>
            <w:tcBorders/>
            <w:vAlign w:val="center"/>
          </w:tcPr>
          <w:p>
            <w:pPr>
              <w:pStyle w:val="TableContents"/>
              <w:bidi w:val="0"/>
              <w:spacing w:before="0" w:after="283"/>
              <w:jc w:val="left"/>
              <w:rPr/>
            </w:pPr>
            <w:r>
              <w:rPr/>
              <w:t>Remaining vault schemas plus registered audit event types.</w:t>
            </w:r>
          </w:p>
        </w:tc>
        <w:tc>
          <w:tcPr>
            <w:tcW w:w="3969" w:type="dxa"/>
            <w:tcBorders/>
            <w:vAlign w:val="center"/>
          </w:tcPr>
          <w:p>
            <w:pPr>
              <w:pStyle w:val="TableContents"/>
              <w:bidi w:val="0"/>
              <w:spacing w:before="0" w:after="283"/>
              <w:ind w:hanging="0" w:left="0" w:right="0"/>
              <w:jc w:val="left"/>
              <w:rPr/>
            </w:pPr>
            <w:r>
              <w:rPr/>
              <w:t>53 tables across six databases; an audit row inserts and joins its registered type.</w:t>
            </w:r>
          </w:p>
        </w:tc>
        <w:tc>
          <w:tcPr>
            <w:tcW w:w="1487" w:type="dxa"/>
            <w:tcBorders/>
            <w:vAlign w:val="center"/>
          </w:tcPr>
          <w:p>
            <w:pPr>
              <w:pStyle w:val="TableContents"/>
              <w:bidi w:val="0"/>
              <w:spacing w:before="0" w:after="283"/>
              <w:jc w:val="left"/>
              <w:rPr>
                <w:b/>
                <w:color w:val="1A6B2A"/>
              </w:rPr>
            </w:pPr>
            <w:r>
              <w:rPr>
                <w:b/>
                <w:color w:val="1A6B2A"/>
              </w:rPr>
              <w:t>COMPLETE</w:t>
            </w:r>
          </w:p>
        </w:tc>
      </w:tr>
      <w:tr>
        <w:trPr/>
        <w:tc>
          <w:tcPr>
            <w:tcW w:w="460" w:type="dxa"/>
            <w:tcBorders/>
            <w:vAlign w:val="center"/>
          </w:tcPr>
          <w:p>
            <w:pPr>
              <w:pStyle w:val="TableContents"/>
              <w:bidi w:val="0"/>
              <w:spacing w:before="0" w:after="283"/>
              <w:jc w:val="left"/>
              <w:rPr/>
            </w:pPr>
            <w:r>
              <w:rPr/>
              <w:t>M2</w:t>
            </w:r>
          </w:p>
        </w:tc>
        <w:tc>
          <w:tcPr>
            <w:tcW w:w="5423" w:type="dxa"/>
            <w:tcBorders/>
            <w:vAlign w:val="center"/>
          </w:tcPr>
          <w:p>
            <w:pPr>
              <w:pStyle w:val="TableContents"/>
              <w:bidi w:val="0"/>
              <w:spacing w:before="0" w:after="283"/>
              <w:jc w:val="left"/>
              <w:rPr/>
            </w:pPr>
            <w:r>
              <w:rPr/>
              <w:t>Shared packages: consent policy engine, audit client, session store, service auth, shared types.</w:t>
            </w:r>
          </w:p>
        </w:tc>
        <w:tc>
          <w:tcPr>
            <w:tcW w:w="3969" w:type="dxa"/>
            <w:tcBorders/>
            <w:vAlign w:val="center"/>
          </w:tcPr>
          <w:p>
            <w:pPr>
              <w:pStyle w:val="TableContents"/>
              <w:bidi w:val="0"/>
              <w:spacing w:before="0" w:after="283"/>
              <w:ind w:hanging="0" w:left="0" w:right="0"/>
              <w:jc w:val="left"/>
              <w:rPr/>
            </w:pPr>
            <w:r>
              <w:rPr/>
              <w:t>One implementation of "may this actor read this record for this purpose" exists and is unit tested.</w:t>
            </w:r>
          </w:p>
        </w:tc>
        <w:tc>
          <w:tcPr>
            <w:tcW w:w="1487" w:type="dxa"/>
            <w:tcBorders/>
            <w:vAlign w:val="center"/>
          </w:tcPr>
          <w:p>
            <w:pPr>
              <w:pStyle w:val="TableContents"/>
              <w:bidi w:val="0"/>
              <w:spacing w:before="0" w:after="283"/>
              <w:jc w:val="left"/>
              <w:rPr>
                <w:b/>
                <w:color w:val="1A6B2A"/>
              </w:rPr>
            </w:pPr>
            <w:r>
              <w:rPr>
                <w:b/>
                <w:color w:val="1A6B2A"/>
              </w:rPr>
              <w:t>COMPLETE</w:t>
            </w:r>
          </w:p>
        </w:tc>
      </w:tr>
      <w:tr>
        <w:trPr/>
        <w:tc>
          <w:tcPr>
            <w:tcW w:w="460" w:type="dxa"/>
            <w:tcBorders/>
            <w:vAlign w:val="center"/>
          </w:tcPr>
          <w:p>
            <w:pPr>
              <w:pStyle w:val="TableContents"/>
              <w:bidi w:val="0"/>
              <w:spacing w:before="0" w:after="283"/>
              <w:jc w:val="left"/>
              <w:rPr/>
            </w:pPr>
            <w:r>
              <w:rPr/>
              <w:t>M3</w:t>
            </w:r>
          </w:p>
        </w:tc>
        <w:tc>
          <w:tcPr>
            <w:tcW w:w="5423" w:type="dxa"/>
            <w:tcBorders/>
            <w:vAlign w:val="center"/>
          </w:tcPr>
          <w:p>
            <w:pPr>
              <w:pStyle w:val="TableContents"/>
              <w:bidi w:val="0"/>
              <w:spacing w:before="0" w:after="283"/>
              <w:jc w:val="left"/>
              <w:rPr/>
            </w:pPr>
            <w:r>
              <w:rPr/>
              <w:t>auth-service and pseudonym-service. Phone, OTP, passkey, recovery codes, permanent handle, trusted devices.</w:t>
            </w:r>
          </w:p>
        </w:tc>
        <w:tc>
          <w:tcPr>
            <w:tcW w:w="3969" w:type="dxa"/>
            <w:tcBorders/>
            <w:vAlign w:val="center"/>
          </w:tcPr>
          <w:p>
            <w:pPr>
              <w:pStyle w:val="TableContents"/>
              <w:bidi w:val="0"/>
              <w:spacing w:before="0" w:after="283"/>
              <w:ind w:hanging="0" w:left="0" w:right="0"/>
              <w:jc w:val="left"/>
              <w:rPr/>
            </w:pPr>
            <w:r>
              <w:rPr/>
              <w:t>You can register, sign in three ways, and the gateway resolves your session.</w:t>
            </w:r>
          </w:p>
        </w:tc>
        <w:tc>
          <w:tcPr>
            <w:tcW w:w="1487" w:type="dxa"/>
            <w:tcBorders/>
            <w:vAlign w:val="center"/>
          </w:tcPr>
          <w:p>
            <w:pPr>
              <w:pStyle w:val="TableContents"/>
              <w:bidi w:val="0"/>
              <w:spacing w:before="0" w:after="283"/>
              <w:jc w:val="left"/>
              <w:rPr>
                <w:b/>
                <w:color w:val="1A6B2A"/>
              </w:rPr>
            </w:pPr>
            <w:r>
              <w:rPr>
                <w:b/>
                <w:color w:val="1A6B2A"/>
              </w:rPr>
              <w:t>COMPLETE</w:t>
            </w:r>
          </w:p>
        </w:tc>
      </w:tr>
      <w:tr>
        <w:trPr/>
        <w:tc>
          <w:tcPr>
            <w:tcW w:w="460" w:type="dxa"/>
            <w:tcBorders/>
            <w:vAlign w:val="center"/>
          </w:tcPr>
          <w:p>
            <w:pPr>
              <w:pStyle w:val="TableContents"/>
              <w:bidi w:val="0"/>
              <w:spacing w:before="0" w:after="283"/>
              <w:jc w:val="left"/>
              <w:rPr/>
            </w:pPr>
            <w:r>
              <w:rPr/>
              <w:t>M4</w:t>
            </w:r>
          </w:p>
        </w:tc>
        <w:tc>
          <w:tcPr>
            <w:tcW w:w="5423" w:type="dxa"/>
            <w:tcBorders/>
            <w:vAlign w:val="center"/>
          </w:tcPr>
          <w:p>
            <w:pPr>
              <w:pStyle w:val="TableContents"/>
              <w:bidi w:val="0"/>
              <w:spacing w:before="0" w:after="283"/>
              <w:jc w:val="left"/>
              <w:rPr/>
            </w:pPr>
            <w:r>
              <w:rPr/>
              <w:t>A1 served locally on the GPU behind the orchestrator, wired to the gateway.</w:t>
            </w:r>
          </w:p>
        </w:tc>
        <w:tc>
          <w:tcPr>
            <w:tcW w:w="3969" w:type="dxa"/>
            <w:tcBorders/>
            <w:vAlign w:val="center"/>
          </w:tcPr>
          <w:p>
            <w:pPr>
              <w:pStyle w:val="TableContents"/>
              <w:bidi w:val="0"/>
              <w:spacing w:before="0" w:after="283"/>
              <w:ind w:hanging="0" w:left="0" w:right="0"/>
              <w:jc w:val="left"/>
              <w:rPr/>
            </w:pPr>
            <w:r>
              <w:rPr/>
              <w:t>A real string returns a real verdict through the gateway, and the access is audited.</w:t>
            </w:r>
          </w:p>
        </w:tc>
        <w:tc>
          <w:tcPr>
            <w:tcW w:w="1487" w:type="dxa"/>
            <w:tcBorders/>
            <w:vAlign w:val="center"/>
          </w:tcPr>
          <w:p>
            <w:pPr>
              <w:pStyle w:val="TableContents"/>
              <w:bidi w:val="0"/>
              <w:spacing w:before="0" w:after="283"/>
              <w:jc w:val="left"/>
              <w:rPr>
                <w:b/>
                <w:color w:val="1A6B2A"/>
              </w:rPr>
            </w:pPr>
            <w:r>
              <w:rPr>
                <w:b/>
                <w:color w:val="1A6B2A"/>
              </w:rPr>
              <w:t>COMPLETE</w:t>
            </w:r>
          </w:p>
        </w:tc>
      </w:tr>
      <w:tr>
        <w:trPr/>
        <w:tc>
          <w:tcPr>
            <w:tcW w:w="460" w:type="dxa"/>
            <w:tcBorders/>
            <w:vAlign w:val="center"/>
          </w:tcPr>
          <w:p>
            <w:pPr>
              <w:pStyle w:val="TableContents"/>
              <w:bidi w:val="0"/>
              <w:spacing w:before="0" w:after="283"/>
              <w:jc w:val="left"/>
              <w:rPr/>
            </w:pPr>
            <w:r>
              <w:rPr/>
              <w:t>M5</w:t>
            </w:r>
          </w:p>
        </w:tc>
        <w:tc>
          <w:tcPr>
            <w:tcW w:w="5423" w:type="dxa"/>
            <w:tcBorders/>
            <w:vAlign w:val="center"/>
          </w:tcPr>
          <w:p>
            <w:pPr>
              <w:pStyle w:val="TableContents"/>
              <w:bidi w:val="0"/>
              <w:spacing w:before="0" w:after="283"/>
              <w:jc w:val="left"/>
              <w:rPr/>
            </w:pPr>
            <w:r>
              <w:rPr/>
              <w:t>community-service and moderation-service. Posting, replies, hidden-reply rules, plan quotas, reports, appeals, five-day expiry.</w:t>
            </w:r>
          </w:p>
        </w:tc>
        <w:tc>
          <w:tcPr>
            <w:tcW w:w="3969" w:type="dxa"/>
            <w:tcBorders/>
            <w:vAlign w:val="center"/>
          </w:tcPr>
          <w:p>
            <w:pPr>
              <w:pStyle w:val="TableContents"/>
              <w:bidi w:val="0"/>
              <w:spacing w:before="0" w:after="283"/>
              <w:ind w:hanging="0" w:left="0" w:right="0"/>
              <w:jc w:val="left"/>
              <w:rPr/>
            </w:pPr>
            <w:r>
              <w:rPr/>
              <w:t>You can post, be moderated, and see replies. Quotas enforce.</w:t>
            </w:r>
          </w:p>
        </w:tc>
        <w:tc>
          <w:tcPr>
            <w:tcW w:w="1487" w:type="dxa"/>
            <w:tcBorders/>
            <w:vAlign w:val="center"/>
          </w:tcPr>
          <w:p>
            <w:pPr>
              <w:pStyle w:val="TableContents"/>
              <w:bidi w:val="0"/>
              <w:spacing w:before="0" w:after="283"/>
              <w:jc w:val="left"/>
              <w:rPr>
                <w:b/>
                <w:color w:val="9A5B00"/>
              </w:rPr>
            </w:pPr>
            <w:r>
              <w:rPr>
                <w:b/>
                <w:color w:val="9A5B00"/>
              </w:rPr>
              <w:t>2–3 weeks</w:t>
            </w:r>
          </w:p>
        </w:tc>
      </w:tr>
      <w:tr>
        <w:trPr/>
        <w:tc>
          <w:tcPr>
            <w:tcW w:w="460" w:type="dxa"/>
            <w:tcBorders/>
            <w:vAlign w:val="center"/>
          </w:tcPr>
          <w:p>
            <w:pPr>
              <w:pStyle w:val="TableContents"/>
              <w:bidi w:val="0"/>
              <w:spacing w:before="0" w:after="283"/>
              <w:jc w:val="left"/>
              <w:rPr/>
            </w:pPr>
            <w:r>
              <w:rPr/>
              <w:t>M6</w:t>
            </w:r>
          </w:p>
        </w:tc>
        <w:tc>
          <w:tcPr>
            <w:tcW w:w="5423" w:type="dxa"/>
            <w:tcBorders/>
            <w:vAlign w:val="center"/>
          </w:tcPr>
          <w:p>
            <w:pPr>
              <w:pStyle w:val="TableContents"/>
              <w:bidi w:val="0"/>
              <w:spacing w:before="0" w:after="283"/>
              <w:jc w:val="left"/>
              <w:rPr/>
            </w:pPr>
            <w:r>
              <w:rPr/>
              <w:t>AI supportive response — a self-hosted open model generating one reply per post.</w:t>
            </w:r>
          </w:p>
        </w:tc>
        <w:tc>
          <w:tcPr>
            <w:tcW w:w="3969" w:type="dxa"/>
            <w:tcBorders/>
            <w:vAlign w:val="center"/>
          </w:tcPr>
          <w:p>
            <w:pPr>
              <w:pStyle w:val="TableContents"/>
              <w:bidi w:val="0"/>
              <w:spacing w:before="0" w:after="283"/>
              <w:jc w:val="left"/>
              <w:rPr/>
            </w:pPr>
            <w:r>
              <w:rPr/>
              <w:t>No post is ever bare.</w:t>
            </w:r>
          </w:p>
        </w:tc>
        <w:tc>
          <w:tcPr>
            <w:tcW w:w="1487" w:type="dxa"/>
            <w:tcBorders/>
            <w:vAlign w:val="center"/>
          </w:tcPr>
          <w:p>
            <w:pPr>
              <w:pStyle w:val="TableContents"/>
              <w:bidi w:val="0"/>
              <w:spacing w:before="0" w:after="283"/>
              <w:jc w:val="left"/>
              <w:rPr/>
            </w:pPr>
            <w:r>
              <w:rPr/>
              <w:t>1 week</w:t>
            </w:r>
          </w:p>
        </w:tc>
      </w:tr>
      <w:tr>
        <w:trPr/>
        <w:tc>
          <w:tcPr>
            <w:tcW w:w="460" w:type="dxa"/>
            <w:tcBorders/>
            <w:vAlign w:val="center"/>
          </w:tcPr>
          <w:p>
            <w:pPr>
              <w:pStyle w:val="TableContents"/>
              <w:bidi w:val="0"/>
              <w:spacing w:before="0" w:after="283"/>
              <w:jc w:val="left"/>
              <w:rPr/>
            </w:pPr>
            <w:r>
              <w:rPr/>
              <w:t>M7</w:t>
            </w:r>
          </w:p>
        </w:tc>
        <w:tc>
          <w:tcPr>
            <w:tcW w:w="5423" w:type="dxa"/>
            <w:tcBorders/>
            <w:vAlign w:val="center"/>
          </w:tcPr>
          <w:p>
            <w:pPr>
              <w:pStyle w:val="TableContents"/>
              <w:bidi w:val="0"/>
              <w:spacing w:before="0" w:after="283"/>
              <w:jc w:val="left"/>
              <w:rPr/>
            </w:pPr>
            <w:r>
              <w:rPr/>
              <w:t>clinical-vault-service and consent-service. Journal, mood, per-record consent, envelope encryption.</w:t>
            </w:r>
          </w:p>
        </w:tc>
        <w:tc>
          <w:tcPr>
            <w:tcW w:w="3969" w:type="dxa"/>
            <w:tcBorders/>
            <w:vAlign w:val="center"/>
          </w:tcPr>
          <w:p>
            <w:pPr>
              <w:pStyle w:val="TableContents"/>
              <w:bidi w:val="0"/>
              <w:spacing w:before="0" w:after="283"/>
              <w:jc w:val="left"/>
              <w:rPr/>
            </w:pPr>
            <w:r>
              <w:rPr/>
              <w:t>A journal entry is written, encrypted, read back and its consent withdrawn.</w:t>
            </w:r>
          </w:p>
        </w:tc>
        <w:tc>
          <w:tcPr>
            <w:tcW w:w="1487" w:type="dxa"/>
            <w:tcBorders/>
            <w:vAlign w:val="center"/>
          </w:tcPr>
          <w:p>
            <w:pPr>
              <w:pStyle w:val="TableContents"/>
              <w:bidi w:val="0"/>
              <w:spacing w:before="0" w:after="283"/>
              <w:jc w:val="left"/>
              <w:rPr/>
            </w:pPr>
            <w:r>
              <w:rPr/>
              <w:t>2 weeks</w:t>
            </w:r>
          </w:p>
        </w:tc>
      </w:tr>
      <w:tr>
        <w:trPr/>
        <w:tc>
          <w:tcPr>
            <w:tcW w:w="460" w:type="dxa"/>
            <w:tcBorders/>
            <w:vAlign w:val="center"/>
          </w:tcPr>
          <w:p>
            <w:pPr>
              <w:pStyle w:val="TableContents"/>
              <w:bidi w:val="0"/>
              <w:spacing w:before="0" w:after="283"/>
              <w:jc w:val="left"/>
              <w:rPr/>
            </w:pPr>
            <w:r>
              <w:rPr/>
              <w:t>M8</w:t>
            </w:r>
          </w:p>
        </w:tc>
        <w:tc>
          <w:tcPr>
            <w:tcW w:w="5423" w:type="dxa"/>
            <w:tcBorders/>
            <w:vAlign w:val="center"/>
          </w:tcPr>
          <w:p>
            <w:pPr>
              <w:pStyle w:val="TableContents"/>
              <w:bidi w:val="0"/>
              <w:spacing w:before="0" w:after="283"/>
              <w:jc w:val="left"/>
              <w:rPr/>
            </w:pPr>
            <w:r>
              <w:rPr/>
              <w:t>Frontend wired to the real API. Auth flow, composer, feed, dashboard against live services.</w:t>
            </w:r>
          </w:p>
        </w:tc>
        <w:tc>
          <w:tcPr>
            <w:tcW w:w="3969" w:type="dxa"/>
            <w:tcBorders/>
            <w:vAlign w:val="center"/>
          </w:tcPr>
          <w:p>
            <w:pPr>
              <w:pStyle w:val="TableContents"/>
              <w:bidi w:val="0"/>
              <w:spacing w:before="0" w:after="283"/>
              <w:jc w:val="left"/>
              <w:rPr/>
            </w:pPr>
            <w:r>
              <w:rPr/>
              <w:t>The browser talks to the backend. No mock data anywhere.</w:t>
            </w:r>
          </w:p>
        </w:tc>
        <w:tc>
          <w:tcPr>
            <w:tcW w:w="1487" w:type="dxa"/>
            <w:tcBorders/>
            <w:vAlign w:val="center"/>
          </w:tcPr>
          <w:p>
            <w:pPr>
              <w:pStyle w:val="TableContents"/>
              <w:bidi w:val="0"/>
              <w:spacing w:before="0" w:after="283"/>
              <w:jc w:val="left"/>
              <w:rPr/>
            </w:pPr>
            <w:r>
              <w:rPr/>
              <w:t>2 weeks</w:t>
            </w:r>
          </w:p>
        </w:tc>
      </w:tr>
      <w:tr>
        <w:trPr/>
        <w:tc>
          <w:tcPr>
            <w:tcW w:w="460" w:type="dxa"/>
            <w:tcBorders/>
            <w:vAlign w:val="center"/>
          </w:tcPr>
          <w:p>
            <w:pPr>
              <w:pStyle w:val="TableContents"/>
              <w:bidi w:val="0"/>
              <w:spacing w:before="0" w:after="283"/>
              <w:jc w:val="left"/>
              <w:rPr/>
            </w:pPr>
            <w:r>
              <w:rPr/>
              <w:t>M9</w:t>
            </w:r>
          </w:p>
        </w:tc>
        <w:tc>
          <w:tcPr>
            <w:tcW w:w="5423" w:type="dxa"/>
            <w:tcBorders/>
            <w:vAlign w:val="center"/>
          </w:tcPr>
          <w:p>
            <w:pPr>
              <w:pStyle w:val="TableContents"/>
              <w:bidi w:val="0"/>
              <w:spacing w:before="0" w:after="283"/>
              <w:jc w:val="left"/>
              <w:rPr/>
            </w:pPr>
            <w:r>
              <w:rPr/>
              <w:t>retention-service. Export and deletion across every vault, cache and index.</w:t>
            </w:r>
          </w:p>
        </w:tc>
        <w:tc>
          <w:tcPr>
            <w:tcW w:w="3969" w:type="dxa"/>
            <w:tcBorders/>
            <w:vAlign w:val="center"/>
          </w:tcPr>
          <w:p>
            <w:pPr>
              <w:pStyle w:val="TableContents"/>
              <w:bidi w:val="0"/>
              <w:spacing w:before="0" w:after="283"/>
              <w:jc w:val="left"/>
              <w:rPr/>
            </w:pPr>
            <w:r>
              <w:rPr/>
              <w:t>Delete your account and the privacy test suite proves the data is gone.</w:t>
            </w:r>
          </w:p>
        </w:tc>
        <w:tc>
          <w:tcPr>
            <w:tcW w:w="1487" w:type="dxa"/>
            <w:tcBorders/>
            <w:vAlign w:val="center"/>
          </w:tcPr>
          <w:p>
            <w:pPr>
              <w:pStyle w:val="TableContents"/>
              <w:bidi w:val="0"/>
              <w:spacing w:before="0" w:after="283"/>
              <w:jc w:val="left"/>
              <w:rPr/>
            </w:pPr>
            <w:r>
              <w:rPr/>
              <w:t>1 week</w:t>
            </w:r>
          </w:p>
        </w:tc>
      </w:tr>
    </w:tbl>
    <w:p>
      <w:pPr>
        <w:pStyle w:val="BodyText"/>
        <w:bidi w:val="0"/>
        <w:rPr/>
      </w:pPr>
      <w:r>
        <w:rPr/>
        <w:t xml:space="preserve">Five of ten complete. Remaining estimate: roughly </w:t>
      </w:r>
      <w:r>
        <w:rPr>
          <w:b/>
        </w:rPr>
        <w:t>eight to nine weeks</w:t>
      </w:r>
      <w:r>
        <w:rPr/>
        <w:t xml:space="preserve"> of focused work to the first local run, excluding the A1 data work in section 6, which runs in parallel and gates public launch rather than local completeness.</w:t>
      </w:r>
    </w:p>
    <w:p>
      <w:pPr>
        <w:pStyle w:val="Heading2"/>
        <w:bidi w:val="0"/>
        <w:rPr/>
      </w:pPr>
      <w:r>
        <w:rPr/>
        <w:t>8.  Risks</w:t>
      </w:r>
    </w:p>
    <w:tbl>
      <w:tblPr>
        <w:tblW w:w="11339" w:type="dxa"/>
        <w:jc w:val="left"/>
        <w:tblInd w:w="28" w:type="dxa"/>
        <w:tblLayout w:type="fixed"/>
        <w:tblCellMar>
          <w:top w:w="28" w:type="dxa"/>
          <w:left w:w="28" w:type="dxa"/>
          <w:bottom w:w="28" w:type="dxa"/>
          <w:right w:w="28" w:type="dxa"/>
        </w:tblCellMar>
      </w:tblPr>
      <w:tblGrid>
        <w:gridCol w:w="5879"/>
        <w:gridCol w:w="5460"/>
      </w:tblGrid>
      <w:tr>
        <w:trPr/>
        <w:tc>
          <w:tcPr>
            <w:tcW w:w="5879" w:type="dxa"/>
            <w:tcBorders/>
            <w:vAlign w:val="center"/>
          </w:tcPr>
          <w:p>
            <w:pPr>
              <w:pStyle w:val="TableHeading"/>
              <w:suppressLineNumbers/>
              <w:shd w:fill="EEEEEE" w:val="clear"/>
              <w:bidi w:val="0"/>
              <w:spacing w:before="0" w:after="283"/>
              <w:jc w:val="left"/>
              <w:rPr/>
            </w:pPr>
            <w:r>
              <w:rPr/>
              <w:t>Risk</w:t>
            </w:r>
          </w:p>
        </w:tc>
        <w:tc>
          <w:tcPr>
            <w:tcW w:w="5460" w:type="dxa"/>
            <w:tcBorders/>
            <w:vAlign w:val="center"/>
          </w:tcPr>
          <w:p>
            <w:pPr>
              <w:pStyle w:val="TableHeading"/>
              <w:suppressLineNumbers/>
              <w:shd w:fill="EEEEEE" w:val="clear"/>
              <w:bidi w:val="0"/>
              <w:spacing w:before="0" w:after="283"/>
              <w:jc w:val="left"/>
              <w:rPr/>
            </w:pPr>
            <w:r>
              <w:rPr/>
              <w:t>Standing</w:t>
            </w:r>
          </w:p>
        </w:tc>
      </w:tr>
      <w:tr>
        <w:trPr/>
        <w:tc>
          <w:tcPr>
            <w:tcW w:w="5879" w:type="dxa"/>
            <w:tcBorders/>
            <w:vAlign w:val="center"/>
          </w:tcPr>
          <w:p>
            <w:pPr>
              <w:pStyle w:val="TableContents"/>
              <w:bidi w:val="0"/>
              <w:spacing w:before="0" w:after="283"/>
              <w:jc w:val="left"/>
              <w:rPr/>
            </w:pPr>
            <w:r>
              <w:rPr>
                <w:b/>
              </w:rPr>
              <w:t>A1 cannot detect self-harm encouragement.</w:t>
            </w:r>
            <w:r>
              <w:rPr/>
              <w:t xml:space="preserve"> Five of sixteen categories are enforced.</w:t>
            </w:r>
          </w:p>
        </w:tc>
        <w:tc>
          <w:tcPr>
            <w:tcW w:w="5460" w:type="dxa"/>
            <w:tcBorders/>
            <w:vAlign w:val="center"/>
          </w:tcPr>
          <w:p>
            <w:pPr>
              <w:pStyle w:val="TableContents"/>
              <w:bidi w:val="0"/>
              <w:spacing w:before="0" w:after="283"/>
              <w:jc w:val="left"/>
              <w:rPr/>
            </w:pPr>
            <w:r>
              <w:rPr/>
              <w:t>Open, and the binding constraint on public launch. Data, not architecture. See section 6.</w:t>
            </w:r>
          </w:p>
        </w:tc>
      </w:tr>
      <w:tr>
        <w:trPr/>
        <w:tc>
          <w:tcPr>
            <w:tcW w:w="5879" w:type="dxa"/>
            <w:tcBorders/>
            <w:vAlign w:val="center"/>
          </w:tcPr>
          <w:p>
            <w:pPr>
              <w:pStyle w:val="TableContents"/>
              <w:bidi w:val="0"/>
              <w:spacing w:before="0" w:after="283"/>
              <w:jc w:val="left"/>
              <w:rPr/>
            </w:pPr>
            <w:r>
              <w:rPr>
                <w:b/>
              </w:rPr>
              <w:t>A2, the crisis model, is a placeholder.</w:t>
            </w:r>
            <w:r>
              <w:rPr/>
              <w:t xml:space="preserve"> Risk banding on posts currently comes from a baseline.</w:t>
            </w:r>
          </w:p>
        </w:tc>
        <w:tc>
          <w:tcPr>
            <w:tcW w:w="5460" w:type="dxa"/>
            <w:tcBorders/>
            <w:vAlign w:val="center"/>
          </w:tcPr>
          <w:p>
            <w:pPr>
              <w:pStyle w:val="TableContents"/>
              <w:bidi w:val="0"/>
              <w:spacing w:before="0" w:after="283"/>
              <w:jc w:val="left"/>
              <w:rPr/>
            </w:pPr>
            <w:r>
              <w:rPr/>
              <w:t>Open. Matters more once M5 puts real posts through it.</w:t>
            </w:r>
          </w:p>
        </w:tc>
      </w:tr>
      <w:tr>
        <w:trPr/>
        <w:tc>
          <w:tcPr>
            <w:tcW w:w="5879" w:type="dxa"/>
            <w:tcBorders/>
            <w:vAlign w:val="center"/>
          </w:tcPr>
          <w:p>
            <w:pPr>
              <w:pStyle w:val="TableContents"/>
              <w:bidi w:val="0"/>
              <w:spacing w:before="0" w:after="283"/>
              <w:jc w:val="left"/>
              <w:rPr/>
            </w:pPr>
            <w:r>
              <w:rPr>
                <w:b/>
              </w:rPr>
              <w:t>32 GB RAM ceiling.</w:t>
            </w:r>
            <w:r>
              <w:rPr/>
              <w:t xml:space="preserve"> Three Postgres instances, Redis, OpenBao, Node services, A1 on the GPU and a generative model for M6 is a tight fit.</w:t>
            </w:r>
          </w:p>
        </w:tc>
        <w:tc>
          <w:tcPr>
            <w:tcW w:w="5460" w:type="dxa"/>
            <w:tcBorders/>
            <w:vAlign w:val="center"/>
          </w:tcPr>
          <w:p>
            <w:pPr>
              <w:pStyle w:val="TableContents"/>
              <w:bidi w:val="0"/>
              <w:spacing w:before="0" w:after="283"/>
              <w:jc w:val="left"/>
              <w:rPr/>
            </w:pPr>
            <w:r>
              <w:rPr/>
              <w:t>Open. A1 sits in GPU memory, which helps; the M6 model must be quantised to share the 16 GB card. Expect to run services selectively rather than all at once.</w:t>
            </w:r>
          </w:p>
        </w:tc>
      </w:tr>
      <w:tr>
        <w:trPr/>
        <w:tc>
          <w:tcPr>
            <w:tcW w:w="5879" w:type="dxa"/>
            <w:tcBorders/>
            <w:vAlign w:val="center"/>
          </w:tcPr>
          <w:p>
            <w:pPr>
              <w:pStyle w:val="TableContents"/>
              <w:bidi w:val="0"/>
              <w:spacing w:before="0" w:after="283"/>
              <w:jc w:val="left"/>
              <w:rPr/>
            </w:pPr>
            <w:r>
              <w:rPr>
                <w:b/>
              </w:rPr>
              <w:t>Shared-secret service auth.</w:t>
            </w:r>
            <w:r>
              <w:rPr/>
              <w:t xml:space="preserve"> An HMAC secret distributed to many services — now across two languages — is a weaker boundary than the network segment it protects.</w:t>
            </w:r>
          </w:p>
        </w:tc>
        <w:tc>
          <w:tcPr>
            <w:tcW w:w="5460" w:type="dxa"/>
            <w:tcBorders/>
            <w:vAlign w:val="center"/>
          </w:tcPr>
          <w:p>
            <w:pPr>
              <w:pStyle w:val="TableContents"/>
              <w:bidi w:val="0"/>
              <w:spacing w:before="0" w:after="283"/>
              <w:jc w:val="left"/>
              <w:rPr/>
            </w:pPr>
            <w:r>
              <w:rPr/>
              <w:t>Known and documented. mTLS between deployables is required before the identity vault holds real records.</w:t>
            </w:r>
          </w:p>
        </w:tc>
      </w:tr>
      <w:tr>
        <w:trPr/>
        <w:tc>
          <w:tcPr>
            <w:tcW w:w="5879" w:type="dxa"/>
            <w:tcBorders/>
            <w:vAlign w:val="center"/>
          </w:tcPr>
          <w:p>
            <w:pPr>
              <w:pStyle w:val="TableContents"/>
              <w:bidi w:val="0"/>
              <w:spacing w:before="0" w:after="283"/>
              <w:jc w:val="left"/>
              <w:rPr/>
            </w:pPr>
            <w:r>
              <w:rPr>
                <w:b/>
              </w:rPr>
              <w:t>OpenBao unconfigured.</w:t>
            </w:r>
            <w:r>
              <w:rPr/>
              <w:t xml:space="preserve"> Encryption columns exist but nothing writes to them.</w:t>
            </w:r>
          </w:p>
        </w:tc>
        <w:tc>
          <w:tcPr>
            <w:tcW w:w="5460" w:type="dxa"/>
            <w:tcBorders/>
            <w:vAlign w:val="center"/>
          </w:tcPr>
          <w:p>
            <w:pPr>
              <w:pStyle w:val="TableContents"/>
              <w:bidi w:val="0"/>
              <w:spacing w:before="0" w:after="283"/>
              <w:jc w:val="left"/>
              <w:rPr/>
            </w:pPr>
            <w:r>
              <w:rPr/>
              <w:t>Open. Must land before M7, when the first genuinely clinical content is stored.</w:t>
            </w:r>
          </w:p>
        </w:tc>
      </w:tr>
      <w:tr>
        <w:trPr/>
        <w:tc>
          <w:tcPr>
            <w:tcW w:w="5879" w:type="dxa"/>
            <w:tcBorders/>
            <w:vAlign w:val="center"/>
          </w:tcPr>
          <w:p>
            <w:pPr>
              <w:pStyle w:val="TableContents"/>
              <w:bidi w:val="0"/>
              <w:spacing w:before="0" w:after="283"/>
              <w:jc w:val="left"/>
              <w:rPr/>
            </w:pPr>
            <w:r>
              <w:rPr>
                <w:b/>
              </w:rPr>
              <w:t>Solo maintainer.</w:t>
            </w:r>
            <w:r>
              <w:rPr/>
              <w:t xml:space="preserve"> Every decision in this document has one person behind it.</w:t>
            </w:r>
          </w:p>
        </w:tc>
        <w:tc>
          <w:tcPr>
            <w:tcW w:w="5460" w:type="dxa"/>
            <w:tcBorders/>
            <w:vAlign w:val="center"/>
          </w:tcPr>
          <w:p>
            <w:pPr>
              <w:pStyle w:val="TableContents"/>
              <w:bidi w:val="0"/>
              <w:spacing w:before="0" w:after="283"/>
              <w:jc w:val="left"/>
              <w:rPr/>
            </w:pPr>
            <w:r>
              <w:rPr/>
              <w:t>Structural. Mitigated by the metadata-driven design and by the reasoning being written down beside the code rather than held in memory.</w:t>
            </w:r>
          </w:p>
        </w:tc>
      </w:tr>
    </w:tbl>
    <w:p>
      <w:pPr>
        <w:pStyle w:val="BodyTextmeta"/>
        <w:bidi w:val="0"/>
        <w:spacing w:before="480" w:after="283"/>
        <w:ind w:hanging="0" w:left="0" w:right="0"/>
        <w:rPr/>
      </w:pPr>
      <w:r>
        <w:rPr/>
        <w:t>End of document. Generated from a direct audit of the repository and the running stack on 11 September 2026.</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serif"/>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Georgia;serif" w:hAnsi="Georgia;serif" w:eastAsia="Georgia;serif" w:cs="Georgia;serif"/>
      <w:color w:val="auto"/>
      <w:sz w:val="22"/>
      <w:szCs w:val="22"/>
      <w:lang w:val="en-US" w:eastAsia="zh-CN" w:bidi="hi-IN"/>
    </w:rPr>
  </w:style>
  <w:style w:type="paragraph" w:styleId="Heading1">
    <w:name w:val="heading 1"/>
    <w:basedOn w:val="Heading"/>
    <w:next w:val="BodyText"/>
    <w:qFormat/>
    <w:pPr>
      <w:spacing w:before="240" w:after="40"/>
    </w:pPr>
    <w:rPr>
      <w:b/>
      <w:bCs/>
      <w:sz w:val="48"/>
      <w:szCs w:val="48"/>
    </w:rPr>
  </w:style>
  <w:style w:type="paragraph" w:styleId="Heading2">
    <w:name w:val="heading 2"/>
    <w:basedOn w:val="Heading"/>
    <w:next w:val="BodyText"/>
    <w:qFormat/>
    <w:pPr>
      <w:pBdr>
        <w:bottom w:val="single" w:sz="2" w:space="3" w:color="999999"/>
      </w:pBdr>
      <w:spacing w:before="440" w:after="120"/>
      <w:outlineLvl w:val="1"/>
    </w:pPr>
    <w:rPr>
      <w:rFonts w:ascii="Liberation Serif" w:hAnsi="Liberation Serif" w:eastAsia="NSimSun" w:cs="Arial"/>
      <w:b/>
      <w:bCs/>
      <w:sz w:val="30"/>
      <w:szCs w:val="30"/>
    </w:rPr>
  </w:style>
  <w:style w:type="paragraph" w:styleId="Heading3">
    <w:name w:val="heading 3"/>
    <w:basedOn w:val="Heading"/>
    <w:next w:val="BodyText"/>
    <w:qFormat/>
    <w:pPr>
      <w:spacing w:before="320" w:after="120"/>
      <w:outlineLvl w:val="2"/>
    </w:pPr>
    <w:rPr>
      <w:rFonts w:ascii="Liberation Serif" w:hAnsi="Liberation Serif" w:eastAsia="NSimSun" w:cs="Arial"/>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19"/>
      <w:szCs w:val="19"/>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List">
    <w:name w:val="List"/>
    <w:basedOn w:val="BodyText"/>
    <w:pPr/>
    <w:rPr>
      <w:rFonts w:cs="Arial"/>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
    <w:name w:val="Body Text.sub"/>
    <w:basedOn w:val="BodyText"/>
    <w:qFormat/>
    <w:pPr/>
    <w:rPr>
      <w:color w:val="444444"/>
      <w:sz w:val="24"/>
      <w:szCs w:val="24"/>
    </w:rPr>
  </w:style>
  <w:style w:type="paragraph" w:styleId="BodyTextmeta">
    <w:name w:val="Body Text.meta"/>
    <w:basedOn w:val="BodyText"/>
    <w:qFormat/>
    <w:pPr/>
    <w:rPr>
      <w:color w:val="555555"/>
      <w:sz w:val="19"/>
      <w:szCs w:val="19"/>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Alaap — Platform Status and Path to First Local Run</dc:title>
</cp:coreProperties>
</file>

<file path=docProps/custom.xml><?xml version="1.0" encoding="utf-8"?>
<Properties xmlns="http://schemas.openxmlformats.org/officeDocument/2006/custom-properties" xmlns:vt="http://schemas.openxmlformats.org/officeDocument/2006/docPropsVTypes"/>
</file>