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65F46"/>
          <w:sz w:val="56"/>
          <w:szCs w:val="56"/>
        </w:rPr>
        <w:t xml:space="preserve">TASTYBYTES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Restaurant Management System</w:t>
      </w:r>
    </w:p>
    <w:p>
      <w:pPr>
        <w:pBdr>
          <w:bottom w:val="single" w:color="065F46" w:sz="6" w:space="6"/>
        </w:pBdr>
        <w:spacing w:before="60" w:after="48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Stage 1  —  Feasibility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Feasibility Study — All Five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TastyBytes — Shiva Dhaba Restaurant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Client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Ramesh Gupta, Owner — Shiva Dhaba, Ghaziabad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Jangid, Software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Input 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— Discovery Meeting Transcript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Overall Verdict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FEASIBLE — Proceed to Stage 2 Design</w:t>
            </w:r>
          </w:p>
        </w:tc>
      </w:tr>
    </w:tbl>
    <w:p>
      <w:pPr>
        <w:spacing w:before="4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feasibility study evaluates whether a proposed software project is practical, affordable, technically achievable, and likely to succeed. This study examines the TastyBytes restaurant management system for Shiva Dhaba across five dimensions: Technical, Economic, Operational, Schedule, and Legal/Ethical.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section concludes with a verdict. The overall project verdict follows the individual assessments.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2. Technical Feasibility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Technical feasibility asks: Do we have the technology and skills to build this system?</w:t>
      </w:r>
    </w:p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2.1 Technology Stack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Build 1 (Supabase)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Build 2 (Spring Boot)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Tailwind CSS (TypeScript)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React frontend, API calls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+ Edge Functions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Spring Boot REST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+ JWT claims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Spring 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(orders)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WebSocket/STOMP (orders)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Support Chat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Functions + Socket.IO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+ Socket.IO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via Edge Function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via Spring Boot controller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(frontend)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(backend) + Netlify (frontend)</w:t>
            </w:r>
          </w:p>
        </w:tc>
      </w:tr>
    </w:tbl>
    <w:p>
      <w:pPr>
        <w:spacing w:before="20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2.2 Technical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Risk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Level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order updates latency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tested and confirmed working on Netlify in existing codebase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payment integration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credentials available; move to Edge Function/Spring Boot controller to fix broken localhost dependency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scanning on old devices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Web-based QR scan requires modern browser; fallback helper ordering flow handles older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tablet 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Android tablet confirmed available; lightweight kitchen UI designed for low-spec hardware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migration from existing schema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health score 38/100 — full redesign required; migration scripts needed for existing order and customer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for Build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actively learning; AI-assisted development with human review mitigates skill gap</w:t>
            </w:r>
          </w:p>
        </w:tc>
      </w:tr>
    </w:tbl>
    <w:p>
      <w:pPr>
        <w:spacing w:before="160"/>
      </w:pPr>
    </w:p>
    <w:p>
      <w:pPr>
        <w:shd w:fill="D1FAE5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✅  TECHNICAL VERDICT: FEASIBLE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3. Economic Feasibility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Economic feasibility asks: Is the project financially justified? Will benefits outweigh costs?</w:t>
      </w:r>
    </w:p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3.1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Cost Item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Build 1 (₹)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Build 2 (₹)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(time-based estimate)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0*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0*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 Plan (monthly)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2,500/mo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Netlify Pro Plan (monthly)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1,500/mo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1,500/mo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Hosting — Backend (monthly)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cloud instance (monthly)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1,200/mo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transaction fee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 per txn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2% per txn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and SSL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800/yr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800/yr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tablet (one-time)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</w:tr>
    </w:tbl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* Development cost is ₹0 as this is being built by the developer as a portfolio and learning project.</w:t>
      </w:r>
    </w:p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3.2 Benefit Estimate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Based on the discovery meeting, Shiva Dhaba experiences quantifiable losses without this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Benefit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Estimated 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Reduction in order errors / refunds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~₹4,000–6,000/month saved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accuracy (no undercharging)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~₹2,000–3,000/month recovered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time savings (manual reconciliation)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~5 hours/week freed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retention from digital experience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Estimated 10–15% increase in repeat visits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Festival/birthday coupon-driven 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Incremental — difficult to quantify pre-launch</w:t>
            </w:r>
          </w:p>
        </w:tc>
      </w:tr>
    </w:tbl>
    <w:p>
      <w:pPr>
        <w:spacing w:before="160"/>
      </w:pPr>
    </w:p>
    <w:p>
      <w:pPr>
        <w:shd w:fill="D1FAE5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✅  ECONOMIC VERDICT: FEASIBLE — ROI within 3 months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4. Operational Feasibility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Operational feasibility asks: Will staff and customers actually use this system? Are there organisational barriers?</w:t>
      </w:r>
    </w:p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4.1 Stakeholder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9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Resistance Risk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Ramesh Gupta (Admin)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 initiated the project. Primary motivator is reducing losses and gaining visibility.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(Counter Staff)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system replaces manual calculator. Training session + parallel running period.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Staff (5)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large-font kitchen display. No typing required — status update via single button.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Staff (2–3)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helper screen with one button only. Minimal interface. No login complexity.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 (Dine-in)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ordering is optional. Paper menu + helper ordering preserved as fallback.</w:t>
            </w:r>
          </w:p>
        </w:tc>
      </w:tr>
    </w:tbl>
    <w:p>
      <w:pPr>
        <w:spacing w:before="160"/>
      </w:pPr>
    </w:p>
    <w:p>
      <w:pPr>
        <w:shd w:fill="D1FAE5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✅  OPERATIONAL VERDICT: FEASIBLE — with training plan and parallel running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5. Schedule Feasibility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Schedule feasibility asks: Can this be delivered within an acceptable timeframe?</w:t>
      </w:r>
    </w:p>
    <w:p>
      <w:pPr>
        <w:spacing w:before="16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064E3B"/>
          <w:sz w:val="26"/>
          <w:szCs w:val="26"/>
        </w:rPr>
        <w:t xml:space="preserve">5.1 Proposed Timeline — Build 1 (Supabase Refactor)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00"/>
        <w:gridCol w:w="47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Discovery, Feasibility, Personas, PRD, Charter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March 2026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design, API contracts, architecture diagram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1–3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migration, RLS, Edge Functions, frontend updates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4–10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tests, integration tests, UAT with Ramesh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11–13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deployment, staff training, parallel running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14–16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Monitoring, bug fixes, handover documentation</w:t>
            </w:r>
          </w:p>
        </w:tc>
        <w:tc>
          <w:tcPr>
            <w:tcW w:type="dxa" w:w="4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17–21</w:t>
            </w:r>
          </w:p>
        </w:tc>
      </w:tr>
    </w:tbl>
    <w:p>
      <w:pPr>
        <w:spacing w:before="160"/>
      </w:pP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2 (Spring Boot) follows after Build 1 is stable. It is primarily a learning and portfolio exercise and carries a separate timeline.</w:t>
      </w:r>
    </w:p>
    <w:p>
      <w:pPr>
        <w:spacing w:before="80"/>
      </w:pPr>
    </w:p>
    <w:p>
      <w:pPr>
        <w:shd w:fill="D1FAE5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✅  SCHEDULE VERDICT: FEASIBLE — 21-day Build 1 target is achievable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6. Legal and Ethical Feasibility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Legal feasibility asks: Does this project comply with relevant laws, regulations, and ethical standards?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Legal / Ethical Area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Status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PII storage (DPDP Act 2023)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Action 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Names, phones, emails stored. Must implement data minimisation and deletion policy per India's Digital Personal Data Protection Act 2023.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data security (PCI-DSS)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 handles card data; system never stores raw card numbers. PCI-DSS compliance delegated to Razorpay.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invoice compliance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18% GST (9% CGST + 9% SGST) calculated automatically. GSTIN display on invoice required — to be provided by client.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retention policy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Action Required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 and order data retention period must be defined. Recommended: 7 years for financial records per Income Tax Act.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data (salary, attendance)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Low Risk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use only. Not shared externally. Password-protected admin access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source licences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React, Supabase, Spring Boot — all permissive licences (MIT, Apache 2.0). No GPL conflicts.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✅ Good Practice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QR ordering interface to meet WCAG 2.1 AA minimum contrast and touch target standards.</w:t>
            </w:r>
          </w:p>
        </w:tc>
      </w:tr>
    </w:tbl>
    <w:p>
      <w:pPr>
        <w:spacing w:before="160"/>
      </w:pPr>
    </w:p>
    <w:p>
      <w:pPr>
        <w:shd w:fill="D1FAE5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✅  LEGAL VERDICT: FEASIBLE — Two action items to be addressed in Stage 2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65F46"/>
          <w:sz w:val="32"/>
          <w:szCs w:val="32"/>
        </w:rPr>
        <w:t xml:space="preserve">7. Overall Feasibility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48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Feasibility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Verdict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4E3B"/>
                <w:sz w:val="20"/>
                <w:szCs w:val="20"/>
              </w:rPr>
              <w:t xml:space="preserve">Key 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Feasible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migration from schema 38/100 — risk managed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Economic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Feasible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within 3 months; ongoing cost under ₹5,000/month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Feasible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Kitchen/helper UI must be maximally simplified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Feasible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1 in 21 days; Build 2 as follow-on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 / Ethical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 Feasible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DPDP Act compliance and data retention policy required</w:t>
            </w:r>
          </w:p>
        </w:tc>
      </w:tr>
    </w:tbl>
    <w:p>
      <w:pPr>
        <w:spacing w:before="240"/>
      </w:pPr>
    </w:p>
    <w:p>
      <w:pPr>
        <w:shd w:fill="D1FAE5" w:val="clear"/>
        <w:spacing w:before="160" w:after="160"/>
        <w:jc w:val="center"/>
      </w:pPr>
      <w:r>
        <w:rPr>
          <w:rFonts w:ascii="Arial" w:cs="Arial" w:eastAsia="Arial" w:hAnsi="Arial"/>
          <w:b/>
          <w:bCs/>
          <w:color w:val="065F46"/>
          <w:sz w:val="28"/>
          <w:szCs w:val="28"/>
        </w:rPr>
        <w:t xml:space="preserve">OVERALL VERDICT:  PROJECT IS FEASIBLE — APPROVED TO PROCEED TO STAGE 2</w:t>
      </w:r>
    </w:p>
    <w:p>
      <w:pPr>
        <w:spacing w:before="48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before="8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Confidential — Aakash Jangid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5F46" w:sz="8" w:space="1"/>
      </w:pBdr>
      <w:spacing w:after="120"/>
    </w:pPr>
    <w:r>
      <w:rPr>
        <w:rFonts w:ascii="Arial" w:cs="Arial" w:eastAsia="Arial" w:hAnsi="Arial"/>
        <w:b/>
        <w:bCs/>
        <w:color w:val="065F46"/>
        <w:sz w:val="20"/>
        <w:szCs w:val="20"/>
      </w:rPr>
      <w:t xml:space="preserve">TastyBytes — Shiva Dhaba</w:t>
    </w:r>
    <w:r>
      <w:rPr>
        <w:rFonts w:ascii="Arial" w:cs="Arial" w:eastAsia="Arial" w:hAnsi="Arial"/>
        <w:color w:val="6B7280"/>
        <w:sz w:val="20"/>
        <w:szCs w:val="20"/>
      </w:rPr>
      <w:t xml:space="preserve">    |    Stage 1 — Feasibility Study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65F4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64E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2026-03-13T18:42:06.665Z</dcterms:created>
  <dcterms:modified xsi:type="dcterms:W3CDTF">2026-03-13T18:42:06.666Z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