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C"/>
          <w:sz w:val="32"/>
          <w:szCs w:val="32"/>
        </w:rPr>
        <w:t xml:space="preserve">UI Specification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Autonomous AI Trust Fabric for Clinical Decision Intelligence — v1</w:t>
      </w:r>
    </w:p>
    <w:p>
      <w:pPr>
        <w:pStyle w:val="Heading1"/>
        <w:spacing w:after="160" w:before="320"/>
      </w:pPr>
      <w:r>
        <w:t xml:space="preserve">Note on Diagnostic Model Input</w:t>
      </w:r>
    </w:p>
    <w:p>
      <w:pPr>
        <w:spacing w:after="160"/>
      </w:pPr>
      <w:r>
        <w:rPr>
          <w:b/>
          <w:bCs/>
        </w:rPr>
        <w:t xml:space="preserve">This phase does not call a real pretrained diagnostic model. </w:t>
      </w:r>
      <w:r>
        <w:t xml:space="preserve">Instead, we use hand-authored mock prediction records, structured exactly as a real diagnostic model's output would be. This keeps the demo's focus on the Trust Fabric itself — lineage, compliance, explainability, and monitoring — rather than on model inference, which is out of scope for this system.</w:t>
      </w:r>
    </w:p>
    <w:p>
      <w:pPr>
        <w:spacing w:after="160"/>
      </w:pPr>
      <w:r>
        <w:t xml:space="preserve">Every prediction record still follows the same schema a real model output would use: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EF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"patient_id": "P047",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"model_name": "ChestXNet",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"model_version": "v2.1",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"prediction": "PNEUMONIA",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"confidence": 0.94,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"timestamp": "2026-07-31T10:15:00Z"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Because the Trust Fabric's agents only ever consume this JSON shape — never the model or the image — swapping mock data for a real model-serving endpoint later requires no change to the UI or the agent logic, only to how this record is produced.</w:t>
      </w:r>
    </w:p>
    <w:p>
      <w:pPr>
        <w:pStyle w:val="Heading1"/>
        <w:spacing w:after="160" w:before="320"/>
      </w:pPr>
      <w:r>
        <w:t xml:space="preserve">Pages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60"/>
        <w:gridCol w:w="3600"/>
      </w:tblGrid>
      <w:tr>
        <w:tc>
          <w:tcPr>
            <w:tcW w:type="dxa" w:w="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7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user(s)</w:t>
            </w:r>
          </w:p>
        </w:tc>
        <w:tc>
          <w:tcPr>
            <w:tcW w:type="dxa" w:w="3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Entry point — determines role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(hub)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Content/nav varies by role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Twin Detail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for clinicians; actionable for Compliance/Governance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Rulebook Settings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Compliance/Governance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Restricted — not visible to Clinician role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Monitoring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Compliance/Governance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Restricted — not visible to Clinician role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User → Page Access Matrix</w:t>
      </w:r>
    </w:p>
    <w:p>
      <w:pPr>
        <w:spacing w:after="160"/>
      </w:pPr>
      <w:r>
        <w:t xml:space="preserve">Two roles only for this system: Clinician, and a single combined Compliance/Governance role (covers compliance officer, hospital AI governance, and IT admin duties in one login).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48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Clinician</w:t>
            </w:r>
          </w:p>
        </w:tc>
        <w:tc>
          <w:tcPr>
            <w:tcW w:type="dxa" w:w="348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Compliance/Governance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(view only)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(full — view, filter, review)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Twin Detail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 + Approve/Override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Rulebook Settings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Monitoring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Page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 login button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in with Keycloak — redirects to Keycloak's hosted login page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resolution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role claim from JWT after auth: clinician or compliance_governance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token; redirects to Dashboard on success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inline message on failed/expired auth</w:t>
            </w:r>
          </w:p>
        </w:tc>
      </w:tr>
    </w:tbl>
    <w:p>
      <w:pPr>
        <w:pStyle w:val="Heading1"/>
        <w:spacing w:after="160" w:before="320"/>
      </w:pPr>
      <w:r>
        <w:t xml:space="preserve">Page 2 — Dashboard (Hub)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metric cards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predictions, flagged count, average confidence, drift alert count — live from twin store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Predictions table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Columns: Patient ID, Model + version, Prediction, Confidence, Status badge, Action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"Cleared" (green) vs "Flagged" (amber/red) — visually distinct at a glance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bar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by status (All / Cleared / Flagged); filter by model version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by Patient 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column header to sort — especially confidence and timestamp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page controls once list exceeds ~20 rows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 action button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"View" (cleared) or "Review" (flagged) → opens Twin 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Role-based nav menu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Rulebook Settings and Trust Monitoring links appear only for the compliance_governance role</w:t>
            </w:r>
          </w:p>
        </w:tc>
      </w:tr>
    </w:tbl>
    <w:p>
      <w:pPr>
        <w:pStyle w:val="Heading1"/>
        <w:spacing w:after="160" w:before="320"/>
      </w:pPr>
      <w:r>
        <w:t xml:space="preserve">Page 3 — Twin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 summary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Label, confidence, model name + version, timestamp shown at top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Lineage section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input data and model version produced this record, when captured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Explanation section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Plain-English rationale from the Explainability Agent, labeled "narrative_llm_generated" so it is never mistaken for a mathematical explanation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section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Pass/fail per rule (approved version? confidence above threshold?) with reason if flagged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context panel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Age, symptoms, history — the supporting data behind the explanation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action panel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/ Override buttons + notes field — compliance_governance role only, visible only when flagged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mode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Clinician role sees the same page with the action panel fully hidden, not just disabled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trail footer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Twin creation time, and reviewer name/time if already reviewed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 navigation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to Dashboard, preserving prior filter state</w:t>
            </w:r>
          </w:p>
        </w:tc>
      </w:tr>
    </w:tbl>
    <w:p>
      <w:pPr>
        <w:pStyle w:val="Heading1"/>
        <w:spacing w:after="160" w:before="320"/>
      </w:pPr>
      <w:r>
        <w:t xml:space="preserve">Page 4 — Rulebook Settings (Compliance/Governance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model versions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 list/tag input to add or remove version strings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input (0.0–1.0) with validation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High-risk conditions list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Editable list of conditions always requiring review regardless of confidence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Persists changes; shows confirmation toast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log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of past edits — who changed what, when (reinforces governance story)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guard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does not exist in navigation for the Clinician role</w:t>
            </w:r>
          </w:p>
        </w:tc>
      </w:tr>
    </w:tbl>
    <w:p>
      <w:pPr>
        <w:pStyle w:val="Heading1"/>
        <w:spacing w:after="160" w:before="320"/>
      </w:pPr>
      <w:r>
        <w:t xml:space="preserve">Page 5 — Trust Monitoring (Compliance/Governance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trend chart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confidence over time, filterable by model version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Flag-rate trend chart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Percentage of predictions flagged over time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alert banner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Highlighted callout when a drift threshold is crossed (e.g., "confidence dropped 15% this week for v2.1")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name/version dropdown, date range picker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trigger button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"Run trust check now" — lets the job be demoed on demand instead of waiting for the schedule</w:t>
            </w:r>
          </w:p>
        </w:tc>
      </w:tr>
    </w:tbl>
    <w:p>
      <w:pPr>
        <w:pStyle w:val="Heading1"/>
        <w:spacing w:after="160" w:before="320"/>
      </w:pPr>
      <w:r>
        <w:t xml:space="preserve">Build Priority If Time-Constrained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— table + filters + status badges (tells most of the story on its 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Twin Detail — explanation + compliance breakdown (this is where "trust" actually shows up)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— can be a simple mocked role-switcher for the demo instead of real Keycloak, if time is tight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Trust Monitoring — a single chart is enough, doesn't need to be polished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Rulebook Settings — safest to describe verbally or show as a static mockup; least visually interesting and least likely to be scrutinized in a demo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2026-07-31T10:29:18.744Z</dcterms:created>
  <dcterms:modified xsi:type="dcterms:W3CDTF">2026-07-31T10:29:18.759Z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