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tieokwhivh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color w:val="f9f9f7"/>
          <w:sz w:val="24"/>
          <w:szCs w:val="24"/>
          <w:shd w:fill="131313" w:val="clear"/>
        </w:rPr>
      </w:pPr>
      <w:r w:rsidDel="00000000" w:rsidR="00000000" w:rsidRPr="00000000">
        <w:rPr>
          <w:rFonts w:ascii="Roboto" w:cs="Roboto" w:eastAsia="Roboto" w:hAnsi="Roboto"/>
          <w:color w:val="f9f9f7"/>
          <w:sz w:val="24"/>
          <w:szCs w:val="24"/>
          <w:shd w:fill="131313" w:val="clear"/>
          <w:rtl w:val="0"/>
        </w:rPr>
        <w:t xml:space="preserve">use case: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f9f9f7"/>
          <w:sz w:val="24"/>
          <w:szCs w:val="24"/>
          <w:shd w:fill="131313" w:val="clear"/>
        </w:rPr>
      </w:pPr>
      <w:r w:rsidDel="00000000" w:rsidR="00000000" w:rsidRPr="00000000">
        <w:rPr>
          <w:rFonts w:ascii="Roboto" w:cs="Roboto" w:eastAsia="Roboto" w:hAnsi="Roboto"/>
          <w:color w:val="f9f9f7"/>
          <w:sz w:val="24"/>
          <w:szCs w:val="24"/>
          <w:shd w:fill="131313" w:val="clear"/>
          <w:rtl w:val="0"/>
        </w:rPr>
        <w:t xml:space="preserve">Autonomous AI Trust Fabric for Clinical Decision Intelligence: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9f9f7"/>
          <w:sz w:val="24"/>
          <w:szCs w:val="24"/>
          <w:shd w:fill="131313" w:val="clear"/>
          <w:rtl w:val="0"/>
        </w:rPr>
        <w:t xml:space="preserve">Develop a platform that not only tracks data lineage but creates a Digital Compliance Twin for every AI prediction generated by a diagnostic model.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60" w:before="32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32"/>
          <w:szCs w:val="32"/>
          <w:rtl w:val="0"/>
        </w:rPr>
        <w:t xml:space="preserve">1. Problem Statement</w:t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Hospitals already use diagnostic AI models (vendor-built, black-box) to support clinical decisions — e.g., a model that reviews a chest X-ray and predicts "Pneumonia, 94% confidence." Today, that prediction is just a number and a label. There is no structured, retrievable record of: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What exact patient data/scan produced this prediction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Which model version made the call, and whether it was approved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Why the prediction is clinically reasonable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Whether the model is behaving normally over time</w:t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a prediction is later questioned (by a doctor, an audit, or a regulator), the answer today is: dig through scattered logs and hope they still exist.</w:t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What we're building: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system that sits after the diagnostic model and automatically builds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Digital Compliance Twin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every prediction — a permanent record combining data lineage, a plain-English explanation, and a compliance check — so any prediction can be justified at any time.</w:t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 do not build, train, or modify the diagnostic model. It is treated as an external black box.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60" w:before="32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32"/>
          <w:szCs w:val="32"/>
          <w:rtl w:val="0"/>
        </w:rPr>
        <w:t xml:space="preserve">2. Users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Relationship to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Doctors / clinicians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Passive beneficiaries — see prediction + explanation in their existing workflow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Compliance, Governance &amp; Audit stakeholders(compliance officers, hospital AI governance/IT, regulators)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 users and indirect drivers — compliance officers and IT review flagged records, configure the rulebook, and monitor drift alerts; regulators don't touch the system directly but are the underlying reason the audit trail must exist</w:t>
            </w:r>
          </w:p>
        </w:tc>
      </w:tr>
    </w:tbl>
    <w:p w:rsidR="00000000" w:rsidDel="00000000" w:rsidP="00000000" w:rsidRDefault="00000000" w:rsidRPr="00000000" w14:paraId="00000015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60" w:before="32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32"/>
          <w:szCs w:val="32"/>
          <w:rtl w:val="0"/>
        </w:rPr>
        <w:t xml:space="preserve">3. Business Value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Reduces liability risk — every prediction has a defensible record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Speeds up audits — minutes instead of days of log archaeology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Regulatory readiness — ahead of tightening AI-in-healthcare rules (FDA SaMD, EU AI Act)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Consistent trust layer across multiple third-party diagnostic tools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Increases clinician trust/adoption via plain-English rationale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160" w:before="32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32"/>
          <w:szCs w:val="32"/>
          <w:rtl w:val="0"/>
        </w:rPr>
        <w:t xml:space="preserve">4. End-to-End Flow</w:t>
      </w:r>
    </w:p>
    <w:tbl>
      <w:tblPr>
        <w:tblStyle w:val="Table2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[1] Pretrained diagnostic model (external / black box)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produces: prediction + confidence + model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[2] Ingestion layer (FastAPI + Pydantic validation)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validates schema, rejects malformed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[3] LangGraph orchestrator - runs 4 agents in sequence, shared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+- 3a. Lineage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      records: which patient data + which model/version produced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+- 3b. Compliance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      checks: approved model version? confidence &gt;= threshold?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      sets a 'flagged' field in state if a rule fails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+- 3c. Explainability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      LLM (GPT-4o) generates a plain-English clinical rationale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      based on prediction + patient context (not a mathematical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      explanation, since the model is a black box)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\- 3d. Digital Twin Assembler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merges lineage + compliance result + explanation into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one final record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[4] Digital Twin Store (PostgreSQL + audit log)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every prediction, flagged or not, is stored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[5] Trust Monitoring Agent (scheduled job, runs periodically)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scans stored twins for drift: confidence trending down,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rising flag rate for a model version,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[6] Human Review Queue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only records flagged by Compliance or Trust Monitoring land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doctor / compliance officer confirms or overrides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[7] Clinical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prediction + explanation + compliance status shown together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160" w:before="32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32"/>
          <w:szCs w:val="32"/>
          <w:rtl w:val="0"/>
        </w:rPr>
        <w:t xml:space="preserve">5. Input Specification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color w:val="1f4d7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d78"/>
          <w:sz w:val="24"/>
          <w:szCs w:val="24"/>
          <w:rtl w:val="0"/>
        </w:rPr>
        <w:t xml:space="preserve">5a. Diagnostic model input (image, external to our system)</w:t>
      </w:r>
    </w:p>
    <w:p w:rsidR="00000000" w:rsidDel="00000000" w:rsidP="00000000" w:rsidRDefault="00000000" w:rsidRPr="00000000" w14:paraId="0000004B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chest X-ray image (e.g., from the public Kaggle "Chest X-Ray Images (Pneumonia)" dataset) fed into a pretrained Hugging Face model (vit-xray-pneumonia-classification or similar). This step is outside our system boundary — included here only for completeness.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color w:val="1f4d7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d78"/>
          <w:sz w:val="24"/>
          <w:szCs w:val="24"/>
          <w:rtl w:val="0"/>
        </w:rPr>
        <w:t xml:space="preserve">5b. Prediction record (primary input to OUR system)</w:t>
      </w:r>
    </w:p>
    <w:tbl>
      <w:tblPr>
        <w:tblStyle w:val="Table3"/>
        <w:tblW w:w="9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"patient_id": "P047",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"model_name": "vit-xray-pneumonia-classification",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"model_version": "v2.1",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"prediction": "PNEUMONIA",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"confidence": 0.94,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"timestamp": "2026-07-31T10:15:00Z"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color w:val="1f4d7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d78"/>
          <w:sz w:val="24"/>
          <w:szCs w:val="24"/>
          <w:rtl w:val="0"/>
        </w:rPr>
        <w:t xml:space="preserve">5c. Patient context (supporting input, per case)</w:t>
      </w:r>
    </w:p>
    <w:tbl>
      <w:tblPr>
        <w:tblStyle w:val="Table4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"patient_id": "P047",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"age": 67,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"symptoms": ["fever", "cough", "shortness of breath"],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"scan_type": "chest_xray",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"relevant_history": "smoker, prior respiratory issues"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100" w:before="200" w:line="240" w:lineRule="auto"/>
        <w:rPr>
          <w:rFonts w:ascii="Times New Roman" w:cs="Times New Roman" w:eastAsia="Times New Roman" w:hAnsi="Times New Roman"/>
          <w:color w:val="1f4d7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d78"/>
          <w:sz w:val="24"/>
          <w:szCs w:val="24"/>
          <w:rtl w:val="0"/>
        </w:rPr>
        <w:t xml:space="preserve">5d. Compliance rulebook (static reference input)</w:t>
      </w:r>
    </w:p>
    <w:tbl>
      <w:tblPr>
        <w:tblStyle w:val="Table5"/>
        <w:tblW w:w="8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"approved_model_versions": ["v2.0", "v2.1"],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"minimum_confidence_threshold": 0.75,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"high_risk_conditions_requiring_review": ["Pneumonia", "Tumor", "Cancer"]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160" w:before="32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32"/>
          <w:szCs w:val="32"/>
          <w:rtl w:val="0"/>
        </w:rPr>
        <w:t xml:space="preserve">6. Sample Output — Explainability Agent</w:t>
      </w:r>
    </w:p>
    <w:tbl>
      <w:tblPr>
        <w:tblStyle w:val="Table6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"patient_id": "P047",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"explanation": "The model's high-confidence pneumonia prediction (94%)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consistent with the patient's presenting symptoms - fever, cough,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shortness of breath. The patient's smoking history and prior respiratory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issues further support clinical plausibility. This explanation is based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on reported symptoms and history, not direct analysis of the scan, since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the underlying model is not interpretable at the pixel level.",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"explanation_type": "narrative_llm_generated",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"generated_at": "2026-07-31T10:16:03Z"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160" w:before="32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32"/>
          <w:szCs w:val="32"/>
          <w:rtl w:val="0"/>
        </w:rPr>
        <w:t xml:space="preserve">7. Sample Output — Final Digital Compliance Twin</w:t>
      </w:r>
    </w:p>
    <w:tbl>
      <w:tblPr>
        <w:tblStyle w:val="Table7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40"/>
        <w:tblGridChange w:id="0">
          <w:tblGrid>
            <w:gridCol w:w="95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"patient_id": "P047",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"prediction": { "label": "PNEUMONIA", "confidence": 0.94, "model_version": "v2.1"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"lineage": { "source": "vit-xray-pneumonia-classification",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"input_captured_at": "2026-07-31T10:15:00Z"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"compliance": { "model_version_approved": true, "confidence_ok": true, "flagged": false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"explanation": "...(as above)...",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"twin_created_at": "2026-07-31T10:16:05Z"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after="160" w:before="32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32"/>
          <w:szCs w:val="32"/>
          <w:rtl w:val="0"/>
        </w:rPr>
        <w:t xml:space="preserve">8. Tech Stack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900"/>
        <w:gridCol w:w="4660"/>
        <w:tblGridChange w:id="0">
          <w:tblGrid>
            <w:gridCol w:w="1800"/>
            <w:gridCol w:w="2900"/>
            <w:gridCol w:w="4660"/>
          </w:tblGrid>
        </w:tblGridChange>
      </w:tblGrid>
      <w:tr>
        <w:trPr>
          <w:cantSplit w:val="0"/>
          <w:tblHeader w:val="0"/>
        </w:trPr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 3.11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API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FastAPI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async, input validation via Pydantic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Orchestration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LangGraph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sequential 4-agent graph, no branching except the final flag check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LLM wrapper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LangChain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prompt templates, output parsing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LLM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GPT-4o (or Azure OpenAI)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Explainability + Compliance reasoning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Diagnostic model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Pretrained Hugging Face model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real inference, no training 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Storage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PostgreSQL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twin records + audit log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Scheduling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APScheduler (in-process)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Trust Monitoring job — Airflow not justified at this scale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Observability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LangSmith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agent-level tracing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React / Next.js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dashboard + review queue, reuses existing Keycloak/RBAC pattern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Containerization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Docker + docker-compose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optional but recommended for reproducibility</w:t>
            </w:r>
          </w:p>
        </w:tc>
      </w:tr>
    </w:tbl>
    <w:p w:rsidR="00000000" w:rsidDel="00000000" w:rsidP="00000000" w:rsidRDefault="00000000" w:rsidRPr="00000000" w14:paraId="000000A3">
      <w:pPr>
        <w:spacing w:after="200" w:before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160" w:before="32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32"/>
          <w:szCs w:val="32"/>
          <w:rtl w:val="0"/>
        </w:rPr>
        <w:t xml:space="preserve">9. Where DataOps Fits</w:t>
      </w:r>
    </w:p>
    <w:p w:rsidR="00000000" w:rsidDel="00000000" w:rsidP="00000000" w:rsidRDefault="00000000" w:rsidRPr="00000000" w14:paraId="000000A5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 a separate layer — embedded directly in the pipeline: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Input validation (Pydantic schema) = data quality gate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Lineage Agent = data lineage tracking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Trust Monitoring Agent = pipeline/model observability (maps to Freshness/Distribution/Drift pillars from prior observability work)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after="160" w:before="32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32"/>
          <w:szCs w:val="32"/>
          <w:rtl w:val="0"/>
        </w:rPr>
        <w:t xml:space="preserve">10. Explicit Scope for This Phase (Simulated vs Real)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 this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Diagnostic model prediction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Real (pretrained Hugging Face model, real X-ray input)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Patient context data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Simulated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Compliance rulebook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Static, hand-authored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Explainability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Real (GPT-4o call)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Message queue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implemented — direct call/background task instead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Scheduler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In-process (APScheduler), not Airflow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Cloud hosting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Local only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FHIR / real EHR integration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implemented</w:t>
            </w:r>
          </w:p>
        </w:tc>
      </w:tr>
    </w:tbl>
    <w:p w:rsidR="00000000" w:rsidDel="00000000" w:rsidP="00000000" w:rsidRDefault="00000000" w:rsidRPr="00000000" w14:paraId="000000BC">
      <w:pPr>
        <w:spacing w:after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after="160" w:before="320" w:line="240" w:lineRule="auto"/>
        <w:rPr>
          <w:rFonts w:ascii="Times New Roman" w:cs="Times New Roman" w:eastAsia="Times New Roman" w:hAnsi="Times New Roman"/>
          <w:color w:val="2e74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32"/>
          <w:szCs w:val="32"/>
          <w:rtl w:val="0"/>
        </w:rPr>
        <w:t xml:space="preserve">11. Future Enhancements (Phase 2+)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Real model-serving integration (pretrained model calls)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Multi-model support (per-model rulebooks and drift baselines)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RBAC via Keycloak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Tamper-evident/append-only audit storage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Real-time alerting (Slack/Teams) instead of dashboard-only flags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 version registry</w:t>
      </w:r>
    </w:p>
    <w:p w:rsidR="00000000" w:rsidDel="00000000" w:rsidP="00000000" w:rsidRDefault="00000000" w:rsidRPr="00000000" w14:paraId="000000C4">
      <w:pPr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c2rza56asx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RBAC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xzavgyn0m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RBAC Table — based on the 5 screens: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695"/>
        <w:gridCol w:w="2880"/>
        <w:gridCol w:w="2145"/>
        <w:tblGridChange w:id="0">
          <w:tblGrid>
            <w:gridCol w:w="2295"/>
            <w:gridCol w:w="1695"/>
            <w:gridCol w:w="2880"/>
            <w:gridCol w:w="2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Compliance/Governance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Same form for both; role resolved server-side from credentials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View, filter, search (no review actions)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 — view, filter,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Sidebar nav differs per role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Twin Detail —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Read-only, action panel absent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Read-only unless flagged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Same page, panel conditionally rendered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Twin Detail — Approve/Override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Only when status = flagged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Override requires notes field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Rulebook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in nav, route blocked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 edit + change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Route guard, not just hidden link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in nav, route blocked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View + manual 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Route guard, not just hidden link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 (all screens)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Logged as viewer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Logged as viewer + reviewer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Every GET on Twin Detail writes a view-log entry</w:t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roles only, exactly as the UI spec defines — no further split needed for this POC.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urpaiildl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implement it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Backend — the source of truth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login, verify credentials → look up user → issue a JWT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claim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clinician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compliance_governance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protected API endpoint checks that claim server-side before executing — not just "does a valid token exist," but "does this role permit this action."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/twins/:id/review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rejects with 403 if role 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compliance_governance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actual enforcement layer. The frontend is UX only — never trust it alone.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Frontend — route guards, not just hidden links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Wrap protected routes in a guard component:</w:t>
        <w:br w:type="textWrapping"/>
        <w:t xml:space="preserve"> &lt;RequireRole role="compliance_governance"&gt;  &lt;RulebookSettings /&gt;&lt;/RequireRole&gt;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role doesn't match, render a 403 page — don't just omit the nav link and let the route still resolve if someone types the URL.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 the JWT once on login, store role in app state/context, and read from that everywhere (nav rendering, conditional panels, route guards) — one source, not scattered checks.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Frontend — conditional rendering within a shared page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Twin Detail is one component for both roles; the Approve/Override panel renders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(role === 'compliance_governance' &amp;&amp; twin.status === 'flagged')</w:t>
      </w:r>
      <w:r w:rsidDel="00000000" w:rsidR="00000000" w:rsidRPr="00000000">
        <w:rPr>
          <w:rtl w:val="0"/>
        </w:rPr>
        <w:t xml:space="preserve">. Don't build two separate pages — keeps the read-only layout identical for both, which matches the spec.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Audit logging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 on the backend, not the frontend (so it can't be bypassed): a middleware or decorator on the Twin Detail GET route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{user, twin_id, action: 'viewed', timestamp}</w:t>
      </w:r>
      <w:r w:rsidDel="00000000" w:rsidR="00000000" w:rsidRPr="00000000">
        <w:rPr>
          <w:rtl w:val="0"/>
        </w:rPr>
        <w:t xml:space="preserve">; the review POST route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{user, twin_id, action: 'approved'|'overridden', notes, timestamp}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Token handling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the JWT in an httpOnly cookie,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— avoids exposing it to XSS, and it's a detail worth having right for a compliance product specifically.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whole implementation surface — one role claim, one guard pattern reused on the frontend, and real enforcement on the backend for every write action.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Without any jwt token just for POC now. using just routing: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a236ol4f1py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RBAC without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rv5r07faaor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GenAI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critical question — and the honest answer is: </w:t>
      </w:r>
      <w:r w:rsidDel="00000000" w:rsidR="00000000" w:rsidRPr="00000000">
        <w:rPr>
          <w:b w:val="1"/>
          <w:bCs w:val="1"/>
          <w:rtl w:val="0"/>
        </w:rPr>
        <w:t xml:space="preserve">only one of the six components truly needs GenAI.</w:t>
      </w:r>
      <w:r w:rsidDel="00000000" w:rsidR="00000000" w:rsidRPr="00000000">
        <w:rPr>
          <w:rtl w:val="0"/>
        </w:rPr>
        <w:t xml:space="preserve"> The rest can (and arguably should) be plain deterministic code. Let's go through it agent by agent.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2.8472239692085"/>
        <w:gridCol w:w="1316.82121204498"/>
        <w:gridCol w:w="6045.843375009435"/>
        <w:tblGridChange w:id="0">
          <w:tblGrid>
            <w:gridCol w:w="1662.8472239692085"/>
            <w:gridCol w:w="1316.82121204498"/>
            <w:gridCol w:w="6045.8433750094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GenAI?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/ why 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Pure data capture — record patient ID, model version, timestamp. Just structured logging.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(mostly)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checks like "is this model version approved?" or "confidence ≥ threshold?" are deterministic if-else logic. GenAI here would actually be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worse</w:t>
            </w:r>
            <w:r w:rsidDel="00000000" w:rsidR="00000000" w:rsidRPr="00000000">
              <w:rPr>
                <w:rtl w:val="0"/>
              </w:rPr>
              <w:t xml:space="preserve"> — non-deterministic outputs are a liability in a compliance-critical, auditable pathway.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— this is the real use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The model is a black box with no SHAP/feature-importance access. An LLM is genuinely the only practical way to produce a human-readable clinical rationale from the prediction + patient data.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Twin 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Just merges JSON records into one document.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Drift detection (declining confidence trend, anomalous distribution) is a solved problem with statistics — moving averages, z-scores, control charts. That should be deterministic. GenAI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  <w:t xml:space="preserve"> add value by summarizing the trend in plain language for a report ("confidence has dropped 12% over 9 days, correlating with weekend shifts") — but that's a nice-to-have, not core detection.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Human, not AI.</w:t>
            </w:r>
          </w:p>
        </w:tc>
      </w:tr>
    </w:tbl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 is it worth it?</w:t>
      </w:r>
      <w:r w:rsidDel="00000000" w:rsidR="00000000" w:rsidRPr="00000000">
        <w:rPr>
          <w:rtl w:val="0"/>
        </w:rPr>
        <w:t xml:space="preserve"> Yes — but the framing "AI Trust Fabric" is a bit misleading if you read it as "AI everywhere." What's actually valuable is: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genuinely hard problem GenAI solves well</w:t>
      </w:r>
      <w:r w:rsidDel="00000000" w:rsidR="00000000" w:rsidRPr="00000000">
        <w:rPr>
          <w:rtl w:val="0"/>
        </w:rPr>
        <w:t xml:space="preserve">: turning an opaque prediction into a readable clinical narrative when you have zero model internals to work with.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 value, not intelligence value</w:t>
      </w:r>
      <w:r w:rsidDel="00000000" w:rsidR="00000000" w:rsidRPr="00000000">
        <w:rPr>
          <w:rtl w:val="0"/>
        </w:rPr>
        <w:t xml:space="preserve">: LangGraph/multi-agent framing here is mostly about </w:t>
      </w:r>
      <w:r w:rsidDel="00000000" w:rsidR="00000000" w:rsidRPr="00000000">
        <w:rPr>
          <w:i w:val="1"/>
          <w:iCs w:val="1"/>
          <w:rtl w:val="0"/>
        </w:rPr>
        <w:t xml:space="preserve">pipeline structure</w:t>
      </w:r>
      <w:r w:rsidDel="00000000" w:rsidR="00000000" w:rsidRPr="00000000">
        <w:rPr>
          <w:rtl w:val="0"/>
        </w:rPr>
        <w:t xml:space="preserve"> (sequential steps, conditional branching to human review, scheduled batch jobs) — not about needing "AI" at every node. You could build 5 of 6 nodes with a Python script.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Worth flagging as a real risk for your senior/team</w:t>
      </w:r>
      <w:r w:rsidDel="00000000" w:rsidR="00000000" w:rsidRPr="00000000">
        <w:rPr>
          <w:rtl w:val="0"/>
        </w:rPr>
        <w:t xml:space="preserve"> The Explainability Agent's LLM-generated rationale is a </w:t>
      </w:r>
      <w:r w:rsidDel="00000000" w:rsidR="00000000" w:rsidRPr="00000000">
        <w:rPr>
          <w:i w:val="1"/>
          <w:iCs w:val="1"/>
          <w:rtl w:val="0"/>
        </w:rPr>
        <w:t xml:space="preserve">plausible-sounding story</w:t>
      </w:r>
      <w:r w:rsidDel="00000000" w:rsidR="00000000" w:rsidRPr="00000000">
        <w:rPr>
          <w:rtl w:val="0"/>
        </w:rPr>
        <w:t xml:space="preserve">, not a true derivation from the model's actual decision process. It's built from the same patient data + prediction the LLM sees — so it could sound convincing while being wrong (hallucinated correlation, not causation). In a clinical/audit context, that's worth explicitly labeling as "AI-generated plausible rationale, not verified model interpretability" — otherwise it risks being mistaken for real explainability (like SHAP), which could be a compliance/liability problem itself.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line</w:t>
      </w:r>
      <w:r w:rsidDel="00000000" w:rsidR="00000000" w:rsidRPr="00000000">
        <w:rPr>
          <w:rtl w:val="0"/>
        </w:rPr>
        <w:t xml:space="preserve">: GenAI is necessary for 1 node, optional-nice-to-have for another, and unnecessary (or actively risky) for the remaining 4. The project's real value is the </w:t>
      </w:r>
      <w:r w:rsidDel="00000000" w:rsidR="00000000" w:rsidRPr="00000000">
        <w:rPr>
          <w:i w:val="1"/>
          <w:iCs w:val="1"/>
          <w:rtl w:val="0"/>
        </w:rPr>
        <w:t xml:space="preserve">architecture and audit discipline</w:t>
      </w:r>
      <w:r w:rsidDel="00000000" w:rsidR="00000000" w:rsidRPr="00000000">
        <w:rPr>
          <w:rtl w:val="0"/>
        </w:rPr>
        <w:t xml:space="preserve">, with GenAI as a targeted tool for the one truly black-box problem — not the headline feature.</w:t>
      </w:r>
    </w:p>
    <w:p w:rsidR="00000000" w:rsidDel="00000000" w:rsidP="00000000" w:rsidRDefault="00000000" w:rsidRPr="00000000" w14:paraId="0000012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h94gzcq38g7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before="12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731200" cy="358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a5a5a"/>
          <w:sz w:val="18"/>
          <w:szCs w:val="18"/>
          <w:rtl w:val="0"/>
        </w:rPr>
        <w:t xml:space="preserve">Figure 1. High-level architecture — Trust Fabric pipeline sits downstream of the black-box diagnostic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before="12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before="12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731200" cy="406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a5a5a"/>
          <w:sz w:val="18"/>
          <w:szCs w:val="18"/>
          <w:rtl w:val="0"/>
        </w:rPr>
        <w:t xml:space="preserve">Figure 2. Sequence and decision logic for a single prediction, plus the async Trust Monitoring path.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