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color w:val="222222"/>
          <w:sz w:val="44"/>
          <w:szCs w:val="44"/>
        </w:rPr>
        <w:t xml:space="preserve">Patient Risk Intelligence</w:t>
      </w:r>
    </w:p>
    <w:p>
      <w:pPr>
        <w:spacing w:after="80" w:before="120"/>
        <w:jc w:val="center"/>
      </w:pPr>
      <w:r>
        <w:rPr>
          <w:color w:val="185FA5"/>
          <w:sz w:val="30"/>
          <w:szCs w:val="30"/>
        </w:rPr>
        <w:t xml:space="preserve">Architecture &amp; Workflow Presentation Script</w:t>
      </w:r>
    </w:p>
    <w:p>
      <w:pPr>
        <w:spacing w:after="2000" w:before="40"/>
        <w:jc w:val="center"/>
      </w:pPr>
      <w:r>
        <w:rPr>
          <w:i/>
          <w:iCs/>
          <w:color w:val="5F5E5A"/>
          <w:sz w:val="22"/>
          <w:szCs w:val="22"/>
        </w:rPr>
        <w:t xml:space="preserve">Target runtime: 5–6 minutes  ·  Covers: architecture, workflow, tech stack, reference documents  ·  Includes Q&amp;A prep</w:t>
      </w:r>
    </w:p>
    <w:p>
      <w:r>
        <w:br w:type="page"/>
      </w:r>
    </w:p>
    <w:p>
      <w:pPr>
        <w:pStyle w:val="Heading1"/>
        <w:spacing w:after="160" w:before="360"/>
      </w:pPr>
      <w:r>
        <w:t xml:space="preserve">How to use this script</w:t>
      </w:r>
    </w:p>
    <w:p>
      <w:pPr>
        <w:spacing w:after="160"/>
      </w:pPr>
      <w:r>
        <w:rPr>
          <w:b w:val="false"/>
          <w:bCs w:val="false"/>
          <w:i w:val="false"/>
          <w:iCs w:val="false"/>
        </w:rPr>
        <w:t xml:space="preserve">This is a spoken presentation script — read it as a narrative, not a slide-by-slide script. It's built directly from README.md, the PRD documents, and this session's verified system behavior, so every claim in it is grounded in what actually exists in the repo.</w:t>
      </w:r>
    </w:p>
    <w:p>
      <w:pPr>
        <w:spacing w:after="160"/>
      </w:pPr>
      <w:r>
        <w:rPr>
          <w:b w:val="false"/>
          <w:bCs w:val="false"/>
          <w:i w:val="false"/>
          <w:iCs w:val="false"/>
        </w:rPr>
        <w:t xml:space="preserve">Each section has a target timing. Practice it once out loud before presenting — the total should land at 5–6 minutes at a natural speaking pace.</w:t>
      </w:r>
    </w:p>
    <w:p>
      <w:r>
        <w:br w:type="page"/>
      </w:r>
    </w:p>
    <w:p>
      <w:pPr>
        <w:pStyle w:val="Heading1"/>
        <w:spacing w:after="160" w:before="360"/>
      </w:pPr>
      <w:r>
        <w:t xml:space="preserve">Presentation script (~5.5 minutes)</w:t>
      </w:r>
    </w:p>
    <w:p>
      <w:pPr>
        <w:pStyle w:val="Heading2"/>
        <w:spacing w:after="120" w:before="280"/>
      </w:pPr>
      <w:r>
        <w:t xml:space="preserve">Opening</w:t>
      </w:r>
    </w:p>
    <w:p>
      <w:pPr>
        <w:spacing w:after="60"/>
      </w:pPr>
      <w:r>
        <w:rPr>
          <w:b/>
          <w:bCs/>
          <w:color w:val="185FA5"/>
          <w:sz w:val="20"/>
          <w:szCs w:val="20"/>
        </w:rPr>
        <w:t xml:space="preserve">0:00 – 0:30</w:t>
      </w:r>
    </w:p>
    <w:p>
      <w:pPr>
        <w:pBdr>
          <w:left w:val="single" w:color="185FA5" w:sz="12" w:space="8"/>
        </w:pBdr>
        <w:spacing w:after="200"/>
        <w:ind w:left="431"/>
      </w:pPr>
      <w:r>
        <w:rPr>
          <w:i/>
          <w:iCs/>
          <w:color w:val="333333"/>
        </w:rPr>
        <w:t xml:space="preserve">"What I'm going to walk you through is the Patient Risk Intelligence platform — an agentic layer built on the Model Context Protocol that gives a clinician one live, explainable, multi-domain risk picture of a patient, instead of them having to check five different systems separately. Everything runs on free, self-hosted, open-source components, and all the patient data is fully synthetic — generated by Synthea — so there's zero real PHI anywhere in this build."</w:t>
      </w:r>
    </w:p>
    <w:p>
      <w:pPr>
        <w:pStyle w:val="Heading2"/>
        <w:spacing w:after="120" w:before="280"/>
      </w:pPr>
      <w:r>
        <w:t xml:space="preserve">Architecture</w:t>
      </w:r>
    </w:p>
    <w:p>
      <w:pPr>
        <w:spacing w:after="60"/>
      </w:pPr>
      <w:r>
        <w:rPr>
          <w:b/>
          <w:bCs/>
          <w:color w:val="185FA5"/>
          <w:sz w:val="20"/>
          <w:szCs w:val="20"/>
        </w:rPr>
        <w:t xml:space="preserve">0:30 – 2:10</w:t>
      </w:r>
    </w:p>
    <w:p>
      <w:pPr>
        <w:pBdr>
          <w:left w:val="single" w:color="185FA5" w:sz="12" w:space="8"/>
        </w:pBdr>
        <w:spacing w:after="200"/>
        <w:ind w:left="431"/>
      </w:pPr>
      <w:r>
        <w:rPr>
          <w:i/>
          <w:iCs/>
          <w:color w:val="333333"/>
        </w:rPr>
        <w:t xml:space="preserve">"The architecture splits into two halves. The first is build-time — this only runs once per new clinical domain we bring onto the platform. An onboarding agent looks at a data source, drafts a blueprint describing its tools and access rules, a human approves that blueprint, and from it we generate the actual server code and register it with our control plane."</w:t>
      </w:r>
    </w:p>
    <w:p>
      <w:pPr>
        <w:pBdr>
          <w:left w:val="single" w:color="185FA5" w:sz="12" w:space="8"/>
        </w:pBdr>
        <w:spacing w:after="200"/>
        <w:ind w:left="431"/>
      </w:pPr>
      <w:r>
        <w:rPr>
          <w:i/>
          <w:iCs/>
          <w:color w:val="333333"/>
        </w:rPr>
        <w:t xml:space="preserve">"The second half is runtime — this is what happens on every single clinical question. The clinician's question goes from our Next.js frontend to a runtime agent, which discovers what servers exist from the registry, then routes through Kong — our API gateway — to the actual MCP servers. Right now we have five: vitals, labs and diagnoses, medications, clinical notes, and radiology. Each one sits on its own data store — TimescaleDB, Postgres, or Qdrant depending on the shape of the data — and the agent fuses whatever comes back into one cited answer."</w:t>
      </w:r>
    </w:p>
    <w:p>
      <w:pPr>
        <w:pBdr>
          <w:left w:val="single" w:color="185FA5" w:sz="12" w:space="8"/>
        </w:pBdr>
        <w:spacing w:after="200"/>
        <w:ind w:left="431"/>
      </w:pPr>
      <w:r>
        <w:rPr>
          <w:i/>
          <w:iCs/>
          <w:color w:val="333333"/>
        </w:rPr>
        <w:t xml:space="preserve">"Security is layered twice, deliberately. Kong checks the token's valid and rate-limits at the gateway. Then each individual MCP server re-verifies that same JWT and checks the caller's actual scope and role before it'll touch any patient data — so even if something got past the gateway, the data layer itself won't hand anything over to a role that shouldn't see it."</w:t>
      </w:r>
    </w:p>
    <w:p>
      <w:pPr>
        <w:pStyle w:val="Heading2"/>
        <w:spacing w:after="120" w:before="280"/>
      </w:pPr>
      <w:r>
        <w:t xml:space="preserve">Workflow</w:t>
      </w:r>
    </w:p>
    <w:p>
      <w:pPr>
        <w:spacing w:after="60"/>
      </w:pPr>
      <w:r>
        <w:rPr>
          <w:b/>
          <w:bCs/>
          <w:color w:val="185FA5"/>
          <w:sz w:val="20"/>
          <w:szCs w:val="20"/>
        </w:rPr>
        <w:t xml:space="preserve">2:10 – 3:40</w:t>
      </w:r>
    </w:p>
    <w:p>
      <w:pPr>
        <w:pBdr>
          <w:left w:val="single" w:color="185FA5" w:sz="12" w:space="8"/>
        </w:pBdr>
        <w:spacing w:after="200"/>
        <w:ind w:left="431"/>
      </w:pPr>
      <w:r>
        <w:rPr>
          <w:i/>
          <w:iCs/>
          <w:color w:val="333333"/>
        </w:rPr>
        <w:t xml:space="preserve">"Concretely, here's what a day looks like. Onboarding a new domain is a one-time setup: draft, approve, generate, register — after that, the runtime agent auto-discovers it, no redeploy needed. That's the 'factory' half of the name."</w:t>
      </w:r>
    </w:p>
    <w:p>
      <w:pPr>
        <w:pBdr>
          <w:left w:val="single" w:color="185FA5" w:sz="12" w:space="8"/>
        </w:pBdr>
        <w:spacing w:after="200"/>
        <w:ind w:left="431"/>
      </w:pPr>
      <w:r>
        <w:rPr>
          <w:i/>
          <w:iCs/>
          <w:color w:val="333333"/>
        </w:rPr>
        <w:t xml:space="preserve">"Day to day, a clinician logs in through Keycloak — real OIDC, not a mock. They pick a patient, they pick a reason for access — that's a fixed enum, logged for compliance — and they ask a plain-English question. The agent only connects to the servers that role can actually reach, and only opens a real connection to a given server the moment it decides it actually needs that server's data — so a narrow question about one thing doesn't quietly touch all five. Whatever comes back gets fused into one answer, and every single fact in that answer is cited back to the exact server it came from — the model isn't allowed to state anything without a citation."</w:t>
      </w:r>
    </w:p>
    <w:p>
      <w:pPr>
        <w:pBdr>
          <w:left w:val="single" w:color="185FA5" w:sz="12" w:space="8"/>
        </w:pBdr>
        <w:spacing w:after="200"/>
        <w:ind w:left="431"/>
      </w:pPr>
      <w:r>
        <w:rPr>
          <w:i/>
          <w:iCs/>
          <w:color w:val="333333"/>
        </w:rPr>
        <w:t xml:space="preserve">"Behind that, a control-plane dashboard shows live server health, and an anomaly panel watches the audit trail itself for things like repeated access denials or one identity probing across servers it isn't authorized for."</w:t>
      </w:r>
    </w:p>
    <w:p>
      <w:pPr>
        <w:pStyle w:val="Heading2"/>
        <w:spacing w:after="120" w:before="280"/>
      </w:pPr>
      <w:r>
        <w:t xml:space="preserve">Tech stack</w:t>
      </w:r>
    </w:p>
    <w:p>
      <w:pPr>
        <w:spacing w:after="60"/>
      </w:pPr>
      <w:r>
        <w:rPr>
          <w:b/>
          <w:bCs/>
          <w:color w:val="185FA5"/>
          <w:sz w:val="20"/>
          <w:szCs w:val="20"/>
        </w:rPr>
        <w:t xml:space="preserve">3:40 – 4:40</w:t>
      </w:r>
    </w:p>
    <w:p>
      <w:pPr>
        <w:pBdr>
          <w:left w:val="single" w:color="185FA5" w:sz="12" w:space="8"/>
        </w:pBdr>
        <w:spacing w:after="200"/>
        <w:ind w:left="431"/>
      </w:pPr>
      <w:r>
        <w:rPr>
          <w:i/>
          <w:iCs/>
          <w:color w:val="333333"/>
        </w:rPr>
        <w:t xml:space="preserve">"Stack-wise: Python 3.12 and FastAPI for the servers, built on the official MCP SDK. Data lives in TimescaleDB for time-series vitals, PostgreSQL for structured labs and meds and diagnoses, and Qdrant for semantic search over clinical notes. Kong is the gateway, Keycloak is identity. The agent layer is LangGraph orchestrating an LLM that calls these MCP tools. The frontend is Next.js with CopilotKit for the chat experience. And for observability we run two complementary systems — OpenTelemetry into Jaeger, which traces the actual network path a question takes across every server, and LangSmith, which traces the LLM's own reasoning and tool-selection. Everything's containerized with Docker Compose."</w:t>
      </w:r>
    </w:p>
    <w:p>
      <w:pPr>
        <w:pStyle w:val="Heading2"/>
        <w:spacing w:after="120" w:before="280"/>
      </w:pPr>
      <w:r>
        <w:t xml:space="preserve">Documents and standards</w:t>
      </w:r>
    </w:p>
    <w:p>
      <w:pPr>
        <w:spacing w:after="60"/>
      </w:pPr>
      <w:r>
        <w:rPr>
          <w:b/>
          <w:bCs/>
          <w:color w:val="185FA5"/>
          <w:sz w:val="20"/>
          <w:szCs w:val="20"/>
        </w:rPr>
        <w:t xml:space="preserve">4:40 – 5:30</w:t>
      </w:r>
    </w:p>
    <w:p>
      <w:pPr>
        <w:pBdr>
          <w:left w:val="single" w:color="185FA5" w:sz="12" w:space="8"/>
        </w:pBdr>
        <w:spacing w:after="200"/>
        <w:ind w:left="431"/>
      </w:pPr>
      <w:r>
        <w:rPr>
          <w:i/>
          <w:iCs/>
          <w:color w:val="333333"/>
        </w:rPr>
        <w:t xml:space="preserve">"On the healthcare-data side, we're conforming to real standards even though the data's synthetic: FHIR R4 resource shapes, LOINC and SNOMED coding, ICD-10 diagnoses, and NEWS2 for deterioration scoring — so the outputs look and behave like a real clinical system would. The requirements themselves come from four PRD documents in the repo — the overall Patient Risk Intelligence PRD, the full codebase PRD, and two role-specific PRDs for the data/backend engineer and the platform/agent engineer sides of the build."</w:t>
      </w:r>
    </w:p>
    <w:p>
      <w:pPr>
        <w:pStyle w:val="Heading2"/>
        <w:spacing w:after="120" w:before="280"/>
      </w:pPr>
      <w:r>
        <w:t xml:space="preserve">Close</w:t>
      </w:r>
    </w:p>
    <w:p>
      <w:pPr>
        <w:spacing w:after="60"/>
      </w:pPr>
      <w:r>
        <w:rPr>
          <w:b/>
          <w:bCs/>
          <w:color w:val="185FA5"/>
          <w:sz w:val="20"/>
          <w:szCs w:val="20"/>
        </w:rPr>
        <w:t xml:space="preserve">5:30 – 5:50</w:t>
      </w:r>
    </w:p>
    <w:p>
      <w:pPr>
        <w:pBdr>
          <w:left w:val="single" w:color="185FA5" w:sz="12" w:space="8"/>
        </w:pBdr>
        <w:spacing w:after="200"/>
        <w:ind w:left="431"/>
      </w:pPr>
      <w:r>
        <w:rPr>
          <w:i/>
          <w:iCs/>
          <w:color w:val="333333"/>
        </w:rPr>
        <w:t xml:space="preserve">"That's the platform end to end — a governed, audited, traceable conversation over five clinical domains, with a build pipeline that can bring on a sixth without anyone touching the running system. Happy to take questions."</w:t>
      </w:r>
    </w:p>
    <w:p>
      <w:r>
        <w:br w:type="page"/>
      </w:r>
    </w:p>
    <w:p>
      <w:pPr>
        <w:pStyle w:val="Heading1"/>
        <w:spacing w:after="160" w:before="360"/>
      </w:pPr>
      <w:r>
        <w:t xml:space="preserve">Anticipated questions</w:t>
      </w:r>
    </w:p>
    <w:p>
      <w:pPr>
        <w:spacing w:after="160"/>
      </w:pPr>
      <w:r>
        <w:rPr>
          <w:b w:val="false"/>
          <w:bCs w:val="false"/>
          <w:i w:val="false"/>
          <w:iCs w:val="false"/>
        </w:rPr>
        <w:t xml:space="preserve">Grounded in this session's verified system behavior — use these as talking points, not scripted answers.</w:t>
      </w:r>
    </w:p>
    <w:p>
      <w:pPr>
        <w:pStyle w:val="Heading2"/>
        <w:spacing w:after="120" w:before="280"/>
      </w:pPr>
      <w:r>
        <w:t xml:space="preserve">Business questions</w:t>
      </w:r>
    </w:p>
    <w:tbl>
      <w:tblPr>
        <w:tblW w:type="dxa" w:w="9620"/>
        <w:tblBorders>
          <w:top w:val="single" w:color="auto" w:sz="4"/>
          <w:left w:val="single" w:color="auto" w:sz="4"/>
          <w:bottom w:val="single" w:color="auto" w:sz="4"/>
          <w:right w:val="single" w:color="auto" w:sz="4"/>
          <w:insideH w:val="single" w:color="auto" w:sz="4"/>
          <w:insideV w:val="single" w:color="auto" w:sz="4"/>
        </w:tblBorders>
      </w:tblPr>
      <w:tblGrid>
        <w:gridCol w:w="3800"/>
        <w:gridCol w:w="5820"/>
      </w:tblGrid>
      <w:tr>
        <w:tc>
          <w:tcPr>
            <w:tcW w:type="dxa" w:w="3800"/>
            <w:shd w:fill="E6F1FB" w:val="clear"/>
          </w:tcPr>
          <w:p>
            <w:r>
              <w:rPr>
                <w:b/>
                <w:bCs/>
                <w:sz w:val="20"/>
                <w:szCs w:val="20"/>
              </w:rPr>
              <w:t xml:space="preserve">Question</w:t>
            </w:r>
          </w:p>
        </w:tc>
        <w:tc>
          <w:tcPr>
            <w:tcW w:type="dxa" w:w="5820"/>
            <w:shd w:fill="E6F1FB" w:val="clear"/>
          </w:tcPr>
          <w:p>
            <w:r>
              <w:rPr>
                <w:b/>
                <w:bCs/>
                <w:sz w:val="20"/>
                <w:szCs w:val="20"/>
              </w:rPr>
              <w:t xml:space="preserve">Short answer</w:t>
            </w:r>
          </w:p>
        </w:tc>
      </w:tr>
      <w:tr>
        <w:tc>
          <w:tcPr>
            <w:tcW w:type="dxa" w:w="3800"/>
          </w:tcPr>
          <w:p>
            <w:r>
              <w:rPr>
                <w:b w:val="false"/>
                <w:bCs w:val="false"/>
                <w:sz w:val="20"/>
                <w:szCs w:val="20"/>
              </w:rPr>
              <w:t xml:space="preserve">Why does this matter / what problem does it solve?</w:t>
            </w:r>
          </w:p>
        </w:tc>
        <w:tc>
          <w:tcPr>
            <w:tcW w:type="dxa" w:w="5820"/>
          </w:tcPr>
          <w:p>
            <w:r>
              <w:rPr>
                <w:b w:val="false"/>
                <w:bCs w:val="false"/>
                <w:sz w:val="20"/>
                <w:szCs w:val="20"/>
              </w:rPr>
              <w:t xml:space="preserve">Clinicians today check 4–5 separate systems per patient; this fuses them into one governed conversation, with citations so nothing is trusted blindly.</w:t>
            </w:r>
          </w:p>
        </w:tc>
      </w:tr>
      <w:tr>
        <w:tc>
          <w:tcPr>
            <w:tcW w:type="dxa" w:w="3800"/>
          </w:tcPr>
          <w:p>
            <w:r>
              <w:rPr>
                <w:b w:val="false"/>
                <w:bCs w:val="false"/>
                <w:sz w:val="20"/>
                <w:szCs w:val="20"/>
              </w:rPr>
              <w:t xml:space="preserve">Is real patient data used anywhere?</w:t>
            </w:r>
          </w:p>
        </w:tc>
        <w:tc>
          <w:tcPr>
            <w:tcW w:type="dxa" w:w="5820"/>
          </w:tcPr>
          <w:p>
            <w:r>
              <w:rPr>
                <w:b w:val="false"/>
                <w:bCs w:val="false"/>
                <w:sz w:val="20"/>
                <w:szCs w:val="20"/>
              </w:rPr>
              <w:t xml:space="preserve">No — 100% synthetic FHIR data from Synthea. Zero real PHI in this build.</w:t>
            </w:r>
          </w:p>
        </w:tc>
      </w:tr>
      <w:tr>
        <w:tc>
          <w:tcPr>
            <w:tcW w:type="dxa" w:w="3800"/>
          </w:tcPr>
          <w:p>
            <w:r>
              <w:rPr>
                <w:b w:val="false"/>
                <w:bCs w:val="false"/>
                <w:sz w:val="20"/>
                <w:szCs w:val="20"/>
              </w:rPr>
              <w:t xml:space="preserve">What's the cost model?</w:t>
            </w:r>
          </w:p>
        </w:tc>
        <w:tc>
          <w:tcPr>
            <w:tcW w:type="dxa" w:w="5820"/>
          </w:tcPr>
          <w:p>
            <w:r>
              <w:rPr>
                <w:b w:val="false"/>
                <w:bCs w:val="false"/>
                <w:sz w:val="20"/>
                <w:szCs w:val="20"/>
              </w:rPr>
              <w:t xml:space="preserve">Entirely open-source, self-hosted components (Keycloak, Kong, Postgres, Qdrant, Jaeger) — no vendor lock-in, no per-seat licensing on the platform layer.</w:t>
            </w:r>
          </w:p>
        </w:tc>
      </w:tr>
      <w:tr>
        <w:tc>
          <w:tcPr>
            <w:tcW w:type="dxa" w:w="3800"/>
          </w:tcPr>
          <w:p>
            <w:r>
              <w:rPr>
                <w:b w:val="false"/>
                <w:bCs w:val="false"/>
                <w:sz w:val="20"/>
                <w:szCs w:val="20"/>
              </w:rPr>
              <w:t xml:space="preserve">How does this scale to more departments/data sources?</w:t>
            </w:r>
          </w:p>
        </w:tc>
        <w:tc>
          <w:tcPr>
            <w:tcW w:type="dxa" w:w="5820"/>
          </w:tcPr>
          <w:p>
            <w:r>
              <w:rPr>
                <w:b w:val="false"/>
                <w:bCs w:val="false"/>
                <w:sz w:val="20"/>
                <w:szCs w:val="20"/>
              </w:rPr>
              <w:t xml:space="preserve">That's the “factory” half — onboarding a new domain is blueprint → approve → generate → register, and the agent picks it up automatically. No redeploy of the running system.</w:t>
            </w:r>
          </w:p>
        </w:tc>
      </w:tr>
      <w:tr>
        <w:tc>
          <w:tcPr>
            <w:tcW w:type="dxa" w:w="3800"/>
          </w:tcPr>
          <w:p>
            <w:r>
              <w:rPr>
                <w:b w:val="false"/>
                <w:bCs w:val="false"/>
                <w:sz w:val="20"/>
                <w:szCs w:val="20"/>
              </w:rPr>
              <w:t xml:space="preserve">How do you know clinicians will trust the answers?</w:t>
            </w:r>
          </w:p>
        </w:tc>
        <w:tc>
          <w:tcPr>
            <w:tcW w:type="dxa" w:w="5820"/>
          </w:tcPr>
          <w:p>
            <w:r>
              <w:rPr>
                <w:b w:val="false"/>
                <w:bCs w:val="false"/>
                <w:sz w:val="20"/>
                <w:szCs w:val="20"/>
              </w:rPr>
              <w:t xml:space="preserve">Every fact is cited to its source server; the model is instructed to say “not accessible” or “no data found” rather than guess, and never conflates an empty result with a denied one.</w:t>
            </w:r>
          </w:p>
        </w:tc>
      </w:tr>
      <w:tr>
        <w:tc>
          <w:tcPr>
            <w:tcW w:type="dxa" w:w="3800"/>
          </w:tcPr>
          <w:p>
            <w:r>
              <w:rPr>
                <w:b w:val="false"/>
                <w:bCs w:val="false"/>
                <w:sz w:val="20"/>
                <w:szCs w:val="20"/>
              </w:rPr>
              <w:t xml:space="preserve">What's the compliance story?</w:t>
            </w:r>
          </w:p>
        </w:tc>
        <w:tc>
          <w:tcPr>
            <w:tcW w:type="dxa" w:w="5820"/>
          </w:tcPr>
          <w:p>
            <w:r>
              <w:rPr>
                <w:b w:val="false"/>
                <w:bCs w:val="false"/>
                <w:sz w:val="20"/>
                <w:szCs w:val="20"/>
              </w:rPr>
              <w:t xml:space="preserve">RBAC enforced at two layers, every PHI access is audited with who/what/when/purpose, and the audit trail itself is watched for anomalies (repeat denials, off-hours access, cross-role probing).</w:t>
            </w:r>
          </w:p>
        </w:tc>
      </w:tr>
    </w:tbl>
    <w:p>
      <w:pPr>
        <w:spacing w:after="200"/>
      </w:pPr>
    </w:p>
    <w:p>
      <w:pPr>
        <w:pStyle w:val="Heading2"/>
        <w:spacing w:after="120" w:before="280"/>
      </w:pPr>
      <w:r>
        <w:t xml:space="preserve">Technical questions</w:t>
      </w:r>
    </w:p>
    <w:tbl>
      <w:tblPr>
        <w:tblW w:type="dxa" w:w="9620"/>
        <w:tblBorders>
          <w:top w:val="single" w:color="auto" w:sz="4"/>
          <w:left w:val="single" w:color="auto" w:sz="4"/>
          <w:bottom w:val="single" w:color="auto" w:sz="4"/>
          <w:right w:val="single" w:color="auto" w:sz="4"/>
          <w:insideH w:val="single" w:color="auto" w:sz="4"/>
          <w:insideV w:val="single" w:color="auto" w:sz="4"/>
        </w:tblBorders>
      </w:tblPr>
      <w:tblGrid>
        <w:gridCol w:w="3800"/>
        <w:gridCol w:w="5820"/>
      </w:tblGrid>
      <w:tr>
        <w:tc>
          <w:tcPr>
            <w:tcW w:type="dxa" w:w="3800"/>
            <w:shd w:fill="E6F1FB" w:val="clear"/>
          </w:tcPr>
          <w:p>
            <w:r>
              <w:rPr>
                <w:b/>
                <w:bCs/>
                <w:sz w:val="20"/>
                <w:szCs w:val="20"/>
              </w:rPr>
              <w:t xml:space="preserve">Question</w:t>
            </w:r>
          </w:p>
        </w:tc>
        <w:tc>
          <w:tcPr>
            <w:tcW w:type="dxa" w:w="5820"/>
            <w:shd w:fill="E6F1FB" w:val="clear"/>
          </w:tcPr>
          <w:p>
            <w:r>
              <w:rPr>
                <w:b/>
                <w:bCs/>
                <w:sz w:val="20"/>
                <w:szCs w:val="20"/>
              </w:rPr>
              <w:t xml:space="preserve">Short answer</w:t>
            </w:r>
          </w:p>
        </w:tc>
      </w:tr>
      <w:tr>
        <w:tc>
          <w:tcPr>
            <w:tcW w:type="dxa" w:w="3800"/>
          </w:tcPr>
          <w:p>
            <w:r>
              <w:rPr>
                <w:b w:val="false"/>
                <w:bCs w:val="false"/>
                <w:sz w:val="20"/>
                <w:szCs w:val="20"/>
              </w:rPr>
              <w:t xml:space="preserve">Is RBAC just a UI restriction?</w:t>
            </w:r>
          </w:p>
        </w:tc>
        <w:tc>
          <w:tcPr>
            <w:tcW w:type="dxa" w:w="5820"/>
          </w:tcPr>
          <w:p>
            <w:r>
              <w:rPr>
                <w:b w:val="false"/>
                <w:bCs w:val="false"/>
                <w:sz w:val="20"/>
                <w:szCs w:val="20"/>
              </w:rPr>
              <w:t xml:space="preserve">No — enforced at the gateway (Kong) and independently re-verified at each MCP server against the JWT's scope and group claims. A UI bypass wouldn't get you data.</w:t>
            </w:r>
          </w:p>
        </w:tc>
      </w:tr>
      <w:tr>
        <w:tc>
          <w:tcPr>
            <w:tcW w:type="dxa" w:w="3800"/>
          </w:tcPr>
          <w:p>
            <w:r>
              <w:rPr>
                <w:b w:val="false"/>
                <w:bCs w:val="false"/>
                <w:sz w:val="20"/>
                <w:szCs w:val="20"/>
              </w:rPr>
              <w:t xml:space="preserve">How do you stop the LLM from hallucinating clinical facts?</w:t>
            </w:r>
          </w:p>
        </w:tc>
        <w:tc>
          <w:tcPr>
            <w:tcW w:type="dxa" w:w="5820"/>
          </w:tcPr>
          <w:p>
            <w:r>
              <w:rPr>
                <w:b w:val="false"/>
                <w:bCs w:val="false"/>
                <w:sz w:val="20"/>
                <w:szCs w:val="20"/>
              </w:rPr>
              <w:t xml:space="preserve">The synthesis prompt forces a citation on every fact, distinguishes “empty result” from “access denied” explicitly, and never fabricates when a tool call fails.</w:t>
            </w:r>
          </w:p>
        </w:tc>
      </w:tr>
      <w:tr>
        <w:tc>
          <w:tcPr>
            <w:tcW w:type="dxa" w:w="3800"/>
          </w:tcPr>
          <w:p>
            <w:r>
              <w:rPr>
                <w:b w:val="false"/>
                <w:bCs w:val="false"/>
                <w:sz w:val="20"/>
                <w:szCs w:val="20"/>
              </w:rPr>
              <w:t xml:space="preserve">What happens if one MCP server is down?</w:t>
            </w:r>
          </w:p>
        </w:tc>
        <w:tc>
          <w:tcPr>
            <w:tcW w:type="dxa" w:w="5820"/>
          </w:tcPr>
          <w:p>
            <w:r>
              <w:rPr>
                <w:b w:val="false"/>
                <w:bCs w:val="false"/>
                <w:sz w:val="20"/>
                <w:szCs w:val="20"/>
              </w:rPr>
              <w:t xml:space="preserve">The agent connects per-server independently — one failure doesn't block the others; the answer is synthesized from whatever data is actually available.</w:t>
            </w:r>
          </w:p>
        </w:tc>
      </w:tr>
      <w:tr>
        <w:tc>
          <w:tcPr>
            <w:tcW w:type="dxa" w:w="3800"/>
          </w:tcPr>
          <w:p>
            <w:r>
              <w:rPr>
                <w:b w:val="false"/>
                <w:bCs w:val="false"/>
                <w:sz w:val="20"/>
                <w:szCs w:val="20"/>
              </w:rPr>
              <w:t xml:space="preserve">Why MCP instead of just calling REST APIs from the LLM?</w:t>
            </w:r>
          </w:p>
        </w:tc>
        <w:tc>
          <w:tcPr>
            <w:tcW w:type="dxa" w:w="5820"/>
          </w:tcPr>
          <w:p>
            <w:r>
              <w:rPr>
                <w:b w:val="false"/>
                <w:bCs w:val="false"/>
                <w:sz w:val="20"/>
                <w:szCs w:val="20"/>
              </w:rPr>
              <w:t xml:space="preserve">MCP gives a uniform tool-discovery and invocation contract across independently owned domains, so onboarding a new domain doesn't require custom integration code in the agent.</w:t>
            </w:r>
          </w:p>
        </w:tc>
      </w:tr>
      <w:tr>
        <w:tc>
          <w:tcPr>
            <w:tcW w:type="dxa" w:w="3800"/>
          </w:tcPr>
          <w:p>
            <w:r>
              <w:rPr>
                <w:b w:val="false"/>
                <w:bCs w:val="false"/>
                <w:sz w:val="20"/>
                <w:szCs w:val="20"/>
              </w:rPr>
              <w:t xml:space="preserve">Doesn't calling multiple servers per question get slow?</w:t>
            </w:r>
          </w:p>
        </w:tc>
        <w:tc>
          <w:tcPr>
            <w:tcW w:type="dxa" w:w="5820"/>
          </w:tcPr>
          <w:p>
            <w:r>
              <w:rPr>
                <w:b w:val="false"/>
                <w:bCs w:val="false"/>
                <w:sz w:val="20"/>
                <w:szCs w:val="20"/>
              </w:rPr>
              <w:t xml:space="preserve">The agent only opens a connection to a server the moment a tool in it is actually invoked — a narrow question touches one server, not all five, so there's no wasted latency.</w:t>
            </w:r>
          </w:p>
        </w:tc>
      </w:tr>
      <w:tr>
        <w:tc>
          <w:tcPr>
            <w:tcW w:type="dxa" w:w="3800"/>
          </w:tcPr>
          <w:p>
            <w:r>
              <w:rPr>
                <w:b w:val="false"/>
                <w:bCs w:val="false"/>
                <w:sz w:val="20"/>
                <w:szCs w:val="20"/>
              </w:rPr>
              <w:t xml:space="preserve">How do you trace what actually happened for a given question?</w:t>
            </w:r>
          </w:p>
        </w:tc>
        <w:tc>
          <w:tcPr>
            <w:tcW w:type="dxa" w:w="5820"/>
          </w:tcPr>
          <w:p>
            <w:r>
              <w:rPr>
                <w:b w:val="false"/>
                <w:bCs w:val="false"/>
                <w:sz w:val="20"/>
                <w:szCs w:val="20"/>
              </w:rPr>
              <w:t xml:space="preserve">Two complementary systems: Jaeger traces the network/infrastructure path (agent → gateway → each server), LangSmith traces the LLM's reasoning and tool choices — one shared trace ID ties a question together end to end.</w:t>
            </w:r>
          </w:p>
        </w:tc>
      </w:tr>
      <w:tr>
        <w:tc>
          <w:tcPr>
            <w:tcW w:type="dxa" w:w="3800"/>
          </w:tcPr>
          <w:p>
            <w:r>
              <w:rPr>
                <w:b w:val="false"/>
                <w:bCs w:val="false"/>
                <w:sz w:val="20"/>
                <w:szCs w:val="20"/>
              </w:rPr>
              <w:t xml:space="preserve">How is a new domain onboarded without redeploying?</w:t>
            </w:r>
          </w:p>
        </w:tc>
        <w:tc>
          <w:tcPr>
            <w:tcW w:type="dxa" w:w="5820"/>
          </w:tcPr>
          <w:p>
            <w:r>
              <w:rPr>
                <w:b w:val="false"/>
                <w:bCs w:val="false"/>
                <w:sz w:val="20"/>
                <w:szCs w:val="20"/>
              </w:rPr>
              <w:t xml:space="preserve">The onboarding agent generates the server code and registers its schema/RBAC with the control-plane registry; the runtime agent discovers it live via that registry, not a hardcoded list.</w:t>
            </w:r>
          </w:p>
        </w:tc>
      </w:tr>
      <w:tr>
        <w:tc>
          <w:tcPr>
            <w:tcW w:type="dxa" w:w="3800"/>
          </w:tcPr>
          <w:p>
            <w:r>
              <w:rPr>
                <w:b w:val="false"/>
                <w:bCs w:val="false"/>
                <w:sz w:val="20"/>
                <w:szCs w:val="20"/>
              </w:rPr>
              <w:t xml:space="preserve">What stops someone from bypassing the gateway and hitting a server directly?</w:t>
            </w:r>
          </w:p>
        </w:tc>
        <w:tc>
          <w:tcPr>
            <w:tcW w:type="dxa" w:w="5820"/>
          </w:tcPr>
          <w:p>
            <w:r>
              <w:rPr>
                <w:b w:val="false"/>
                <w:bCs w:val="false"/>
                <w:sz w:val="20"/>
                <w:szCs w:val="20"/>
              </w:rPr>
              <w:t xml:space="preserve">Each server independently re-verifies the JWT and re-checks RBAC — Kong is a layer of defense, not the only one.</w:t>
            </w:r>
          </w:p>
        </w:tc>
      </w:tr>
    </w:tbl>
    <w:p>
      <w:r>
        <w:br w:type="page"/>
      </w:r>
    </w:p>
    <w:p>
      <w:pPr>
        <w:pStyle w:val="Heading1"/>
        <w:spacing w:after="160" w:before="360"/>
      </w:pPr>
      <w:r>
        <w:t xml:space="preserve">Reference: source material</w:t>
      </w:r>
    </w:p>
    <w:p>
      <w:pPr>
        <w:spacing w:after="160"/>
      </w:pPr>
      <w:r>
        <w:rPr>
          <w:b/>
          <w:bCs/>
          <w:i w:val="false"/>
          <w:iCs w:val="false"/>
        </w:rPr>
        <w:t xml:space="preserve">This script draws directly from:</w:t>
      </w:r>
    </w:p>
    <w:p>
      <w:pPr>
        <w:spacing w:after="80"/>
      </w:pPr>
      <w:r>
        <w:t xml:space="preserve">• README.md — architecture diagram, RBAC matrix, MCP server table, tech stack list</w:t>
      </w:r>
    </w:p>
    <w:p>
      <w:pPr>
        <w:spacing w:after="80"/>
      </w:pPr>
      <w:r>
        <w:t xml:space="preserve">• PRD Docs/ — Patient Risk Intelligence PRD, Complete Codebase PRD, Person A (Data/Backend) PRD, Person B (Platform/Agent) PRD</w:t>
      </w:r>
    </w:p>
    <w:p>
      <w:pPr>
        <w:spacing w:after="80"/>
      </w:pPr>
      <w:r>
        <w:t xml:space="preserve">• This session's live verification — lazy MCP connections, dual Jaeger + LangSmith tracing, RBAC enforcement, citation-forcing synthesis prompt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2026-07-08T13:15:59.750Z</dcterms:created>
  <dcterms:modified xsi:type="dcterms:W3CDTF">2026-07-08T13:15:59.752Z</dcterms:modified>
</cp:coreProperties>
</file>

<file path=docProps/custom.xml><?xml version="1.0" encoding="utf-8"?>
<Properties xmlns="http://schemas.openxmlformats.org/officeDocument/2006/custom-properties" xmlns:vt="http://schemas.openxmlformats.org/officeDocument/2006/docPropsVTypes"/>
</file>