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CF170" w14:textId="77777777" w:rsidR="00FD680A" w:rsidRPr="00C17227" w:rsidRDefault="00000000" w:rsidP="00C17227">
      <w:pPr>
        <w:pStyle w:val="Title"/>
        <w:jc w:val="center"/>
        <w:rPr>
          <w:sz w:val="40"/>
          <w:szCs w:val="40"/>
        </w:rPr>
      </w:pPr>
      <w:r w:rsidRPr="00C17227">
        <w:rPr>
          <w:sz w:val="40"/>
          <w:szCs w:val="40"/>
        </w:rPr>
        <w:t>Implementing a Dynamic Delta-Hedging Strategy</w:t>
      </w:r>
    </w:p>
    <w:p w14:paraId="0E6ACAD3" w14:textId="59C2ACE6" w:rsidR="00C17227" w:rsidRPr="00BB7EBC" w:rsidRDefault="00BB7EBC">
      <w:pPr>
        <w:pStyle w:val="Heading1Custom"/>
        <w:rPr>
          <w:b w:val="0"/>
          <w:bCs/>
          <w:sz w:val="24"/>
          <w:szCs w:val="20"/>
        </w:rPr>
      </w:pPr>
      <w:r>
        <w:rPr>
          <w:sz w:val="24"/>
          <w:szCs w:val="20"/>
        </w:rPr>
        <w:t xml:space="preserve">Name: </w:t>
      </w:r>
      <w:r>
        <w:rPr>
          <w:b w:val="0"/>
          <w:bCs/>
          <w:sz w:val="24"/>
          <w:szCs w:val="20"/>
        </w:rPr>
        <w:t>Aakash Ramesh (</w:t>
      </w:r>
      <w:r w:rsidRPr="003962CD">
        <w:rPr>
          <w:sz w:val="24"/>
          <w:szCs w:val="20"/>
        </w:rPr>
        <w:t>GT ID</w:t>
      </w:r>
      <w:r>
        <w:rPr>
          <w:b w:val="0"/>
          <w:bCs/>
          <w:sz w:val="24"/>
          <w:szCs w:val="20"/>
        </w:rPr>
        <w:t>: 904140542)</w:t>
      </w:r>
    </w:p>
    <w:p w14:paraId="5FC0CE4E" w14:textId="410880CF" w:rsidR="00C17227" w:rsidRPr="00693A1F" w:rsidRDefault="00000000" w:rsidP="00693A1F">
      <w:pPr>
        <w:pStyle w:val="Heading1"/>
      </w:pPr>
      <w:r w:rsidRPr="00C17227">
        <w:t>(a) Problem Addressed and Models Used</w:t>
      </w:r>
    </w:p>
    <w:p w14:paraId="7A490832" w14:textId="77777777" w:rsidR="00C17227" w:rsidRPr="00C17227" w:rsidRDefault="00000000">
      <w:pPr>
        <w:rPr>
          <w:sz w:val="20"/>
          <w:szCs w:val="20"/>
        </w:rPr>
      </w:pPr>
      <w:r w:rsidRPr="00C17227">
        <w:rPr>
          <w:b/>
          <w:bCs/>
        </w:rPr>
        <w:t>Problem</w:t>
      </w:r>
      <w:r w:rsidRPr="00C17227">
        <w:rPr>
          <w:sz w:val="20"/>
          <w:szCs w:val="20"/>
        </w:rPr>
        <w:t xml:space="preserve">: </w:t>
      </w:r>
    </w:p>
    <w:p w14:paraId="647E0C85" w14:textId="7EA47000" w:rsidR="00792AC2" w:rsidRDefault="00000000">
      <w:pPr>
        <w:rPr>
          <w:sz w:val="20"/>
          <w:szCs w:val="20"/>
        </w:rPr>
      </w:pPr>
      <w:r w:rsidRPr="00C17227">
        <w:rPr>
          <w:sz w:val="20"/>
          <w:szCs w:val="20"/>
        </w:rPr>
        <w:t xml:space="preserve">Replicate a short European call via daily delta hedging from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oMath>
      <w:r w:rsidRPr="00C17227">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≤T</m:t>
        </m:r>
      </m:oMath>
      <w:r w:rsidR="00792AC2">
        <w:rPr>
          <w:sz w:val="20"/>
          <w:szCs w:val="20"/>
        </w:rPr>
        <w:t xml:space="preserve"> evaluated on:</w:t>
      </w:r>
    </w:p>
    <w:p w14:paraId="435DE467" w14:textId="4E1CF2EE" w:rsidR="00792AC2" w:rsidRPr="00792AC2" w:rsidRDefault="00000000" w:rsidP="00792AC2">
      <w:pPr>
        <w:pStyle w:val="ListParagraph"/>
        <w:numPr>
          <w:ilvl w:val="0"/>
          <w:numId w:val="11"/>
        </w:numPr>
        <w:rPr>
          <w:sz w:val="20"/>
          <w:szCs w:val="20"/>
        </w:rPr>
      </w:pPr>
      <w:r w:rsidRPr="00792AC2">
        <w:rPr>
          <w:sz w:val="20"/>
          <w:szCs w:val="20"/>
        </w:rPr>
        <w:t xml:space="preserve">simulated GBM paths </w:t>
      </w:r>
    </w:p>
    <w:p w14:paraId="3B70A860" w14:textId="4D651EB4" w:rsidR="00FD680A" w:rsidRPr="00792AC2" w:rsidRDefault="00000000" w:rsidP="00792AC2">
      <w:pPr>
        <w:pStyle w:val="ListParagraph"/>
        <w:numPr>
          <w:ilvl w:val="0"/>
          <w:numId w:val="11"/>
        </w:numPr>
        <w:rPr>
          <w:sz w:val="20"/>
          <w:szCs w:val="20"/>
        </w:rPr>
      </w:pPr>
      <w:r w:rsidRPr="00792AC2">
        <w:rPr>
          <w:sz w:val="20"/>
          <w:szCs w:val="20"/>
        </w:rPr>
        <w:t>real GOOG option data to assess Black–Scholes validity.</w:t>
      </w:r>
    </w:p>
    <w:p w14:paraId="6BF82BB0" w14:textId="77777777" w:rsidR="00FD680A" w:rsidRPr="00C17227" w:rsidRDefault="00000000">
      <w:pPr>
        <w:pStyle w:val="Heading2Custom"/>
        <w:rPr>
          <w:sz w:val="22"/>
          <w:szCs w:val="20"/>
        </w:rPr>
      </w:pPr>
      <w:r w:rsidRPr="00C17227">
        <w:rPr>
          <w:sz w:val="22"/>
          <w:szCs w:val="20"/>
        </w:rPr>
        <w:t>Models</w:t>
      </w:r>
    </w:p>
    <w:p w14:paraId="52530BF3" w14:textId="52C970D7" w:rsidR="00792AC2" w:rsidRPr="00792AC2" w:rsidRDefault="00792AC2" w:rsidP="00792AC2">
      <w:pPr>
        <w:rPr>
          <w:sz w:val="20"/>
          <w:szCs w:val="20"/>
        </w:rPr>
      </w:pPr>
      <w:r w:rsidRPr="00792AC2">
        <w:rPr>
          <w:sz w:val="20"/>
          <w:szCs w:val="20"/>
        </w:rPr>
        <w:t xml:space="preserve">We model the underlying under the assignment’s discrete-time GBM Euler step, where one business-day increment </w:t>
      </w:r>
      <m:oMath>
        <m:r>
          <m:rPr>
            <m:sty m:val="p"/>
          </m:rPr>
          <w:rPr>
            <w:rFonts w:ascii="Cambria Math" w:hAnsi="Cambria Math"/>
            <w:sz w:val="20"/>
            <w:szCs w:val="20"/>
          </w:rPr>
          <m:t>Δ</m:t>
        </m:r>
        <m:r>
          <w:rPr>
            <w:rFonts w:ascii="Cambria Math" w:hAnsi="Cambria Math"/>
            <w:sz w:val="20"/>
            <w:szCs w:val="20"/>
          </w:rPr>
          <m:t>t</m:t>
        </m:r>
      </m:oMath>
      <w:r>
        <w:rPr>
          <w:iCs/>
          <w:sz w:val="20"/>
          <w:szCs w:val="20"/>
        </w:rPr>
        <w:t xml:space="preserve"> </w:t>
      </w:r>
      <w:r w:rsidRPr="00792AC2">
        <w:rPr>
          <w:sz w:val="20"/>
          <w:szCs w:val="20"/>
        </w:rPr>
        <w:t>evolves as</w:t>
      </w:r>
    </w:p>
    <w:p w14:paraId="56FE4ECE" w14:textId="07AECD79" w:rsidR="00792AC2" w:rsidRPr="00792AC2" w:rsidRDefault="00000000" w:rsidP="00792AC2">
      <w:pPr>
        <w:rPr>
          <w:sz w:val="20"/>
          <w:szCs w:val="20"/>
        </w:rPr>
      </w:pPr>
      <m:oMathPara>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r>
                <m:rPr>
                  <m:sty m:val="p"/>
                </m:rPr>
                <w:rPr>
                  <w:rFonts w:ascii="Cambria Math" w:hAnsi="Cambria Math"/>
                  <w:sz w:val="20"/>
                  <w:szCs w:val="20"/>
                </w:rPr>
                <m:t>+Δ</m:t>
              </m:r>
              <m: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m:rPr>
              <m:sty m:val="p"/>
            </m:rPr>
            <w:rPr>
              <w:rFonts w:ascii="Cambria Math" w:hAnsi="Cambria Math"/>
              <w:sz w:val="20"/>
              <w:szCs w:val="20"/>
            </w:rPr>
            <m:t>+</m:t>
          </m:r>
          <m:r>
            <w:rPr>
              <w:rFonts w:ascii="Cambria Math" w:hAnsi="Cambria Math"/>
              <w:sz w:val="20"/>
              <w:szCs w:val="20"/>
            </w:rPr>
            <m:t>μ</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m:rPr>
              <m:nor/>
            </m:rPr>
            <w:rPr>
              <w:sz w:val="20"/>
              <w:szCs w:val="20"/>
            </w:rPr>
            <m:t> </m:t>
          </m:r>
          <m:r>
            <m:rPr>
              <m:sty m:val="p"/>
            </m:rPr>
            <w:rPr>
              <w:rFonts w:ascii="Cambria Math" w:hAnsi="Cambria Math"/>
              <w:sz w:val="20"/>
              <w:szCs w:val="20"/>
            </w:rPr>
            <m:t>Δ</m:t>
          </m:r>
          <m:r>
            <w:rPr>
              <w:rFonts w:ascii="Cambria Math" w:hAnsi="Cambria Math"/>
              <w:sz w:val="20"/>
              <w:szCs w:val="20"/>
            </w:rPr>
            <m:t>t</m:t>
          </m:r>
          <m:r>
            <m:rPr>
              <m:sty m:val="p"/>
            </m:rPr>
            <w:rPr>
              <w:rFonts w:ascii="Cambria Math" w:hAnsi="Cambria Math"/>
              <w:sz w:val="20"/>
              <w:szCs w:val="20"/>
            </w:rPr>
            <m:t>+</m:t>
          </m:r>
          <m:r>
            <w:rPr>
              <w:rFonts w:ascii="Cambria Math" w:hAnsi="Cambria Math"/>
              <w:sz w:val="20"/>
              <w:szCs w:val="20"/>
            </w:rPr>
            <m:t>σ</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ad>
            <m:radPr>
              <m:degHide m:val="1"/>
              <m:ctrlPr>
                <w:rPr>
                  <w:rFonts w:ascii="Cambria Math" w:hAnsi="Cambria Math"/>
                  <w:sz w:val="20"/>
                  <w:szCs w:val="20"/>
                </w:rPr>
              </m:ctrlPr>
            </m:radPr>
            <m:deg/>
            <m:e>
              <m:r>
                <m:rPr>
                  <m:sty m:val="p"/>
                </m:rPr>
                <w:rPr>
                  <w:rFonts w:ascii="Cambria Math" w:hAnsi="Cambria Math"/>
                  <w:sz w:val="20"/>
                  <w:szCs w:val="20"/>
                </w:rPr>
                <m:t>Δ</m:t>
              </m:r>
              <m:r>
                <w:rPr>
                  <w:rFonts w:ascii="Cambria Math" w:hAnsi="Cambria Math"/>
                  <w:sz w:val="20"/>
                  <w:szCs w:val="20"/>
                </w:rPr>
                <m:t>t</m:t>
              </m:r>
            </m:e>
          </m:rad>
          <m:r>
            <m:rPr>
              <m:nor/>
            </m:rPr>
            <w:rPr>
              <w:sz w:val="20"/>
              <w:szCs w:val="20"/>
            </w:rPr>
            <m:t> </m:t>
          </m:r>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t</m:t>
              </m:r>
            </m:sub>
          </m:sSub>
          <m:r>
            <m:rPr>
              <m:scr m:val="script"/>
              <m:sty m:val="p"/>
            </m:rPr>
            <w:rPr>
              <w:rFonts w:ascii="Cambria Math" w:hAnsi="Cambria Math"/>
              <w:sz w:val="20"/>
              <w:szCs w:val="20"/>
            </w:rPr>
            <m:t>∼N</m:t>
          </m:r>
          <m:r>
            <m:rPr>
              <m:sty m:val="p"/>
            </m:rPr>
            <w:rPr>
              <w:rFonts w:ascii="Cambria Math" w:hAnsi="Cambria Math"/>
              <w:sz w:val="20"/>
              <w:szCs w:val="20"/>
            </w:rPr>
            <m:t>(0,1).</m:t>
          </m:r>
        </m:oMath>
      </m:oMathPara>
    </w:p>
    <w:p w14:paraId="75221364" w14:textId="3F74D1C8" w:rsidR="00792AC2" w:rsidRPr="00792AC2" w:rsidRDefault="00792AC2" w:rsidP="00792AC2">
      <w:pPr>
        <w:rPr>
          <w:sz w:val="20"/>
          <w:szCs w:val="20"/>
        </w:rPr>
      </w:pPr>
      <w:r w:rsidRPr="00792AC2">
        <w:rPr>
          <w:sz w:val="20"/>
          <w:szCs w:val="20"/>
        </w:rPr>
        <w:t xml:space="preserve">Option values and Greeks are computed with the Black–Scholes (BS) model for a European call with spot </w:t>
      </w:r>
      <m:oMath>
        <m:r>
          <w:rPr>
            <w:rFonts w:ascii="Cambria Math" w:hAnsi="Cambria Math"/>
            <w:sz w:val="20"/>
            <w:szCs w:val="20"/>
          </w:rPr>
          <m:t>S</m:t>
        </m:r>
      </m:oMath>
      <w:r w:rsidRPr="00792AC2">
        <w:rPr>
          <w:sz w:val="20"/>
          <w:szCs w:val="20"/>
        </w:rPr>
        <w:t xml:space="preserve">, strike </w:t>
      </w:r>
      <m:oMath>
        <m:r>
          <w:rPr>
            <w:rFonts w:ascii="Cambria Math" w:hAnsi="Cambria Math"/>
            <w:sz w:val="20"/>
            <w:szCs w:val="20"/>
          </w:rPr>
          <m:t>K</m:t>
        </m:r>
      </m:oMath>
      <w:r w:rsidRPr="00792AC2">
        <w:rPr>
          <w:sz w:val="20"/>
          <w:szCs w:val="20"/>
        </w:rPr>
        <w:t xml:space="preserve">, continuously-compounded risk-free rate </w:t>
      </w:r>
      <m:oMath>
        <m:r>
          <w:rPr>
            <w:rFonts w:ascii="Cambria Math" w:hAnsi="Cambria Math"/>
            <w:sz w:val="20"/>
            <w:szCs w:val="20"/>
          </w:rPr>
          <m:t>r</m:t>
        </m:r>
      </m:oMath>
      <w:r w:rsidRPr="00792AC2">
        <w:rPr>
          <w:sz w:val="20"/>
          <w:szCs w:val="20"/>
        </w:rPr>
        <w:t xml:space="preserve">, volatility </w:t>
      </w:r>
      <m:oMath>
        <m:r>
          <w:rPr>
            <w:rFonts w:ascii="Cambria Math" w:hAnsi="Cambria Math"/>
            <w:sz w:val="20"/>
            <w:szCs w:val="20"/>
          </w:rPr>
          <m:t>σ</m:t>
        </m:r>
      </m:oMath>
      <w:r w:rsidRPr="00792AC2">
        <w:rPr>
          <w:sz w:val="20"/>
          <w:szCs w:val="20"/>
        </w:rPr>
        <w:t xml:space="preserve">, and time to expiry </w:t>
      </w:r>
      <m:oMath>
        <m:r>
          <w:rPr>
            <w:rFonts w:ascii="Cambria Math" w:hAnsi="Cambria Math"/>
            <w:sz w:val="20"/>
            <w:szCs w:val="20"/>
          </w:rPr>
          <m:t>τ</m:t>
        </m:r>
      </m:oMath>
      <w:r w:rsidRPr="00792AC2">
        <w:rPr>
          <w:sz w:val="20"/>
          <w:szCs w:val="20"/>
        </w:rPr>
        <w:t>. The BS price and delta are</w:t>
      </w:r>
    </w:p>
    <w:p w14:paraId="374EEC5F" w14:textId="580D5613" w:rsidR="00792AC2" w:rsidRPr="00792AC2" w:rsidRDefault="00792AC2" w:rsidP="00792AC2">
      <w:pPr>
        <w:rPr>
          <w:sz w:val="20"/>
          <w:szCs w:val="20"/>
        </w:rPr>
      </w:pPr>
      <m:oMathPara>
        <m:oMath>
          <m:r>
            <w:rPr>
              <w:rFonts w:ascii="Cambria Math" w:hAnsi="Cambria Math"/>
              <w:sz w:val="20"/>
              <w:szCs w:val="20"/>
            </w:rPr>
            <m:t>C</m:t>
          </m:r>
          <m:r>
            <m:rPr>
              <m:sty m:val="p"/>
            </m:rPr>
            <w:rPr>
              <w:rFonts w:ascii="Cambria Math" w:hAnsi="Cambria Math"/>
              <w:sz w:val="20"/>
              <w:szCs w:val="20"/>
            </w:rPr>
            <m:t>=</m:t>
          </m:r>
          <m:r>
            <w:rPr>
              <w:rFonts w:ascii="Cambria Math" w:hAnsi="Cambria Math"/>
              <w:sz w:val="20"/>
              <w:szCs w:val="20"/>
            </w:rPr>
            <m:t>S</m:t>
          </m:r>
          <m:r>
            <m:rPr>
              <m:nor/>
            </m:rPr>
            <w:rPr>
              <w:sz w:val="20"/>
              <w:szCs w:val="20"/>
            </w:rPr>
            <m:t> </m:t>
          </m:r>
          <m:r>
            <w:rPr>
              <w:rFonts w:ascii="Cambria Math" w:hAnsi="Cambria Math"/>
              <w:sz w:val="20"/>
              <w:szCs w:val="20"/>
            </w:rPr>
            <m:t>N</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m:rPr>
                  <m:sty m:val="p"/>
                </m:rPr>
                <w:rPr>
                  <w:rFonts w:ascii="Cambria Math" w:hAnsi="Cambria Math"/>
                  <w:sz w:val="20"/>
                  <w:szCs w:val="20"/>
                </w:rPr>
                <m:t>1</m:t>
              </m:r>
            </m:sub>
          </m:sSub>
          <m:r>
            <m:rPr>
              <m:sty m:val="p"/>
            </m:rPr>
            <w:rPr>
              <w:rFonts w:ascii="Cambria Math" w:hAnsi="Cambria Math"/>
              <w:sz w:val="20"/>
              <w:szCs w:val="20"/>
            </w:rPr>
            <m:t>)-</m:t>
          </m:r>
          <m:r>
            <w:rPr>
              <w:rFonts w:ascii="Cambria Math" w:hAnsi="Cambria Math"/>
              <w:sz w:val="20"/>
              <w:szCs w:val="20"/>
            </w:rPr>
            <m:t>K</m:t>
          </m:r>
          <m:sSup>
            <m:sSupPr>
              <m:ctrlPr>
                <w:rPr>
                  <w:rFonts w:ascii="Cambria Math" w:hAnsi="Cambria Math"/>
                  <w:sz w:val="20"/>
                  <w:szCs w:val="20"/>
                </w:rPr>
              </m:ctrlPr>
            </m:sSupPr>
            <m:e>
              <m:r>
                <w:rPr>
                  <w:rFonts w:ascii="Cambria Math" w:hAnsi="Cambria Math"/>
                  <w:sz w:val="20"/>
                  <w:szCs w:val="20"/>
                </w:rPr>
                <m:t>e</m:t>
              </m:r>
            </m:e>
            <m:sup>
              <m:r>
                <m:rPr>
                  <m:sty m:val="p"/>
                </m:rPr>
                <w:rPr>
                  <w:rFonts w:ascii="Cambria Math" w:hAnsi="Cambria Math"/>
                  <w:sz w:val="20"/>
                  <w:szCs w:val="20"/>
                </w:rPr>
                <m:t>-</m:t>
              </m:r>
              <m:r>
                <w:rPr>
                  <w:rFonts w:ascii="Cambria Math" w:hAnsi="Cambria Math"/>
                  <w:sz w:val="20"/>
                  <w:szCs w:val="20"/>
                </w:rPr>
                <m:t>rτ</m:t>
              </m:r>
            </m:sup>
          </m:sSup>
          <m:r>
            <w:rPr>
              <w:rFonts w:ascii="Cambria Math" w:hAnsi="Cambria Math"/>
              <w:sz w:val="20"/>
              <w:szCs w:val="20"/>
            </w:rPr>
            <m:t>N</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m:rPr>
                  <m:sty m:val="p"/>
                </m:rPr>
                <w:rPr>
                  <w:rFonts w:ascii="Cambria Math" w:hAnsi="Cambria Math"/>
                  <w:sz w:val="20"/>
                  <w:szCs w:val="20"/>
                </w:rPr>
                <m:t>2</m:t>
              </m:r>
            </m:sub>
          </m:sSub>
          <m:r>
            <m:rPr>
              <m:sty m:val="p"/>
            </m:rPr>
            <w:rPr>
              <w:rFonts w:ascii="Cambria Math" w:hAnsi="Cambria Math"/>
              <w:sz w:val="20"/>
              <w:szCs w:val="20"/>
            </w:rPr>
            <m:t>),Δ=</m:t>
          </m:r>
          <m:r>
            <w:rPr>
              <w:rFonts w:ascii="Cambria Math" w:hAnsi="Cambria Math"/>
              <w:sz w:val="20"/>
              <w:szCs w:val="20"/>
            </w:rPr>
            <m:t>N</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m:rPr>
                  <m:sty m:val="p"/>
                </m:rPr>
                <w:rPr>
                  <w:rFonts w:ascii="Cambria Math" w:hAnsi="Cambria Math"/>
                  <w:sz w:val="20"/>
                  <w:szCs w:val="20"/>
                </w:rPr>
                <m:t>1</m:t>
              </m:r>
            </m:sub>
          </m:sSub>
          <m:r>
            <m:rPr>
              <m:sty m:val="p"/>
            </m:rPr>
            <w:rPr>
              <w:rFonts w:ascii="Cambria Math" w:hAnsi="Cambria Math"/>
              <w:sz w:val="20"/>
              <w:szCs w:val="20"/>
            </w:rPr>
            <m:t>),</m:t>
          </m:r>
        </m:oMath>
      </m:oMathPara>
    </w:p>
    <w:p w14:paraId="69CEDAE4" w14:textId="77777777" w:rsidR="00792AC2" w:rsidRPr="00792AC2" w:rsidRDefault="00792AC2" w:rsidP="00792AC2">
      <w:pPr>
        <w:rPr>
          <w:sz w:val="20"/>
          <w:szCs w:val="20"/>
        </w:rPr>
      </w:pPr>
      <w:r w:rsidRPr="00792AC2">
        <w:rPr>
          <w:sz w:val="20"/>
          <w:szCs w:val="20"/>
        </w:rPr>
        <w:t>with</w:t>
      </w:r>
    </w:p>
    <w:p w14:paraId="3FB049A0" w14:textId="77777777" w:rsidR="00792AC2" w:rsidRPr="00792AC2" w:rsidRDefault="00000000" w:rsidP="00792AC2">
      <w:pPr>
        <w:rPr>
          <w:sz w:val="20"/>
          <w:szCs w:val="20"/>
        </w:rPr>
      </w:pPr>
      <m:oMathPara>
        <m:oMath>
          <m:sSub>
            <m:sSubPr>
              <m:ctrlPr>
                <w:rPr>
                  <w:rFonts w:ascii="Cambria Math" w:hAnsi="Cambria Math"/>
                  <w:sz w:val="20"/>
                  <w:szCs w:val="20"/>
                </w:rPr>
              </m:ctrlPr>
            </m:sSubPr>
            <m:e>
              <m:r>
                <w:rPr>
                  <w:rFonts w:ascii="Cambria Math" w:hAnsi="Cambria Math"/>
                  <w:sz w:val="20"/>
                  <w:szCs w:val="20"/>
                </w:rPr>
                <m:t>d</m:t>
              </m:r>
            </m:e>
            <m:sub>
              <m:r>
                <m:rPr>
                  <m:sty m:val="p"/>
                </m:rPr>
                <w:rPr>
                  <w:rFonts w:ascii="Cambria Math" w:hAnsi="Cambria Math"/>
                  <w:sz w:val="20"/>
                  <w:szCs w:val="20"/>
                </w:rPr>
                <m:t>1,2</m:t>
              </m:r>
            </m:sub>
          </m:sSub>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ln⁡(</m:t>
              </m:r>
              <m:r>
                <w:rPr>
                  <w:rFonts w:ascii="Cambria Math" w:hAnsi="Cambria Math"/>
                  <w:sz w:val="20"/>
                  <w:szCs w:val="20"/>
                </w:rPr>
                <m:t>S</m:t>
              </m:r>
              <m:r>
                <m:rPr>
                  <m:sty m:val="p"/>
                </m:rPr>
                <w:rPr>
                  <w:rFonts w:ascii="Cambria Math" w:hAnsi="Cambria Math"/>
                  <w:sz w:val="20"/>
                  <w:szCs w:val="20"/>
                </w:rPr>
                <m:t>/</m:t>
              </m:r>
              <m:r>
                <w:rPr>
                  <w:rFonts w:ascii="Cambria Math" w:hAnsi="Cambria Math"/>
                  <w:sz w:val="20"/>
                  <w:szCs w:val="20"/>
                </w:rPr>
                <m:t>K</m:t>
              </m:r>
              <m:r>
                <m:rPr>
                  <m:sty m:val="p"/>
                </m:rPr>
                <w:rPr>
                  <w:rFonts w:ascii="Cambria Math" w:hAnsi="Cambria Math"/>
                  <w:sz w:val="20"/>
                  <w:szCs w:val="20"/>
                </w:rPr>
                <m:t>)+(</m:t>
              </m:r>
              <m:r>
                <w:rPr>
                  <w:rFonts w:ascii="Cambria Math" w:hAnsi="Cambria Math"/>
                  <w:sz w:val="20"/>
                  <w:szCs w:val="20"/>
                </w:rPr>
                <m:t>r</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sSup>
                <m:sSupPr>
                  <m:ctrlPr>
                    <w:rPr>
                      <w:rFonts w:ascii="Cambria Math" w:hAnsi="Cambria Math"/>
                      <w:sz w:val="20"/>
                      <w:szCs w:val="20"/>
                    </w:rPr>
                  </m:ctrlPr>
                </m:sSupPr>
                <m:e>
                  <m:r>
                    <w:rPr>
                      <w:rFonts w:ascii="Cambria Math" w:hAnsi="Cambria Math"/>
                      <w:sz w:val="20"/>
                      <w:szCs w:val="20"/>
                    </w:rPr>
                    <m:t>σ</m:t>
                  </m:r>
                </m:e>
                <m:sup>
                  <m:r>
                    <m:rPr>
                      <m:sty m:val="p"/>
                    </m:rPr>
                    <w:rPr>
                      <w:rFonts w:ascii="Cambria Math" w:hAnsi="Cambria Math"/>
                      <w:sz w:val="20"/>
                      <w:szCs w:val="20"/>
                    </w:rPr>
                    <m:t>2</m:t>
                  </m:r>
                </m:sup>
              </m:sSup>
              <m:r>
                <m:rPr>
                  <m:sty m:val="p"/>
                </m:rPr>
                <w:rPr>
                  <w:rFonts w:ascii="Cambria Math" w:hAnsi="Cambria Math"/>
                  <w:sz w:val="20"/>
                  <w:szCs w:val="20"/>
                </w:rPr>
                <m:t>)</m:t>
              </m:r>
              <m:r>
                <w:rPr>
                  <w:rFonts w:ascii="Cambria Math" w:hAnsi="Cambria Math"/>
                  <w:sz w:val="20"/>
                  <w:szCs w:val="20"/>
                </w:rPr>
                <m:t>τ</m:t>
              </m:r>
            </m:num>
            <m:den>
              <m:r>
                <w:rPr>
                  <w:rFonts w:ascii="Cambria Math" w:hAnsi="Cambria Math"/>
                  <w:sz w:val="20"/>
                  <w:szCs w:val="20"/>
                </w:rPr>
                <m:t>σ</m:t>
              </m:r>
              <m:rad>
                <m:radPr>
                  <m:degHide m:val="1"/>
                  <m:ctrlPr>
                    <w:rPr>
                      <w:rFonts w:ascii="Cambria Math" w:hAnsi="Cambria Math"/>
                      <w:sz w:val="20"/>
                      <w:szCs w:val="20"/>
                    </w:rPr>
                  </m:ctrlPr>
                </m:radPr>
                <m:deg/>
                <m:e>
                  <m:r>
                    <w:rPr>
                      <w:rFonts w:ascii="Cambria Math" w:hAnsi="Cambria Math"/>
                      <w:sz w:val="20"/>
                      <w:szCs w:val="20"/>
                    </w:rPr>
                    <m:t>τ</m:t>
                  </m:r>
                </m:e>
              </m:rad>
            </m:den>
          </m:f>
          <m:r>
            <m:rPr>
              <m:sty m:val="p"/>
            </m:rPr>
            <w:rPr>
              <w:rFonts w:ascii="Cambria Math" w:hAnsi="Cambria Math"/>
              <w:sz w:val="20"/>
              <w:szCs w:val="20"/>
            </w:rPr>
            <m:t>,</m:t>
          </m:r>
          <m:r>
            <m:rPr>
              <m:sty m:val="p"/>
            </m:rPr>
            <w:rPr>
              <w:sz w:val="20"/>
              <w:szCs w:val="20"/>
            </w:rPr>
            <w:br/>
          </m:r>
        </m:oMath>
      </m:oMathPara>
    </w:p>
    <w:p w14:paraId="69054F12" w14:textId="7FA0BBAC" w:rsidR="00792AC2" w:rsidRPr="00792AC2" w:rsidRDefault="00792AC2" w:rsidP="00792AC2">
      <w:pPr>
        <w:rPr>
          <w:sz w:val="20"/>
          <w:szCs w:val="20"/>
        </w:rPr>
      </w:pPr>
      <w:r w:rsidRPr="00792AC2">
        <w:rPr>
          <w:sz w:val="20"/>
          <w:szCs w:val="20"/>
        </w:rPr>
        <w:t xml:space="preserve">where </w:t>
      </w:r>
      <m:oMath>
        <m:r>
          <w:rPr>
            <w:rFonts w:ascii="Cambria Math" w:hAnsi="Cambria Math"/>
            <w:sz w:val="20"/>
            <w:szCs w:val="20"/>
          </w:rPr>
          <m:t>N</m:t>
        </m:r>
        <m:r>
          <m:rPr>
            <m:sty m:val="p"/>
          </m:rPr>
          <w:rPr>
            <w:rFonts w:ascii="Cambria Math" w:hAnsi="Cambria Math"/>
            <w:sz w:val="20"/>
            <w:szCs w:val="20"/>
          </w:rPr>
          <m:t>(⋅)</m:t>
        </m:r>
      </m:oMath>
      <w:r w:rsidRPr="00792AC2">
        <w:rPr>
          <w:sz w:val="20"/>
          <w:szCs w:val="20"/>
        </w:rPr>
        <w:t xml:space="preserve">is the standard normal CDF. The daily delta-hedging P&amp;L is tracked via the cumulative hedging error (HE) and the cash (bank) account </w:t>
      </w:r>
      <m:oMath>
        <m:r>
          <w:rPr>
            <w:rFonts w:ascii="Cambria Math" w:hAnsi="Cambria Math"/>
            <w:sz w:val="20"/>
            <w:szCs w:val="20"/>
          </w:rPr>
          <m:t>B</m:t>
        </m:r>
      </m:oMath>
      <w:r w:rsidRPr="00792AC2">
        <w:rPr>
          <w:sz w:val="20"/>
          <w:szCs w:val="20"/>
        </w:rPr>
        <w:t xml:space="preserve">. Defining </w:t>
      </w:r>
      <m:oMath>
        <m:sSub>
          <m:sSubPr>
            <m:ctrlPr>
              <w:rPr>
                <w:rFonts w:ascii="Cambria Math" w:hAnsi="Cambria Math"/>
                <w:sz w:val="20"/>
                <w:szCs w:val="20"/>
              </w:rPr>
            </m:ctrlPr>
          </m:sSubPr>
          <m:e>
            <m:r>
              <w:rPr>
                <w:rFonts w:ascii="Cambria Math" w:hAnsi="Cambria Math"/>
                <w:sz w:val="20"/>
                <w:szCs w:val="20"/>
              </w:rPr>
              <m:t>B</m:t>
            </m:r>
          </m:e>
          <m:sub>
            <m:r>
              <m:rPr>
                <m:sty m:val="p"/>
              </m:rP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C</m:t>
            </m:r>
          </m:e>
          <m:sub>
            <m:r>
              <m:rPr>
                <m:sty m:val="p"/>
              </m:rP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Δ</m:t>
            </m:r>
          </m:e>
          <m:sub>
            <m:r>
              <m:rPr>
                <m:sty m:val="p"/>
              </m:rPr>
              <w:rPr>
                <w:rFonts w:ascii="Cambria Math" w:hAnsi="Cambria Math"/>
                <w:sz w:val="20"/>
                <w:szCs w:val="20"/>
              </w:rPr>
              <m:t>0</m:t>
            </m:r>
          </m:sub>
        </m:sSub>
        <m:sSub>
          <m:sSubPr>
            <m:ctrlPr>
              <w:rPr>
                <w:rFonts w:ascii="Cambria Math" w:hAnsi="Cambria Math"/>
                <w:sz w:val="20"/>
                <w:szCs w:val="20"/>
              </w:rPr>
            </m:ctrlPr>
          </m:sSubPr>
          <m:e>
            <m:r>
              <w:rPr>
                <w:rFonts w:ascii="Cambria Math" w:hAnsi="Cambria Math"/>
                <w:sz w:val="20"/>
                <w:szCs w:val="20"/>
              </w:rPr>
              <m:t>S</m:t>
            </m:r>
          </m:e>
          <m:sub>
            <m:r>
              <m:rPr>
                <m:sty m:val="p"/>
              </m:rPr>
              <w:rPr>
                <w:rFonts w:ascii="Cambria Math" w:hAnsi="Cambria Math"/>
                <w:sz w:val="20"/>
                <w:szCs w:val="20"/>
              </w:rPr>
              <m:t>0</m:t>
            </m:r>
          </m:sub>
        </m:sSub>
      </m:oMath>
      <w:r w:rsidRPr="00792AC2">
        <w:rPr>
          <w:sz w:val="20"/>
          <w:szCs w:val="20"/>
        </w:rPr>
        <w:t xml:space="preserve">, for trading day </w:t>
      </w:r>
      <m:oMath>
        <m:r>
          <w:rPr>
            <w:rFonts w:ascii="Cambria Math" w:hAnsi="Cambria Math"/>
            <w:sz w:val="20"/>
            <w:szCs w:val="20"/>
          </w:rPr>
          <m:t>i</m:t>
        </m:r>
      </m:oMath>
      <w:r>
        <w:rPr>
          <w:iCs/>
          <w:sz w:val="20"/>
          <w:szCs w:val="20"/>
        </w:rPr>
        <w:t xml:space="preserve"> </w:t>
      </w:r>
      <w:r w:rsidRPr="00792AC2">
        <w:rPr>
          <w:sz w:val="20"/>
          <w:szCs w:val="20"/>
        </w:rPr>
        <w:t xml:space="preserve">(one business day after </w:t>
      </w:r>
      <m:oMath>
        <m:r>
          <w:rPr>
            <w:rFonts w:ascii="Cambria Math" w:hAnsi="Cambria Math"/>
            <w:sz w:val="20"/>
            <w:szCs w:val="20"/>
          </w:rPr>
          <m:t>i</m:t>
        </m:r>
        <m:r>
          <m:rPr>
            <m:sty m:val="p"/>
          </m:rPr>
          <w:rPr>
            <w:rFonts w:ascii="Cambria Math" w:hAnsi="Cambria Math"/>
            <w:sz w:val="20"/>
            <w:szCs w:val="20"/>
          </w:rPr>
          <m:t>-1</m:t>
        </m:r>
      </m:oMath>
      <w:r w:rsidRPr="00792AC2">
        <w:rPr>
          <w:sz w:val="20"/>
          <w:szCs w:val="20"/>
        </w:rPr>
        <w:t>) we use</w:t>
      </w:r>
    </w:p>
    <w:p w14:paraId="0BB75E7A" w14:textId="544CA367" w:rsidR="00792AC2" w:rsidRPr="00792AC2" w:rsidRDefault="00000000" w:rsidP="00792AC2">
      <w:pPr>
        <w:rPr>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HE</m:t>
              </m:r>
            </m:e>
            <m:sub>
              <m: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Δ</m:t>
              </m:r>
            </m:e>
            <m:sub>
              <m:r>
                <w:rPr>
                  <w:rFonts w:ascii="Cambria Math" w:hAnsi="Cambria Math"/>
                  <w:sz w:val="20"/>
                  <w:szCs w:val="20"/>
                </w:rPr>
                <m:t>i</m:t>
              </m:r>
              <m:r>
                <m:rPr>
                  <m:sty m:val="p"/>
                </m:rP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r>
                <m:rPr>
                  <m:sty m:val="p"/>
                </m:rPr>
                <w:rPr>
                  <w:rFonts w:ascii="Cambria Math" w:hAnsi="Cambria Math"/>
                  <w:sz w:val="20"/>
                  <w:szCs w:val="20"/>
                </w:rPr>
                <m:t>-1</m:t>
              </m:r>
            </m:sub>
          </m:sSub>
          <m:sSup>
            <m:sSupPr>
              <m:ctrlPr>
                <w:rPr>
                  <w:rFonts w:ascii="Cambria Math" w:hAnsi="Cambria Math"/>
                  <w:sz w:val="20"/>
                  <w:szCs w:val="20"/>
                </w:rPr>
              </m:ctrlPr>
            </m:sSupPr>
            <m:e>
              <m:r>
                <w:rPr>
                  <w:rFonts w:ascii="Cambria Math" w:hAnsi="Cambria Math"/>
                  <w:sz w:val="20"/>
                  <w:szCs w:val="20"/>
                </w:rPr>
                <m:t>e</m:t>
              </m:r>
            </m:e>
            <m:sup>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i</m:t>
                  </m:r>
                  <m:r>
                    <m:rPr>
                      <m:sty m:val="p"/>
                    </m:rPr>
                    <w:rPr>
                      <w:rFonts w:ascii="Cambria Math" w:hAnsi="Cambria Math"/>
                      <w:sz w:val="20"/>
                      <w:szCs w:val="20"/>
                    </w:rPr>
                    <m:t>-1</m:t>
                  </m:r>
                </m:sub>
              </m:sSub>
              <m:r>
                <m:rPr>
                  <m:sty m:val="p"/>
                </m:rPr>
                <w:rPr>
                  <w:rFonts w:ascii="Cambria Math" w:hAnsi="Cambria Math"/>
                  <w:sz w:val="20"/>
                  <w:szCs w:val="20"/>
                </w:rPr>
                <m:t>Δ</m:t>
              </m:r>
              <m:r>
                <w:rPr>
                  <w:rFonts w:ascii="Cambria Math" w:hAnsi="Cambria Math"/>
                  <w:sz w:val="20"/>
                  <w:szCs w:val="20"/>
                </w:rPr>
                <m:t>t</m:t>
              </m:r>
            </m:sup>
          </m:sSup>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Δ</m:t>
              </m:r>
            </m:e>
            <m:sub>
              <m:r>
                <w:rPr>
                  <w:rFonts w:ascii="Cambria Math" w:hAnsi="Cambria Math"/>
                  <w:sz w:val="20"/>
                  <w:szCs w:val="20"/>
                </w:rPr>
                <m:t>i</m:t>
              </m:r>
              <m:r>
                <m:rPr>
                  <m:sty m:val="p"/>
                </m:rP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r>
                <m:rPr>
                  <m:sty m:val="p"/>
                </m:rPr>
                <w:rPr>
                  <w:rFonts w:ascii="Cambria Math" w:hAnsi="Cambria Math"/>
                  <w:sz w:val="20"/>
                  <w:szCs w:val="20"/>
                </w:rPr>
                <m:t>-1</m:t>
              </m:r>
            </m:sub>
          </m:sSub>
          <m:sSup>
            <m:sSupPr>
              <m:ctrlPr>
                <w:rPr>
                  <w:rFonts w:ascii="Cambria Math" w:hAnsi="Cambria Math"/>
                  <w:sz w:val="20"/>
                  <w:szCs w:val="20"/>
                </w:rPr>
              </m:ctrlPr>
            </m:sSupPr>
            <m:e>
              <m:r>
                <w:rPr>
                  <w:rFonts w:ascii="Cambria Math" w:hAnsi="Cambria Math"/>
                  <w:sz w:val="20"/>
                  <w:szCs w:val="20"/>
                </w:rPr>
                <m:t>e</m:t>
              </m:r>
            </m:e>
            <m:sup>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i</m:t>
                  </m:r>
                  <m:r>
                    <m:rPr>
                      <m:sty m:val="p"/>
                    </m:rPr>
                    <w:rPr>
                      <w:rFonts w:ascii="Cambria Math" w:hAnsi="Cambria Math"/>
                      <w:sz w:val="20"/>
                      <w:szCs w:val="20"/>
                    </w:rPr>
                    <m:t>-1</m:t>
                  </m:r>
                </m:sub>
              </m:sSub>
              <m:r>
                <m:rPr>
                  <m:sty m:val="p"/>
                </m:rPr>
                <w:rPr>
                  <w:rFonts w:ascii="Cambria Math" w:hAnsi="Cambria Math"/>
                  <w:sz w:val="20"/>
                  <w:szCs w:val="20"/>
                </w:rPr>
                <m:t>Δ</m:t>
              </m:r>
              <m:r>
                <w:rPr>
                  <w:rFonts w:ascii="Cambria Math" w:hAnsi="Cambria Math"/>
                  <w:sz w:val="20"/>
                  <w:szCs w:val="20"/>
                </w:rPr>
                <m:t>t</m:t>
              </m:r>
            </m:sup>
          </m:sSup>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Δ</m:t>
              </m:r>
            </m:e>
            <m:sub>
              <m:r>
                <w:rPr>
                  <w:rFonts w:ascii="Cambria Math" w:hAnsi="Cambria Math"/>
                  <w:sz w:val="20"/>
                  <w:szCs w:val="20"/>
                </w:rPr>
                <m:t>i</m:t>
              </m:r>
            </m:sub>
          </m:sSub>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i</m:t>
              </m:r>
            </m:sub>
          </m:sSub>
          <m:r>
            <m:rPr>
              <m:sty m:val="p"/>
            </m:rPr>
            <w:rPr>
              <w:rFonts w:ascii="Cambria Math" w:hAnsi="Cambria Math"/>
              <w:sz w:val="20"/>
              <w:szCs w:val="20"/>
            </w:rPr>
            <m:t>,</m:t>
          </m:r>
        </m:oMath>
      </m:oMathPara>
    </w:p>
    <w:p w14:paraId="6B0E45DF" w14:textId="1B25923E" w:rsidR="00792AC2" w:rsidRDefault="00792AC2" w:rsidP="00792AC2">
      <w:pPr>
        <w:rPr>
          <w:sz w:val="20"/>
          <w:szCs w:val="20"/>
        </w:rPr>
      </w:pPr>
      <w:r w:rsidRPr="00792AC2">
        <w:rPr>
          <w:sz w:val="20"/>
          <w:szCs w:val="20"/>
        </w:rPr>
        <w:t xml:space="preserve">where </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i</m:t>
            </m:r>
          </m:sub>
        </m:sSub>
      </m:oMath>
      <w:r w:rsidRPr="00792AC2">
        <w:rPr>
          <w:sz w:val="20"/>
          <w:szCs w:val="20"/>
        </w:rPr>
        <w:t xml:space="preserve">is the market mid quote for the option on day </w:t>
      </w:r>
      <m:oMath>
        <m:r>
          <w:rPr>
            <w:rFonts w:ascii="Cambria Math" w:hAnsi="Cambria Math"/>
            <w:sz w:val="20"/>
            <w:szCs w:val="20"/>
          </w:rPr>
          <m:t>i</m:t>
        </m:r>
      </m:oMath>
      <w:r w:rsidRPr="00792AC2">
        <w:rPr>
          <w:sz w:val="20"/>
          <w:szCs w:val="20"/>
        </w:rPr>
        <w:t xml:space="preserve">and </w:t>
      </w:r>
      <m:oMath>
        <m:r>
          <m:rPr>
            <m:sty m:val="p"/>
          </m:rPr>
          <w:rPr>
            <w:rFonts w:ascii="Cambria Math" w:hAnsi="Cambria Math"/>
            <w:sz w:val="20"/>
            <w:szCs w:val="20"/>
          </w:rPr>
          <m:t>Δ</m:t>
        </m:r>
        <m:r>
          <w:rPr>
            <w:rFonts w:ascii="Cambria Math" w:hAnsi="Cambria Math"/>
            <w:sz w:val="20"/>
            <w:szCs w:val="20"/>
          </w:rPr>
          <m:t>t</m:t>
        </m:r>
        <m:r>
          <m:rPr>
            <m:sty m:val="p"/>
          </m:rPr>
          <w:rPr>
            <w:rFonts w:ascii="Cambria Math" w:hAnsi="Cambria Math"/>
            <w:sz w:val="20"/>
            <w:szCs w:val="20"/>
          </w:rPr>
          <m:t>=1/252</m:t>
        </m:r>
      </m:oMath>
      <w:r>
        <w:rPr>
          <w:sz w:val="20"/>
          <w:szCs w:val="20"/>
        </w:rPr>
        <w:t xml:space="preserve"> </w:t>
      </w:r>
      <w:r w:rsidRPr="00792AC2">
        <w:rPr>
          <w:sz w:val="20"/>
          <w:szCs w:val="20"/>
        </w:rPr>
        <w:t xml:space="preserve">year. </w:t>
      </w:r>
    </w:p>
    <w:p w14:paraId="14B0283E" w14:textId="6C47E9B0" w:rsidR="00792AC2" w:rsidRPr="00792AC2" w:rsidRDefault="00792AC2" w:rsidP="00792AC2">
      <w:pPr>
        <w:rPr>
          <w:sz w:val="20"/>
          <w:szCs w:val="20"/>
        </w:rPr>
      </w:pPr>
      <w:r w:rsidRPr="00792AC2">
        <w:rPr>
          <w:sz w:val="20"/>
          <w:szCs w:val="20"/>
        </w:rPr>
        <w:t xml:space="preserve">For market data (Task 2), the implied volatility on each day is obtained by solving the BS pricing equation </w:t>
      </w:r>
      <m:oMath>
        <m:sSub>
          <m:sSubPr>
            <m:ctrlPr>
              <w:rPr>
                <w:rFonts w:ascii="Cambria Math" w:hAnsi="Cambria Math"/>
                <w:sz w:val="20"/>
                <w:szCs w:val="20"/>
              </w:rPr>
            </m:ctrlPr>
          </m:sSubPr>
          <m:e>
            <m:r>
              <w:rPr>
                <w:rFonts w:ascii="Cambria Math" w:hAnsi="Cambria Math"/>
                <w:sz w:val="20"/>
                <w:szCs w:val="20"/>
              </w:rPr>
              <m:t>C</m:t>
            </m:r>
          </m:e>
          <m:sub>
            <m:r>
              <m:rPr>
                <m:nor/>
              </m:rPr>
              <w:rPr>
                <w:sz w:val="20"/>
                <w:szCs w:val="20"/>
              </w:rPr>
              <m:t>BS</m:t>
            </m:r>
          </m:sub>
        </m:sSub>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r>
          <w:rPr>
            <w:rFonts w:ascii="Cambria Math" w:hAnsi="Cambria Math"/>
            <w:sz w:val="20"/>
            <w:szCs w:val="20"/>
          </w:rPr>
          <m:t>K</m:t>
        </m:r>
        <m:r>
          <m:rPr>
            <m:sty m:val="p"/>
          </m:rPr>
          <w:rPr>
            <w:rFonts w:ascii="Cambria Math" w:hAnsi="Cambria Math"/>
            <w:sz w:val="20"/>
            <w:szCs w:val="20"/>
          </w:rPr>
          <m:t>,</m:t>
        </m:r>
        <m:r>
          <w:rPr>
            <w:rFonts w:ascii="Cambria Math" w:hAnsi="Cambria Math"/>
            <w:sz w:val="20"/>
            <w:szCs w:val="20"/>
          </w:rPr>
          <m:t>r</m:t>
        </m:r>
        <m:r>
          <m:rPr>
            <m:sty m:val="p"/>
          </m:rPr>
          <w:rPr>
            <w:rFonts w:ascii="Cambria Math" w:hAnsi="Cambria Math"/>
            <w:sz w:val="20"/>
            <w:szCs w:val="20"/>
          </w:rPr>
          <m:t>,</m:t>
        </m:r>
        <m:r>
          <w:rPr>
            <w:rFonts w:ascii="Cambria Math" w:hAnsi="Cambria Math"/>
            <w:sz w:val="20"/>
            <w:szCs w:val="20"/>
          </w:rPr>
          <m:t>σ</m:t>
        </m:r>
        <m:r>
          <m:rPr>
            <m:sty m:val="p"/>
          </m:rPr>
          <w:rPr>
            <w:rFonts w:ascii="Cambria Math" w:hAnsi="Cambria Math"/>
            <w:sz w:val="20"/>
            <w:szCs w:val="20"/>
          </w:rPr>
          <m:t>,</m:t>
        </m:r>
        <m:r>
          <w:rPr>
            <w:rFonts w:ascii="Cambria Math" w:hAnsi="Cambria Math"/>
            <w:sz w:val="20"/>
            <w:szCs w:val="20"/>
          </w:rPr>
          <m:t>τ</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m:rPr>
                <m:nor/>
              </m:rPr>
              <w:rPr>
                <w:sz w:val="20"/>
                <w:szCs w:val="20"/>
              </w:rPr>
              <m:t>market</m:t>
            </m:r>
          </m:sub>
        </m:sSub>
      </m:oMath>
      <w:r>
        <w:rPr>
          <w:sz w:val="20"/>
          <w:szCs w:val="20"/>
        </w:rPr>
        <w:t xml:space="preserve"> </w:t>
      </w:r>
      <w:r w:rsidRPr="00792AC2">
        <w:rPr>
          <w:sz w:val="20"/>
          <w:szCs w:val="20"/>
        </w:rPr>
        <w:t xml:space="preserve">for </w:t>
      </w:r>
      <m:oMath>
        <m:r>
          <w:rPr>
            <w:rFonts w:ascii="Cambria Math" w:hAnsi="Cambria Math"/>
            <w:sz w:val="20"/>
            <w:szCs w:val="20"/>
          </w:rPr>
          <m:t>σ</m:t>
        </m:r>
      </m:oMath>
      <w:r>
        <w:rPr>
          <w:iCs/>
          <w:sz w:val="20"/>
          <w:szCs w:val="20"/>
        </w:rPr>
        <w:t xml:space="preserve"> </w:t>
      </w:r>
      <w:r w:rsidRPr="00792AC2">
        <w:rPr>
          <w:sz w:val="20"/>
          <w:szCs w:val="20"/>
        </w:rPr>
        <w:t xml:space="preserve">via a robust bisection search over </w:t>
      </w:r>
      <m:oMath>
        <m:r>
          <m:rPr>
            <m:sty m:val="p"/>
          </m:rPr>
          <w:rPr>
            <w:rFonts w:ascii="Cambria Math" w:hAnsi="Cambria Math"/>
            <w:sz w:val="20"/>
            <w:szCs w:val="20"/>
          </w:rPr>
          <m:t>[</m:t>
        </m:r>
        <m:sSup>
          <m:sSupPr>
            <m:ctrlPr>
              <w:rPr>
                <w:rFonts w:ascii="Cambria Math" w:hAnsi="Cambria Math"/>
                <w:sz w:val="20"/>
                <w:szCs w:val="20"/>
              </w:rPr>
            </m:ctrlPr>
          </m:sSupPr>
          <m:e>
            <m:r>
              <m:rPr>
                <m:sty m:val="p"/>
              </m:rPr>
              <w:rPr>
                <w:rFonts w:ascii="Cambria Math" w:hAnsi="Cambria Math"/>
                <w:sz w:val="20"/>
                <w:szCs w:val="20"/>
              </w:rPr>
              <m:t>10</m:t>
            </m:r>
          </m:e>
          <m:sup>
            <m:r>
              <m:rPr>
                <m:sty m:val="p"/>
              </m:rPr>
              <w:rPr>
                <w:rFonts w:ascii="Cambria Math" w:hAnsi="Cambria Math"/>
                <w:sz w:val="20"/>
                <w:szCs w:val="20"/>
              </w:rPr>
              <m:t>-4</m:t>
            </m:r>
          </m:sup>
        </m:sSup>
        <m:r>
          <m:rPr>
            <m:sty m:val="p"/>
          </m:rPr>
          <w:rPr>
            <w:rFonts w:ascii="Cambria Math" w:hAnsi="Cambria Math"/>
            <w:sz w:val="20"/>
            <w:szCs w:val="20"/>
          </w:rPr>
          <m:t>,</m:t>
        </m:r>
        <m:r>
          <m:rPr>
            <m:nor/>
          </m:rPr>
          <w:rPr>
            <w:sz w:val="20"/>
            <w:szCs w:val="20"/>
          </w:rPr>
          <m:t> </m:t>
        </m:r>
        <m:r>
          <m:rPr>
            <m:sty m:val="p"/>
          </m:rPr>
          <w:rPr>
            <w:rFonts w:ascii="Cambria Math" w:hAnsi="Cambria Math"/>
            <w:sz w:val="20"/>
            <w:szCs w:val="20"/>
          </w:rPr>
          <m:t>5]</m:t>
        </m:r>
      </m:oMath>
      <w:r w:rsidRPr="00792AC2">
        <w:rPr>
          <w:sz w:val="20"/>
          <w:szCs w:val="20"/>
        </w:rPr>
        <w:t xml:space="preserve"> and that implied</w:t>
      </w:r>
      <w:r>
        <w:rPr>
          <w:sz w:val="20"/>
          <w:szCs w:val="20"/>
        </w:rPr>
        <w:t xml:space="preserve"> </w:t>
      </w:r>
      <w:r w:rsidRPr="00792AC2">
        <w:rPr>
          <w:sz w:val="20"/>
          <w:szCs w:val="20"/>
        </w:rPr>
        <w:t xml:space="preserve"> </w:t>
      </w:r>
      <m:oMath>
        <m:r>
          <w:rPr>
            <w:rFonts w:ascii="Cambria Math" w:hAnsi="Cambria Math"/>
            <w:sz w:val="20"/>
            <w:szCs w:val="20"/>
          </w:rPr>
          <m:t>σ</m:t>
        </m:r>
      </m:oMath>
      <w:r>
        <w:rPr>
          <w:iCs/>
          <w:sz w:val="20"/>
          <w:szCs w:val="20"/>
        </w:rPr>
        <w:t xml:space="preserve"> </w:t>
      </w:r>
      <w:r w:rsidRPr="00792AC2">
        <w:rPr>
          <w:sz w:val="20"/>
          <w:szCs w:val="20"/>
        </w:rPr>
        <w:t xml:space="preserve">is used to compute </w:t>
      </w:r>
      <m:oMath>
        <m:r>
          <m:rPr>
            <m:sty m:val="p"/>
          </m:rPr>
          <w:rPr>
            <w:rFonts w:ascii="Cambria Math" w:hAnsi="Cambria Math"/>
            <w:sz w:val="20"/>
            <w:szCs w:val="20"/>
          </w:rPr>
          <m:t>Δ=</m:t>
        </m:r>
        <m:r>
          <w:rPr>
            <w:rFonts w:ascii="Cambria Math" w:hAnsi="Cambria Math"/>
            <w:sz w:val="20"/>
            <w:szCs w:val="20"/>
          </w:rPr>
          <m:t>N</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m:rPr>
                <m:sty m:val="p"/>
              </m:rPr>
              <w:rPr>
                <w:rFonts w:ascii="Cambria Math" w:hAnsi="Cambria Math"/>
                <w:sz w:val="20"/>
                <w:szCs w:val="20"/>
              </w:rPr>
              <m:t>1</m:t>
            </m:r>
          </m:sub>
        </m:sSub>
        <m:r>
          <m:rPr>
            <m:sty m:val="p"/>
          </m:rPr>
          <w:rPr>
            <w:rFonts w:ascii="Cambria Math" w:hAnsi="Cambria Math"/>
            <w:sz w:val="20"/>
            <w:szCs w:val="20"/>
          </w:rPr>
          <m:t>)</m:t>
        </m:r>
      </m:oMath>
      <w:r>
        <w:rPr>
          <w:sz w:val="20"/>
          <w:szCs w:val="20"/>
        </w:rPr>
        <w:t xml:space="preserve"> </w:t>
      </w:r>
      <w:r w:rsidRPr="00792AC2">
        <w:rPr>
          <w:sz w:val="20"/>
          <w:szCs w:val="20"/>
        </w:rPr>
        <w:t>for re-hedging.</w:t>
      </w:r>
    </w:p>
    <w:p w14:paraId="76FB8998" w14:textId="12277C94" w:rsidR="00C17227" w:rsidRPr="00BB7EBC" w:rsidRDefault="00000000" w:rsidP="00BB7EBC">
      <w:pPr>
        <w:pStyle w:val="Heading1"/>
      </w:pPr>
      <w:r w:rsidRPr="00C17227">
        <w:t>(b) Structure of the Model Implementation</w:t>
      </w:r>
    </w:p>
    <w:p w14:paraId="7707B558" w14:textId="1F897288" w:rsidR="00FD680A" w:rsidRPr="00C17227" w:rsidRDefault="00000000">
      <w:pPr>
        <w:rPr>
          <w:sz w:val="20"/>
          <w:szCs w:val="20"/>
        </w:rPr>
      </w:pPr>
      <w:r w:rsidRPr="00C17227">
        <w:rPr>
          <w:sz w:val="20"/>
          <w:szCs w:val="20"/>
        </w:rPr>
        <w:t>Languages/tools: C++17 for core logic and CSV I/O; Python (pandas/matplotlib) for plotting.</w:t>
      </w:r>
    </w:p>
    <w:p w14:paraId="23CB8C4F" w14:textId="56240D8F" w:rsidR="00FD680A" w:rsidRPr="00792AC2" w:rsidRDefault="00000000" w:rsidP="00792AC2">
      <w:pPr>
        <w:rPr>
          <w:sz w:val="20"/>
          <w:szCs w:val="20"/>
        </w:rPr>
      </w:pPr>
      <w:r w:rsidRPr="00C17227">
        <w:rPr>
          <w:sz w:val="20"/>
          <w:szCs w:val="20"/>
        </w:rPr>
        <w:lastRenderedPageBreak/>
        <w:t>Key components</w:t>
      </w:r>
      <w:r w:rsidR="00B85BF0">
        <w:rPr>
          <w:sz w:val="20"/>
          <w:szCs w:val="20"/>
        </w:rPr>
        <w:t xml:space="preserve"> (Check Appendix for class design)</w:t>
      </w:r>
      <w:r w:rsidRPr="00C17227">
        <w:rPr>
          <w:sz w:val="20"/>
          <w:szCs w:val="20"/>
        </w:rPr>
        <w:t>:</w:t>
      </w:r>
    </w:p>
    <w:tbl>
      <w:tblPr>
        <w:tblStyle w:val="TableGrid"/>
        <w:tblW w:w="0" w:type="auto"/>
        <w:jc w:val="center"/>
        <w:tblLook w:val="04A0" w:firstRow="1" w:lastRow="0" w:firstColumn="1" w:lastColumn="0" w:noHBand="0" w:noVBand="1"/>
      </w:tblPr>
      <w:tblGrid>
        <w:gridCol w:w="2031"/>
        <w:gridCol w:w="6051"/>
      </w:tblGrid>
      <w:tr w:rsidR="00792AC2" w:rsidRPr="00792AC2" w14:paraId="14B5FCB7" w14:textId="77777777" w:rsidTr="00792AC2">
        <w:trPr>
          <w:jc w:val="center"/>
        </w:trPr>
        <w:tc>
          <w:tcPr>
            <w:tcW w:w="0" w:type="auto"/>
            <w:vAlign w:val="center"/>
            <w:hideMark/>
          </w:tcPr>
          <w:p w14:paraId="4AF01185" w14:textId="77777777" w:rsidR="00792AC2" w:rsidRPr="00792AC2" w:rsidRDefault="00792AC2" w:rsidP="00792AC2">
            <w:pPr>
              <w:jc w:val="center"/>
              <w:rPr>
                <w:rFonts w:eastAsia="Times New Roman" w:cs="Calibri"/>
                <w:b/>
                <w:bCs/>
                <w:sz w:val="20"/>
                <w:szCs w:val="20"/>
              </w:rPr>
            </w:pPr>
            <w:r w:rsidRPr="00792AC2">
              <w:rPr>
                <w:rFonts w:eastAsia="Times New Roman" w:cs="Calibri"/>
                <w:b/>
                <w:bCs/>
                <w:sz w:val="20"/>
                <w:szCs w:val="20"/>
              </w:rPr>
              <w:t>File(s)</w:t>
            </w:r>
          </w:p>
        </w:tc>
        <w:tc>
          <w:tcPr>
            <w:tcW w:w="0" w:type="auto"/>
            <w:vAlign w:val="center"/>
            <w:hideMark/>
          </w:tcPr>
          <w:p w14:paraId="76DCEE7C" w14:textId="77777777" w:rsidR="00792AC2" w:rsidRPr="00792AC2" w:rsidRDefault="00792AC2" w:rsidP="00792AC2">
            <w:pPr>
              <w:jc w:val="center"/>
              <w:rPr>
                <w:rFonts w:eastAsia="Times New Roman" w:cs="Calibri"/>
                <w:b/>
                <w:bCs/>
                <w:sz w:val="20"/>
                <w:szCs w:val="20"/>
              </w:rPr>
            </w:pPr>
            <w:r w:rsidRPr="00792AC2">
              <w:rPr>
                <w:rFonts w:eastAsia="Times New Roman" w:cs="Calibri"/>
                <w:b/>
                <w:bCs/>
                <w:sz w:val="20"/>
                <w:szCs w:val="20"/>
              </w:rPr>
              <w:t>Purpose</w:t>
            </w:r>
          </w:p>
        </w:tc>
      </w:tr>
      <w:tr w:rsidR="00792AC2" w:rsidRPr="00792AC2" w14:paraId="2AB71668" w14:textId="77777777" w:rsidTr="00792AC2">
        <w:trPr>
          <w:jc w:val="center"/>
        </w:trPr>
        <w:tc>
          <w:tcPr>
            <w:tcW w:w="0" w:type="auto"/>
            <w:vAlign w:val="center"/>
            <w:hideMark/>
          </w:tcPr>
          <w:p w14:paraId="24ACC117" w14:textId="77777777" w:rsidR="00792AC2" w:rsidRPr="00792AC2" w:rsidRDefault="00792AC2" w:rsidP="00792AC2">
            <w:pPr>
              <w:jc w:val="center"/>
              <w:rPr>
                <w:rFonts w:eastAsia="Times New Roman" w:cs="Calibri"/>
                <w:sz w:val="20"/>
                <w:szCs w:val="20"/>
              </w:rPr>
            </w:pPr>
            <w:proofErr w:type="spellStart"/>
            <w:r w:rsidRPr="00792AC2">
              <w:rPr>
                <w:rFonts w:eastAsia="Times New Roman" w:cs="Calibri"/>
                <w:sz w:val="20"/>
                <w:szCs w:val="20"/>
              </w:rPr>
              <w:t>bs.h</w:t>
            </w:r>
            <w:proofErr w:type="spellEnd"/>
          </w:p>
        </w:tc>
        <w:tc>
          <w:tcPr>
            <w:tcW w:w="0" w:type="auto"/>
            <w:vAlign w:val="center"/>
            <w:hideMark/>
          </w:tcPr>
          <w:p w14:paraId="12784335" w14:textId="77777777" w:rsidR="00792AC2" w:rsidRPr="00792AC2" w:rsidRDefault="00792AC2" w:rsidP="00792AC2">
            <w:pPr>
              <w:jc w:val="center"/>
              <w:rPr>
                <w:rFonts w:eastAsia="Times New Roman" w:cs="Calibri"/>
                <w:sz w:val="20"/>
                <w:szCs w:val="20"/>
              </w:rPr>
            </w:pPr>
            <w:r w:rsidRPr="00792AC2">
              <w:rPr>
                <w:rFonts w:eastAsia="Times New Roman" w:cs="Calibri"/>
                <w:sz w:val="20"/>
                <w:szCs w:val="20"/>
              </w:rPr>
              <w:t xml:space="preserve">Black–Scholes helpers: price, delta, </w:t>
            </w:r>
            <w:proofErr w:type="spellStart"/>
            <w:r w:rsidRPr="00792AC2">
              <w:rPr>
                <w:rFonts w:eastAsia="Times New Roman" w:cs="Calibri"/>
                <w:sz w:val="20"/>
                <w:szCs w:val="20"/>
              </w:rPr>
              <w:t>vega</w:t>
            </w:r>
            <w:proofErr w:type="spellEnd"/>
            <w:r w:rsidRPr="00792AC2">
              <w:rPr>
                <w:rFonts w:eastAsia="Times New Roman" w:cs="Calibri"/>
                <w:sz w:val="20"/>
                <w:szCs w:val="20"/>
              </w:rPr>
              <w:t>, implied_vol_call (bisection).</w:t>
            </w:r>
          </w:p>
        </w:tc>
      </w:tr>
      <w:tr w:rsidR="00792AC2" w:rsidRPr="00792AC2" w14:paraId="75AAC66F" w14:textId="77777777" w:rsidTr="00792AC2">
        <w:trPr>
          <w:jc w:val="center"/>
        </w:trPr>
        <w:tc>
          <w:tcPr>
            <w:tcW w:w="0" w:type="auto"/>
            <w:vAlign w:val="center"/>
            <w:hideMark/>
          </w:tcPr>
          <w:p w14:paraId="4CE35891" w14:textId="77777777" w:rsidR="00792AC2" w:rsidRPr="00792AC2" w:rsidRDefault="00792AC2" w:rsidP="00792AC2">
            <w:pPr>
              <w:jc w:val="center"/>
              <w:rPr>
                <w:rFonts w:eastAsia="Times New Roman" w:cs="Calibri"/>
                <w:sz w:val="20"/>
                <w:szCs w:val="20"/>
              </w:rPr>
            </w:pPr>
            <w:proofErr w:type="spellStart"/>
            <w:r w:rsidRPr="00792AC2">
              <w:rPr>
                <w:rFonts w:eastAsia="Times New Roman" w:cs="Calibri"/>
                <w:sz w:val="20"/>
                <w:szCs w:val="20"/>
              </w:rPr>
              <w:t>option.h</w:t>
            </w:r>
            <w:proofErr w:type="spellEnd"/>
          </w:p>
        </w:tc>
        <w:tc>
          <w:tcPr>
            <w:tcW w:w="0" w:type="auto"/>
            <w:vAlign w:val="center"/>
            <w:hideMark/>
          </w:tcPr>
          <w:p w14:paraId="48C982C6" w14:textId="77777777" w:rsidR="00792AC2" w:rsidRPr="00792AC2" w:rsidRDefault="00792AC2" w:rsidP="00792AC2">
            <w:pPr>
              <w:jc w:val="center"/>
              <w:rPr>
                <w:rFonts w:eastAsia="Times New Roman" w:cs="Calibri"/>
                <w:sz w:val="20"/>
                <w:szCs w:val="20"/>
              </w:rPr>
            </w:pPr>
            <w:proofErr w:type="spellStart"/>
            <w:r w:rsidRPr="00792AC2">
              <w:rPr>
                <w:rFonts w:eastAsia="Times New Roman" w:cs="Calibri"/>
                <w:sz w:val="20"/>
                <w:szCs w:val="20"/>
              </w:rPr>
              <w:t>EuropeanCall</w:t>
            </w:r>
            <w:proofErr w:type="spellEnd"/>
            <w:r w:rsidRPr="00792AC2">
              <w:rPr>
                <w:rFonts w:eastAsia="Times New Roman" w:cs="Calibri"/>
                <w:sz w:val="20"/>
                <w:szCs w:val="20"/>
              </w:rPr>
              <w:t xml:space="preserve"> class encapsulating pricing/</w:t>
            </w:r>
            <w:proofErr w:type="spellStart"/>
            <w:r w:rsidRPr="00792AC2">
              <w:rPr>
                <w:rFonts w:eastAsia="Times New Roman" w:cs="Calibri"/>
                <w:sz w:val="20"/>
                <w:szCs w:val="20"/>
              </w:rPr>
              <w:t>greeks</w:t>
            </w:r>
            <w:proofErr w:type="spellEnd"/>
            <w:r w:rsidRPr="00792AC2">
              <w:rPr>
                <w:rFonts w:eastAsia="Times New Roman" w:cs="Calibri"/>
                <w:sz w:val="20"/>
                <w:szCs w:val="20"/>
              </w:rPr>
              <w:t xml:space="preserve"> for given (K, T).</w:t>
            </w:r>
          </w:p>
        </w:tc>
      </w:tr>
      <w:tr w:rsidR="00792AC2" w:rsidRPr="00792AC2" w14:paraId="793EA45D" w14:textId="77777777" w:rsidTr="00792AC2">
        <w:trPr>
          <w:jc w:val="center"/>
        </w:trPr>
        <w:tc>
          <w:tcPr>
            <w:tcW w:w="0" w:type="auto"/>
            <w:vAlign w:val="center"/>
            <w:hideMark/>
          </w:tcPr>
          <w:p w14:paraId="338B8EBB" w14:textId="77777777" w:rsidR="00792AC2" w:rsidRPr="00792AC2" w:rsidRDefault="00792AC2" w:rsidP="00792AC2">
            <w:pPr>
              <w:jc w:val="center"/>
              <w:rPr>
                <w:rFonts w:eastAsia="Times New Roman" w:cs="Calibri"/>
                <w:sz w:val="20"/>
                <w:szCs w:val="20"/>
              </w:rPr>
            </w:pPr>
            <w:proofErr w:type="spellStart"/>
            <w:r w:rsidRPr="00792AC2">
              <w:rPr>
                <w:rFonts w:eastAsia="Times New Roman" w:cs="Calibri"/>
                <w:sz w:val="20"/>
                <w:szCs w:val="20"/>
              </w:rPr>
              <w:t>date.h</w:t>
            </w:r>
            <w:proofErr w:type="spellEnd"/>
          </w:p>
        </w:tc>
        <w:tc>
          <w:tcPr>
            <w:tcW w:w="0" w:type="auto"/>
            <w:vAlign w:val="center"/>
            <w:hideMark/>
          </w:tcPr>
          <w:p w14:paraId="0BEF5FE6" w14:textId="77777777" w:rsidR="00792AC2" w:rsidRPr="00792AC2" w:rsidRDefault="00792AC2" w:rsidP="00792AC2">
            <w:pPr>
              <w:jc w:val="center"/>
              <w:rPr>
                <w:rFonts w:eastAsia="Times New Roman" w:cs="Calibri"/>
                <w:sz w:val="20"/>
                <w:szCs w:val="20"/>
              </w:rPr>
            </w:pPr>
            <w:r w:rsidRPr="00792AC2">
              <w:rPr>
                <w:rFonts w:eastAsia="Times New Roman" w:cs="Calibri"/>
                <w:sz w:val="20"/>
                <w:szCs w:val="20"/>
              </w:rPr>
              <w:t>Business-day counting (weekends only), lightweight parsing/formatting.</w:t>
            </w:r>
          </w:p>
        </w:tc>
      </w:tr>
      <w:tr w:rsidR="00792AC2" w:rsidRPr="00792AC2" w14:paraId="5383578B" w14:textId="77777777" w:rsidTr="00792AC2">
        <w:trPr>
          <w:jc w:val="center"/>
        </w:trPr>
        <w:tc>
          <w:tcPr>
            <w:tcW w:w="0" w:type="auto"/>
            <w:vAlign w:val="center"/>
            <w:hideMark/>
          </w:tcPr>
          <w:p w14:paraId="73346B42" w14:textId="77777777" w:rsidR="00792AC2" w:rsidRPr="00792AC2" w:rsidRDefault="00792AC2" w:rsidP="00792AC2">
            <w:pPr>
              <w:jc w:val="center"/>
              <w:rPr>
                <w:rFonts w:eastAsia="Times New Roman" w:cs="Calibri"/>
                <w:sz w:val="20"/>
                <w:szCs w:val="20"/>
              </w:rPr>
            </w:pPr>
            <w:r w:rsidRPr="00792AC2">
              <w:rPr>
                <w:rFonts w:eastAsia="Times New Roman" w:cs="Calibri"/>
                <w:sz w:val="20"/>
                <w:szCs w:val="20"/>
              </w:rPr>
              <w:t>hedger.h / hedger.cpp</w:t>
            </w:r>
          </w:p>
        </w:tc>
        <w:tc>
          <w:tcPr>
            <w:tcW w:w="0" w:type="auto"/>
            <w:vAlign w:val="center"/>
            <w:hideMark/>
          </w:tcPr>
          <w:p w14:paraId="3D03BD56" w14:textId="77777777" w:rsidR="00792AC2" w:rsidRPr="00792AC2" w:rsidRDefault="00792AC2" w:rsidP="00792AC2">
            <w:pPr>
              <w:jc w:val="center"/>
              <w:rPr>
                <w:rFonts w:eastAsia="Times New Roman" w:cs="Calibri"/>
                <w:sz w:val="20"/>
                <w:szCs w:val="20"/>
              </w:rPr>
            </w:pPr>
            <w:r w:rsidRPr="00792AC2">
              <w:rPr>
                <w:rFonts w:eastAsia="Times New Roman" w:cs="Calibri"/>
                <w:sz w:val="20"/>
                <w:szCs w:val="20"/>
              </w:rPr>
              <w:t>Engines for Task 1 (simulation) and Task 2 (market hedging).</w:t>
            </w:r>
          </w:p>
        </w:tc>
      </w:tr>
      <w:tr w:rsidR="00792AC2" w:rsidRPr="00792AC2" w14:paraId="3EF8DAC0" w14:textId="77777777" w:rsidTr="00792AC2">
        <w:trPr>
          <w:jc w:val="center"/>
        </w:trPr>
        <w:tc>
          <w:tcPr>
            <w:tcW w:w="0" w:type="auto"/>
            <w:vAlign w:val="center"/>
            <w:hideMark/>
          </w:tcPr>
          <w:p w14:paraId="70C25E63" w14:textId="77777777" w:rsidR="00792AC2" w:rsidRPr="00792AC2" w:rsidRDefault="00792AC2" w:rsidP="00792AC2">
            <w:pPr>
              <w:jc w:val="center"/>
              <w:rPr>
                <w:rFonts w:eastAsia="Times New Roman" w:cs="Calibri"/>
                <w:sz w:val="20"/>
                <w:szCs w:val="20"/>
              </w:rPr>
            </w:pPr>
            <w:proofErr w:type="spellStart"/>
            <w:r w:rsidRPr="00792AC2">
              <w:rPr>
                <w:rFonts w:eastAsia="Times New Roman" w:cs="Calibri"/>
                <w:sz w:val="20"/>
                <w:szCs w:val="20"/>
              </w:rPr>
              <w:t>io.h</w:t>
            </w:r>
            <w:proofErr w:type="spellEnd"/>
            <w:r w:rsidRPr="00792AC2">
              <w:rPr>
                <w:rFonts w:eastAsia="Times New Roman" w:cs="Calibri"/>
                <w:sz w:val="20"/>
                <w:szCs w:val="20"/>
              </w:rPr>
              <w:t xml:space="preserve"> / io.cpp</w:t>
            </w:r>
          </w:p>
        </w:tc>
        <w:tc>
          <w:tcPr>
            <w:tcW w:w="0" w:type="auto"/>
            <w:vAlign w:val="center"/>
            <w:hideMark/>
          </w:tcPr>
          <w:p w14:paraId="6BABF592" w14:textId="77777777" w:rsidR="00792AC2" w:rsidRPr="00792AC2" w:rsidRDefault="00792AC2" w:rsidP="00792AC2">
            <w:pPr>
              <w:jc w:val="center"/>
              <w:rPr>
                <w:rFonts w:eastAsia="Times New Roman" w:cs="Calibri"/>
                <w:sz w:val="20"/>
                <w:szCs w:val="20"/>
              </w:rPr>
            </w:pPr>
            <w:r w:rsidRPr="00792AC2">
              <w:rPr>
                <w:rFonts w:eastAsia="Times New Roman" w:cs="Calibri"/>
                <w:sz w:val="20"/>
                <w:szCs w:val="20"/>
              </w:rPr>
              <w:t>CSV loaders for interest, stock, and option mid quotes.</w:t>
            </w:r>
          </w:p>
        </w:tc>
      </w:tr>
      <w:tr w:rsidR="00792AC2" w:rsidRPr="00792AC2" w14:paraId="075B2C6E" w14:textId="77777777" w:rsidTr="00792AC2">
        <w:trPr>
          <w:jc w:val="center"/>
        </w:trPr>
        <w:tc>
          <w:tcPr>
            <w:tcW w:w="0" w:type="auto"/>
            <w:vAlign w:val="center"/>
            <w:hideMark/>
          </w:tcPr>
          <w:p w14:paraId="6BECC333" w14:textId="77777777" w:rsidR="00792AC2" w:rsidRPr="00792AC2" w:rsidRDefault="00792AC2" w:rsidP="00792AC2">
            <w:pPr>
              <w:jc w:val="center"/>
              <w:rPr>
                <w:rFonts w:eastAsia="Times New Roman" w:cs="Calibri"/>
                <w:sz w:val="20"/>
                <w:szCs w:val="20"/>
              </w:rPr>
            </w:pPr>
            <w:r w:rsidRPr="00792AC2">
              <w:rPr>
                <w:rFonts w:eastAsia="Times New Roman" w:cs="Calibri"/>
                <w:sz w:val="20"/>
                <w:szCs w:val="20"/>
              </w:rPr>
              <w:t>main.cpp</w:t>
            </w:r>
          </w:p>
        </w:tc>
        <w:tc>
          <w:tcPr>
            <w:tcW w:w="0" w:type="auto"/>
            <w:vAlign w:val="center"/>
            <w:hideMark/>
          </w:tcPr>
          <w:p w14:paraId="7509785B" w14:textId="664CC96A" w:rsidR="00792AC2" w:rsidRPr="00792AC2" w:rsidRDefault="00D94B92" w:rsidP="00792AC2">
            <w:pPr>
              <w:jc w:val="center"/>
              <w:rPr>
                <w:rFonts w:eastAsia="Times New Roman" w:cs="Calibri"/>
                <w:sz w:val="20"/>
                <w:szCs w:val="20"/>
              </w:rPr>
            </w:pPr>
            <w:r>
              <w:rPr>
                <w:rFonts w:eastAsia="Times New Roman" w:cs="Calibri"/>
                <w:sz w:val="20"/>
                <w:szCs w:val="20"/>
              </w:rPr>
              <w:t>Main executable</w:t>
            </w:r>
            <w:r w:rsidR="00792AC2" w:rsidRPr="00792AC2">
              <w:rPr>
                <w:rFonts w:eastAsia="Times New Roman" w:cs="Calibri"/>
                <w:sz w:val="20"/>
                <w:szCs w:val="20"/>
              </w:rPr>
              <w:t xml:space="preserve"> point (mode=sim or mode=market).</w:t>
            </w:r>
          </w:p>
        </w:tc>
      </w:tr>
      <w:tr w:rsidR="00792AC2" w:rsidRPr="00792AC2" w14:paraId="1EBB1DA7" w14:textId="77777777" w:rsidTr="00792AC2">
        <w:trPr>
          <w:jc w:val="center"/>
        </w:trPr>
        <w:tc>
          <w:tcPr>
            <w:tcW w:w="0" w:type="auto"/>
            <w:vAlign w:val="center"/>
            <w:hideMark/>
          </w:tcPr>
          <w:p w14:paraId="4FC424B1" w14:textId="77777777" w:rsidR="00792AC2" w:rsidRPr="00792AC2" w:rsidRDefault="00792AC2" w:rsidP="00792AC2">
            <w:pPr>
              <w:jc w:val="center"/>
              <w:rPr>
                <w:rFonts w:eastAsia="Times New Roman" w:cs="Calibri"/>
                <w:sz w:val="20"/>
                <w:szCs w:val="20"/>
              </w:rPr>
            </w:pPr>
            <w:r w:rsidRPr="00792AC2">
              <w:rPr>
                <w:rFonts w:eastAsia="Times New Roman" w:cs="Calibri"/>
                <w:sz w:val="20"/>
                <w:szCs w:val="20"/>
              </w:rPr>
              <w:t>plot_*.py</w:t>
            </w:r>
          </w:p>
        </w:tc>
        <w:tc>
          <w:tcPr>
            <w:tcW w:w="0" w:type="auto"/>
            <w:vAlign w:val="center"/>
            <w:hideMark/>
          </w:tcPr>
          <w:p w14:paraId="32C08500" w14:textId="77777777" w:rsidR="00792AC2" w:rsidRPr="00792AC2" w:rsidRDefault="00792AC2" w:rsidP="00792AC2">
            <w:pPr>
              <w:jc w:val="center"/>
              <w:rPr>
                <w:rFonts w:eastAsia="Times New Roman" w:cs="Calibri"/>
                <w:sz w:val="20"/>
                <w:szCs w:val="20"/>
              </w:rPr>
            </w:pPr>
            <w:r w:rsidRPr="00792AC2">
              <w:rPr>
                <w:rFonts w:eastAsia="Times New Roman" w:cs="Calibri"/>
                <w:sz w:val="20"/>
                <w:szCs w:val="20"/>
              </w:rPr>
              <w:t>Plots for paths, prices, IV, delta, PNL vs hedged PNL, HE histogram.</w:t>
            </w:r>
          </w:p>
        </w:tc>
      </w:tr>
    </w:tbl>
    <w:p w14:paraId="1CDA80F1" w14:textId="22281E7C" w:rsidR="00C17227" w:rsidRPr="00BB7EBC" w:rsidRDefault="00000000" w:rsidP="00BB7EBC">
      <w:pPr>
        <w:pStyle w:val="Heading1"/>
      </w:pPr>
      <w:r w:rsidRPr="00C17227">
        <w:t>(c) Unit Tests</w:t>
      </w:r>
    </w:p>
    <w:p w14:paraId="70C86E6D" w14:textId="4A56654E" w:rsidR="00FD680A" w:rsidRPr="00C17227" w:rsidRDefault="00BB7EBC" w:rsidP="00B46B87">
      <w:pPr>
        <w:jc w:val="both"/>
        <w:rPr>
          <w:sz w:val="20"/>
          <w:szCs w:val="20"/>
        </w:rPr>
      </w:pPr>
      <w:r w:rsidRPr="00C17227">
        <w:rPr>
          <w:sz w:val="20"/>
          <w:szCs w:val="20"/>
        </w:rPr>
        <w:t>Two</w:t>
      </w:r>
      <w:r>
        <w:rPr>
          <w:sz w:val="20"/>
          <w:szCs w:val="20"/>
        </w:rPr>
        <w:t xml:space="preserve"> </w:t>
      </w:r>
      <w:r w:rsidRPr="00C17227">
        <w:rPr>
          <w:sz w:val="20"/>
          <w:szCs w:val="20"/>
        </w:rPr>
        <w:t>unit</w:t>
      </w:r>
      <w:r>
        <w:rPr>
          <w:sz w:val="20"/>
          <w:szCs w:val="20"/>
        </w:rPr>
        <w:t>-</w:t>
      </w:r>
      <w:r w:rsidRPr="00C17227">
        <w:rPr>
          <w:sz w:val="20"/>
          <w:szCs w:val="20"/>
        </w:rPr>
        <w:t xml:space="preserve">tests are implemented and </w:t>
      </w:r>
      <w:r w:rsidR="00B46B87">
        <w:rPr>
          <w:sz w:val="20"/>
          <w:szCs w:val="20"/>
        </w:rPr>
        <w:t xml:space="preserve">are </w:t>
      </w:r>
      <w:r w:rsidRPr="00C17227">
        <w:rPr>
          <w:sz w:val="20"/>
          <w:szCs w:val="20"/>
        </w:rPr>
        <w:t>reported with outcomes (pass/fail):</w:t>
      </w:r>
    </w:p>
    <w:p w14:paraId="1B375DD8" w14:textId="21BF8889" w:rsidR="00B46B87" w:rsidRPr="00B46B87" w:rsidRDefault="00B46B87" w:rsidP="00B46B87">
      <w:pPr>
        <w:jc w:val="both"/>
        <w:rPr>
          <w:sz w:val="20"/>
          <w:szCs w:val="20"/>
        </w:rPr>
      </w:pPr>
      <w:r w:rsidRPr="00B46B87">
        <w:rPr>
          <w:b/>
          <w:bCs/>
          <w:sz w:val="20"/>
          <w:szCs w:val="20"/>
        </w:rPr>
        <w:t>Implied-volatility recovery.</w:t>
      </w:r>
      <w:r w:rsidRPr="00B46B87">
        <w:rPr>
          <w:sz w:val="20"/>
          <w:szCs w:val="20"/>
        </w:rPr>
        <w:t xml:space="preserve"> We validate the IV solver by a consistency check against Black–Scholes. First, we pick a known parameter set (e.g., </w:t>
      </w:r>
      <m:oMath>
        <m:r>
          <w:rPr>
            <w:rFonts w:ascii="Cambria Math" w:hAnsi="Cambria Math"/>
            <w:sz w:val="20"/>
            <w:szCs w:val="20"/>
          </w:rPr>
          <m:t>S</m:t>
        </m:r>
        <m:r>
          <m:rPr>
            <m:sty m:val="p"/>
          </m:rPr>
          <w:rPr>
            <w:rFonts w:ascii="Cambria Math" w:hAnsi="Cambria Math"/>
            <w:sz w:val="20"/>
            <w:szCs w:val="20"/>
          </w:rPr>
          <m:t>=</m:t>
        </m:r>
        <m:r>
          <w:rPr>
            <w:rFonts w:ascii="Cambria Math" w:hAnsi="Cambria Math"/>
            <w:sz w:val="20"/>
            <w:szCs w:val="20"/>
          </w:rPr>
          <m:t>K</m:t>
        </m:r>
        <m:r>
          <m:rPr>
            <m:sty m:val="p"/>
          </m:rPr>
          <w:rPr>
            <w:rFonts w:ascii="Cambria Math" w:hAnsi="Cambria Math"/>
            <w:sz w:val="20"/>
            <w:szCs w:val="20"/>
          </w:rPr>
          <m:t>=100</m:t>
        </m:r>
      </m:oMath>
      <w:r w:rsidRPr="00B46B87">
        <w:rPr>
          <w:sz w:val="20"/>
          <w:szCs w:val="20"/>
        </w:rPr>
        <w:t xml:space="preserve">, </w:t>
      </w:r>
      <m:oMath>
        <m:r>
          <w:rPr>
            <w:rFonts w:ascii="Cambria Math" w:hAnsi="Cambria Math"/>
            <w:sz w:val="20"/>
            <w:szCs w:val="20"/>
          </w:rPr>
          <m:t>r</m:t>
        </m:r>
        <m:r>
          <m:rPr>
            <m:sty m:val="p"/>
          </m:rPr>
          <w:rPr>
            <w:rFonts w:ascii="Cambria Math" w:hAnsi="Cambria Math"/>
            <w:sz w:val="20"/>
            <w:szCs w:val="20"/>
          </w:rPr>
          <m:t>=1%</m:t>
        </m:r>
      </m:oMath>
      <w:r w:rsidRPr="00B46B87">
        <w:rPr>
          <w:sz w:val="20"/>
          <w:szCs w:val="20"/>
        </w:rPr>
        <w:t xml:space="preserve">, </w:t>
      </w:r>
      <m:oMath>
        <m:r>
          <w:rPr>
            <w:rFonts w:ascii="Cambria Math" w:hAnsi="Cambria Math"/>
            <w:sz w:val="20"/>
            <w:szCs w:val="20"/>
          </w:rPr>
          <m:t>τ</m:t>
        </m:r>
        <m:r>
          <m:rPr>
            <m:sty m:val="p"/>
          </m:rPr>
          <w:rPr>
            <w:rFonts w:ascii="Cambria Math" w:hAnsi="Cambria Math"/>
            <w:sz w:val="20"/>
            <w:szCs w:val="20"/>
          </w:rPr>
          <m:t>=0.5</m:t>
        </m:r>
      </m:oMath>
      <w:r w:rsidRPr="00B46B87">
        <w:rPr>
          <w:sz w:val="20"/>
          <w:szCs w:val="20"/>
        </w:rPr>
        <w:t xml:space="preserve">yr, </w:t>
      </w:r>
      <m:oMath>
        <m:sSup>
          <m:sSupPr>
            <m:ctrlPr>
              <w:rPr>
                <w:rFonts w:ascii="Cambria Math" w:hAnsi="Cambria Math"/>
                <w:sz w:val="20"/>
                <w:szCs w:val="20"/>
              </w:rPr>
            </m:ctrlPr>
          </m:sSupPr>
          <m:e>
            <m:r>
              <w:rPr>
                <w:rFonts w:ascii="Cambria Math" w:hAnsi="Cambria Math"/>
                <w:sz w:val="20"/>
                <w:szCs w:val="20"/>
              </w:rPr>
              <m:t>σ</m:t>
            </m:r>
          </m:e>
          <m:sup>
            <m:r>
              <m:rPr>
                <m:nor/>
              </m:rPr>
              <w:rPr>
                <w:sz w:val="20"/>
                <w:szCs w:val="20"/>
              </w:rPr>
              <m:t>*</m:t>
            </m:r>
          </m:sup>
        </m:sSup>
        <m:r>
          <m:rPr>
            <m:sty m:val="p"/>
          </m:rPr>
          <w:rPr>
            <w:rFonts w:ascii="Cambria Math" w:hAnsi="Cambria Math"/>
            <w:sz w:val="20"/>
            <w:szCs w:val="20"/>
          </w:rPr>
          <m:t>=0.20</m:t>
        </m:r>
      </m:oMath>
      <w:r w:rsidRPr="00B46B87">
        <w:rPr>
          <w:sz w:val="20"/>
          <w:szCs w:val="20"/>
        </w:rPr>
        <w:t xml:space="preserve">) and compute the call price </w:t>
      </w:r>
      <m:oMath>
        <m:sSup>
          <m:sSupPr>
            <m:ctrlPr>
              <w:rPr>
                <w:rFonts w:ascii="Cambria Math" w:hAnsi="Cambria Math"/>
                <w:sz w:val="20"/>
                <w:szCs w:val="20"/>
              </w:rPr>
            </m:ctrlPr>
          </m:sSupPr>
          <m:e>
            <m:r>
              <w:rPr>
                <w:rFonts w:ascii="Cambria Math" w:hAnsi="Cambria Math"/>
                <w:sz w:val="20"/>
                <w:szCs w:val="20"/>
              </w:rPr>
              <m:t>C</m:t>
            </m:r>
          </m:e>
          <m:sup>
            <m:r>
              <m:rPr>
                <m:nor/>
              </m:rPr>
              <w:rPr>
                <w:sz w:val="20"/>
                <w:szCs w:val="20"/>
              </w:rPr>
              <m:t>*</m:t>
            </m:r>
          </m:sup>
        </m:sSup>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C</m:t>
            </m:r>
          </m:e>
          <m:sub>
            <m:r>
              <m:rPr>
                <m:nor/>
              </m:rPr>
              <w:rPr>
                <w:sz w:val="20"/>
                <w:szCs w:val="20"/>
              </w:rPr>
              <m:t>BS</m:t>
            </m:r>
          </m:sub>
        </m:sSub>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r>
          <w:rPr>
            <w:rFonts w:ascii="Cambria Math" w:hAnsi="Cambria Math"/>
            <w:sz w:val="20"/>
            <w:szCs w:val="20"/>
          </w:rPr>
          <m:t>K</m:t>
        </m:r>
        <m:r>
          <m:rPr>
            <m:sty m:val="p"/>
          </m:rPr>
          <w:rPr>
            <w:rFonts w:ascii="Cambria Math" w:hAnsi="Cambria Math"/>
            <w:sz w:val="20"/>
            <w:szCs w:val="20"/>
          </w:rPr>
          <m:t>,</m:t>
        </m:r>
        <m:r>
          <w:rPr>
            <w:rFonts w:ascii="Cambria Math" w:hAnsi="Cambria Math"/>
            <w:sz w:val="20"/>
            <w:szCs w:val="20"/>
          </w:rPr>
          <m:t>r</m:t>
        </m:r>
        <m:r>
          <m:rPr>
            <m:sty m:val="p"/>
          </m:rP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σ</m:t>
            </m:r>
          </m:e>
          <m:sup>
            <m:r>
              <m:rPr>
                <m:nor/>
              </m:rPr>
              <w:rPr>
                <w:sz w:val="20"/>
                <w:szCs w:val="20"/>
              </w:rPr>
              <m:t>*</m:t>
            </m:r>
          </m:sup>
        </m:sSup>
        <m:r>
          <m:rPr>
            <m:sty m:val="p"/>
          </m:rPr>
          <w:rPr>
            <w:rFonts w:ascii="Cambria Math" w:hAnsi="Cambria Math"/>
            <w:sz w:val="20"/>
            <w:szCs w:val="20"/>
          </w:rPr>
          <m:t>,</m:t>
        </m:r>
        <m:r>
          <w:rPr>
            <w:rFonts w:ascii="Cambria Math" w:hAnsi="Cambria Math"/>
            <w:sz w:val="20"/>
            <w:szCs w:val="20"/>
          </w:rPr>
          <m:t>τ</m:t>
        </m:r>
        <m:r>
          <m:rPr>
            <m:sty m:val="p"/>
          </m:rPr>
          <w:rPr>
            <w:rFonts w:ascii="Cambria Math" w:hAnsi="Cambria Math"/>
            <w:sz w:val="20"/>
            <w:szCs w:val="20"/>
          </w:rPr>
          <m:t>)</m:t>
        </m:r>
      </m:oMath>
      <w:r w:rsidRPr="00B46B87">
        <w:rPr>
          <w:sz w:val="20"/>
          <w:szCs w:val="20"/>
        </w:rPr>
        <w:t xml:space="preserve">. We then run the IV routine on </w:t>
      </w:r>
      <m:oMath>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r>
          <w:rPr>
            <w:rFonts w:ascii="Cambria Math" w:hAnsi="Cambria Math"/>
            <w:sz w:val="20"/>
            <w:szCs w:val="20"/>
          </w:rPr>
          <m:t>K</m:t>
        </m:r>
        <m:r>
          <m:rPr>
            <m:sty m:val="p"/>
          </m:rPr>
          <w:rPr>
            <w:rFonts w:ascii="Cambria Math" w:hAnsi="Cambria Math"/>
            <w:sz w:val="20"/>
            <w:szCs w:val="20"/>
          </w:rPr>
          <m:t>,</m:t>
        </m:r>
        <m:r>
          <w:rPr>
            <w:rFonts w:ascii="Cambria Math" w:hAnsi="Cambria Math"/>
            <w:sz w:val="20"/>
            <w:szCs w:val="20"/>
          </w:rPr>
          <m:t>r</m:t>
        </m:r>
        <m:r>
          <m:rPr>
            <m:sty m:val="p"/>
          </m:rPr>
          <w:rPr>
            <w:rFonts w:ascii="Cambria Math" w:hAnsi="Cambria Math"/>
            <w:sz w:val="20"/>
            <w:szCs w:val="20"/>
          </w:rPr>
          <m:t>,</m:t>
        </m:r>
        <m:r>
          <w:rPr>
            <w:rFonts w:ascii="Cambria Math" w:hAnsi="Cambria Math"/>
            <w:sz w:val="20"/>
            <w:szCs w:val="20"/>
          </w:rPr>
          <m:t>τ</m:t>
        </m:r>
        <m:r>
          <m:rPr>
            <m:sty m:val="p"/>
          </m:rP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C</m:t>
            </m:r>
          </m:e>
          <m:sup>
            <m:r>
              <m:rPr>
                <m:nor/>
              </m:rPr>
              <w:rPr>
                <w:sz w:val="20"/>
                <w:szCs w:val="20"/>
              </w:rPr>
              <m:t>*</m:t>
            </m:r>
          </m:sup>
        </m:sSup>
        <m:r>
          <m:rPr>
            <m:sty m:val="p"/>
          </m:rPr>
          <w:rPr>
            <w:rFonts w:ascii="Cambria Math" w:hAnsi="Cambria Math"/>
            <w:sz w:val="20"/>
            <w:szCs w:val="20"/>
          </w:rPr>
          <m:t>)</m:t>
        </m:r>
      </m:oMath>
      <w:r w:rsidRPr="00B46B87">
        <w:rPr>
          <w:sz w:val="20"/>
          <w:szCs w:val="20"/>
        </w:rPr>
        <w:t xml:space="preserve">and assert that the recovered volatility </w:t>
      </w:r>
      <m:oMath>
        <m:acc>
          <m:accPr>
            <m:ctrlPr>
              <w:rPr>
                <w:rFonts w:ascii="Cambria Math" w:hAnsi="Cambria Math"/>
                <w:sz w:val="20"/>
                <w:szCs w:val="20"/>
              </w:rPr>
            </m:ctrlPr>
          </m:accPr>
          <m:e>
            <m:r>
              <w:rPr>
                <w:rFonts w:ascii="Cambria Math" w:hAnsi="Cambria Math"/>
                <w:sz w:val="20"/>
                <w:szCs w:val="20"/>
              </w:rPr>
              <m:t>σ</m:t>
            </m:r>
          </m:e>
        </m:acc>
      </m:oMath>
      <w:r>
        <w:rPr>
          <w:sz w:val="20"/>
          <w:szCs w:val="20"/>
        </w:rPr>
        <w:t xml:space="preserve"> </w:t>
      </w:r>
      <w:r w:rsidRPr="00B46B87">
        <w:rPr>
          <w:sz w:val="20"/>
          <w:szCs w:val="20"/>
        </w:rPr>
        <w:t xml:space="preserve">matches </w:t>
      </w:r>
      <m:oMath>
        <m:sSup>
          <m:sSupPr>
            <m:ctrlPr>
              <w:rPr>
                <w:rFonts w:ascii="Cambria Math" w:hAnsi="Cambria Math"/>
                <w:sz w:val="20"/>
                <w:szCs w:val="20"/>
              </w:rPr>
            </m:ctrlPr>
          </m:sSupPr>
          <m:e>
            <m:r>
              <w:rPr>
                <w:rFonts w:ascii="Cambria Math" w:hAnsi="Cambria Math"/>
                <w:sz w:val="20"/>
                <w:szCs w:val="20"/>
              </w:rPr>
              <m:t>σ</m:t>
            </m:r>
          </m:e>
          <m:sup>
            <m:r>
              <m:rPr>
                <m:nor/>
              </m:rPr>
              <w:rPr>
                <w:sz w:val="20"/>
                <w:szCs w:val="20"/>
              </w:rPr>
              <m:t>*</m:t>
            </m:r>
          </m:sup>
        </m:sSup>
      </m:oMath>
      <w:r w:rsidRPr="00B46B87">
        <w:rPr>
          <w:sz w:val="20"/>
          <w:szCs w:val="20"/>
        </w:rPr>
        <w:t xml:space="preserve">within a tight tolerance (e.g., </w:t>
      </w:r>
      <m:oMath>
        <m:sSup>
          <m:sSupPr>
            <m:ctrlPr>
              <w:rPr>
                <w:rFonts w:ascii="Cambria Math" w:hAnsi="Cambria Math"/>
                <w:sz w:val="20"/>
                <w:szCs w:val="20"/>
              </w:rPr>
            </m:ctrlPr>
          </m:sSupPr>
          <m:e>
            <m:r>
              <m:rPr>
                <m:sty m:val="p"/>
              </m:rPr>
              <w:rPr>
                <w:rFonts w:ascii="Cambria Math" w:hAnsi="Cambria Math"/>
                <w:sz w:val="20"/>
                <w:szCs w:val="20"/>
              </w:rPr>
              <m:t>10</m:t>
            </m:r>
          </m:e>
          <m:sup>
            <m:r>
              <m:rPr>
                <m:sty m:val="p"/>
              </m:rPr>
              <w:rPr>
                <w:rFonts w:ascii="Cambria Math" w:hAnsi="Cambria Math"/>
                <w:sz w:val="20"/>
                <w:szCs w:val="20"/>
              </w:rPr>
              <m:t>-4</m:t>
            </m:r>
          </m:sup>
        </m:sSup>
      </m:oMath>
      <w:r w:rsidRPr="00B46B87">
        <w:rPr>
          <w:sz w:val="20"/>
          <w:szCs w:val="20"/>
        </w:rPr>
        <w:t xml:space="preserve">). It would fail if prices were miscomputed, if the solver didn’t properly bracket the root, or if tolerances were too loose/tight. </w:t>
      </w:r>
    </w:p>
    <w:p w14:paraId="14AB51F1" w14:textId="002C5CDB" w:rsidR="00BB7EBC" w:rsidRPr="00B46B87" w:rsidRDefault="00B46B87" w:rsidP="00B46B87">
      <w:pPr>
        <w:jc w:val="both"/>
      </w:pPr>
      <w:r w:rsidRPr="00B46B87">
        <w:rPr>
          <w:b/>
          <w:bCs/>
          <w:sz w:val="20"/>
          <w:szCs w:val="20"/>
        </w:rPr>
        <w:t>Delta correctness (edge cases + numeric cross-check).</w:t>
      </w:r>
      <w:r w:rsidRPr="00B46B87">
        <w:rPr>
          <w:sz w:val="20"/>
          <w:szCs w:val="20"/>
        </w:rPr>
        <w:t xml:space="preserve"> We confirm the analytic delta </w:t>
      </w:r>
      <m:oMath>
        <m:r>
          <m:rPr>
            <m:sty m:val="p"/>
          </m:rPr>
          <w:rPr>
            <w:rFonts w:ascii="Cambria Math" w:hAnsi="Cambria Math"/>
            <w:sz w:val="20"/>
            <w:szCs w:val="20"/>
          </w:rPr>
          <m:t>Δ=</m:t>
        </m:r>
        <m:r>
          <w:rPr>
            <w:rFonts w:ascii="Cambria Math" w:hAnsi="Cambria Math"/>
            <w:sz w:val="20"/>
            <w:szCs w:val="20"/>
          </w:rPr>
          <m:t>N</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m:rPr>
                <m:sty m:val="p"/>
              </m:rPr>
              <w:rPr>
                <w:rFonts w:ascii="Cambria Math" w:hAnsi="Cambria Math"/>
                <w:sz w:val="20"/>
                <w:szCs w:val="20"/>
              </w:rPr>
              <m:t>1</m:t>
            </m:r>
          </m:sub>
        </m:sSub>
        <m:r>
          <m:rPr>
            <m:sty m:val="p"/>
          </m:rPr>
          <w:rPr>
            <w:rFonts w:ascii="Cambria Math" w:hAnsi="Cambria Math"/>
            <w:sz w:val="20"/>
            <w:szCs w:val="20"/>
          </w:rPr>
          <m:t>)</m:t>
        </m:r>
      </m:oMath>
      <w:r>
        <w:rPr>
          <w:sz w:val="20"/>
          <w:szCs w:val="20"/>
        </w:rPr>
        <w:t xml:space="preserve"> </w:t>
      </w:r>
      <w:r w:rsidRPr="00B46B87">
        <w:rPr>
          <w:sz w:val="20"/>
          <w:szCs w:val="20"/>
        </w:rPr>
        <w:t xml:space="preserve">behaves correctly in limiting regimes: for a deep-ITM call (e.g., </w:t>
      </w:r>
      <m:oMath>
        <m:r>
          <w:rPr>
            <w:rFonts w:ascii="Cambria Math" w:hAnsi="Cambria Math"/>
            <w:sz w:val="20"/>
            <w:szCs w:val="20"/>
          </w:rPr>
          <m:t>S</m:t>
        </m:r>
        <m:r>
          <m:rPr>
            <m:sty m:val="p"/>
          </m:rPr>
          <w:rPr>
            <w:rFonts w:ascii="Cambria Math" w:hAnsi="Cambria Math"/>
            <w:sz w:val="20"/>
            <w:szCs w:val="20"/>
          </w:rPr>
          <m:t>=200,</m:t>
        </m:r>
        <m:r>
          <w:rPr>
            <w:rFonts w:ascii="Cambria Math" w:hAnsi="Cambria Math"/>
            <w:sz w:val="20"/>
            <w:szCs w:val="20"/>
          </w:rPr>
          <m:t>K</m:t>
        </m:r>
        <m:r>
          <m:rPr>
            <m:sty m:val="p"/>
          </m:rPr>
          <w:rPr>
            <w:rFonts w:ascii="Cambria Math" w:hAnsi="Cambria Math"/>
            <w:sz w:val="20"/>
            <w:szCs w:val="20"/>
          </w:rPr>
          <m:t>=100</m:t>
        </m:r>
      </m:oMath>
      <w:r w:rsidRPr="00B46B87">
        <w:rPr>
          <w:sz w:val="20"/>
          <w:szCs w:val="20"/>
        </w:rPr>
        <w:t xml:space="preserve">) </w:t>
      </w:r>
      <m:oMath>
        <m:r>
          <m:rPr>
            <m:sty m:val="p"/>
          </m:rPr>
          <w:rPr>
            <w:rFonts w:ascii="Cambria Math" w:hAnsi="Cambria Math"/>
            <w:sz w:val="20"/>
            <w:szCs w:val="20"/>
          </w:rPr>
          <m:t>Δ</m:t>
        </m:r>
      </m:oMath>
      <w:r w:rsidRPr="00B46B87">
        <w:rPr>
          <w:sz w:val="20"/>
          <w:szCs w:val="20"/>
        </w:rPr>
        <w:t xml:space="preserve">should be near 1, and for a deep-OTM call (e.g., </w:t>
      </w:r>
      <m:oMath>
        <m:r>
          <w:rPr>
            <w:rFonts w:ascii="Cambria Math" w:hAnsi="Cambria Math"/>
            <w:sz w:val="20"/>
            <w:szCs w:val="20"/>
          </w:rPr>
          <m:t>S</m:t>
        </m:r>
        <m:r>
          <m:rPr>
            <m:sty m:val="p"/>
          </m:rPr>
          <w:rPr>
            <w:rFonts w:ascii="Cambria Math" w:hAnsi="Cambria Math"/>
            <w:sz w:val="20"/>
            <w:szCs w:val="20"/>
          </w:rPr>
          <m:t>=50,</m:t>
        </m:r>
        <m:r>
          <w:rPr>
            <w:rFonts w:ascii="Cambria Math" w:hAnsi="Cambria Math"/>
            <w:sz w:val="20"/>
            <w:szCs w:val="20"/>
          </w:rPr>
          <m:t>K</m:t>
        </m:r>
        <m:r>
          <m:rPr>
            <m:sty m:val="p"/>
          </m:rPr>
          <w:rPr>
            <w:rFonts w:ascii="Cambria Math" w:hAnsi="Cambria Math"/>
            <w:sz w:val="20"/>
            <w:szCs w:val="20"/>
          </w:rPr>
          <m:t>=100</m:t>
        </m:r>
      </m:oMath>
      <w:r w:rsidRPr="00B46B87">
        <w:rPr>
          <w:sz w:val="20"/>
          <w:szCs w:val="20"/>
        </w:rPr>
        <w:t xml:space="preserve">) </w:t>
      </w:r>
      <m:oMath>
        <m:r>
          <m:rPr>
            <m:sty m:val="p"/>
          </m:rPr>
          <w:rPr>
            <w:rFonts w:ascii="Cambria Math" w:hAnsi="Cambria Math"/>
            <w:sz w:val="20"/>
            <w:szCs w:val="20"/>
          </w:rPr>
          <m:t>Δ</m:t>
        </m:r>
      </m:oMath>
      <w:r w:rsidRPr="00B46B87">
        <w:rPr>
          <w:sz w:val="20"/>
          <w:szCs w:val="20"/>
        </w:rPr>
        <w:t xml:space="preserve">should be near 0; we assert thresholds like </w:t>
      </w:r>
      <m:oMath>
        <m:sSub>
          <m:sSubPr>
            <m:ctrlPr>
              <w:rPr>
                <w:rFonts w:ascii="Cambria Math" w:hAnsi="Cambria Math"/>
                <w:sz w:val="20"/>
                <w:szCs w:val="20"/>
              </w:rPr>
            </m:ctrlPr>
          </m:sSubPr>
          <m:e>
            <m:r>
              <m:rPr>
                <m:sty m:val="p"/>
              </m:rPr>
              <w:rPr>
                <w:rFonts w:ascii="Cambria Math" w:hAnsi="Cambria Math"/>
                <w:sz w:val="20"/>
                <w:szCs w:val="20"/>
              </w:rPr>
              <m:t>Δ</m:t>
            </m:r>
          </m:e>
          <m:sub>
            <m:r>
              <m:rPr>
                <m:nor/>
              </m:rPr>
              <w:rPr>
                <w:sz w:val="20"/>
                <w:szCs w:val="20"/>
              </w:rPr>
              <m:t>ITM</m:t>
            </m:r>
          </m:sub>
        </m:sSub>
        <m:r>
          <m:rPr>
            <m:sty m:val="p"/>
          </m:rPr>
          <w:rPr>
            <w:rFonts w:ascii="Cambria Math" w:hAnsi="Cambria Math"/>
            <w:sz w:val="20"/>
            <w:szCs w:val="20"/>
          </w:rPr>
          <m:t>&gt;0.99</m:t>
        </m:r>
      </m:oMath>
      <w:r w:rsidRPr="00B46B87">
        <w:rPr>
          <w:sz w:val="20"/>
          <w:szCs w:val="20"/>
        </w:rPr>
        <w:t xml:space="preserve">and </w:t>
      </w:r>
      <m:oMath>
        <m:sSub>
          <m:sSubPr>
            <m:ctrlPr>
              <w:rPr>
                <w:rFonts w:ascii="Cambria Math" w:hAnsi="Cambria Math"/>
                <w:sz w:val="20"/>
                <w:szCs w:val="20"/>
              </w:rPr>
            </m:ctrlPr>
          </m:sSubPr>
          <m:e>
            <m:r>
              <m:rPr>
                <m:sty m:val="p"/>
              </m:rPr>
              <w:rPr>
                <w:rFonts w:ascii="Cambria Math" w:hAnsi="Cambria Math"/>
                <w:sz w:val="20"/>
                <w:szCs w:val="20"/>
              </w:rPr>
              <m:t>Δ</m:t>
            </m:r>
          </m:e>
          <m:sub>
            <m:r>
              <m:rPr>
                <m:nor/>
              </m:rPr>
              <w:rPr>
                <w:sz w:val="20"/>
                <w:szCs w:val="20"/>
              </w:rPr>
              <m:t>OTM</m:t>
            </m:r>
          </m:sub>
        </m:sSub>
        <m:r>
          <m:rPr>
            <m:sty m:val="p"/>
          </m:rPr>
          <w:rPr>
            <w:rFonts w:ascii="Cambria Math" w:hAnsi="Cambria Math"/>
            <w:sz w:val="20"/>
            <w:szCs w:val="20"/>
          </w:rPr>
          <m:t>&lt;0.01</m:t>
        </m:r>
      </m:oMath>
      <w:r w:rsidRPr="00B46B87">
        <w:rPr>
          <w:sz w:val="20"/>
          <w:szCs w:val="20"/>
        </w:rPr>
        <w:t xml:space="preserve">. This catches sign/scale errors in </w:t>
      </w:r>
      <m:oMath>
        <m:sSub>
          <m:sSubPr>
            <m:ctrlPr>
              <w:rPr>
                <w:rFonts w:ascii="Cambria Math" w:hAnsi="Cambria Math"/>
                <w:sz w:val="20"/>
                <w:szCs w:val="20"/>
              </w:rPr>
            </m:ctrlPr>
          </m:sSubPr>
          <m:e>
            <m:r>
              <w:rPr>
                <w:rFonts w:ascii="Cambria Math" w:hAnsi="Cambria Math"/>
                <w:sz w:val="20"/>
                <w:szCs w:val="20"/>
              </w:rPr>
              <m:t>d</m:t>
            </m:r>
          </m:e>
          <m:sub>
            <m:r>
              <m:rPr>
                <m:sty m:val="p"/>
              </m:rPr>
              <w:rPr>
                <w:rFonts w:ascii="Cambria Math" w:hAnsi="Cambria Math"/>
                <w:sz w:val="20"/>
                <w:szCs w:val="20"/>
              </w:rPr>
              <m:t>1</m:t>
            </m:r>
          </m:sub>
        </m:sSub>
      </m:oMath>
      <w:r w:rsidRPr="00B46B87">
        <w:rPr>
          <w:sz w:val="20"/>
          <w:szCs w:val="20"/>
        </w:rPr>
        <w:t xml:space="preserve">, misuse of time units (days vs years), or an incorrect normal CDF. As a stronger numerical check, we compare the analytic delta to a symmetric finite-difference estimate </w:t>
      </w:r>
      <m:oMath>
        <m:sSub>
          <m:sSubPr>
            <m:ctrlPr>
              <w:rPr>
                <w:rFonts w:ascii="Cambria Math" w:hAnsi="Cambria Math"/>
                <w:sz w:val="20"/>
                <w:szCs w:val="20"/>
              </w:rPr>
            </m:ctrlPr>
          </m:sSubPr>
          <m:e>
            <m:r>
              <m:rPr>
                <m:sty m:val="p"/>
              </m:rPr>
              <w:rPr>
                <w:rFonts w:ascii="Cambria Math" w:hAnsi="Cambria Math"/>
                <w:sz w:val="20"/>
                <w:szCs w:val="20"/>
              </w:rPr>
              <m:t>Δ</m:t>
            </m:r>
          </m:e>
          <m:sub>
            <m:r>
              <m:rPr>
                <m:nor/>
              </m:rPr>
              <w:rPr>
                <w:sz w:val="20"/>
                <w:szCs w:val="20"/>
              </w:rPr>
              <m:t>FD</m:t>
            </m:r>
          </m:sub>
        </m:sSub>
        <m:r>
          <m:rPr>
            <m:sty m:val="p"/>
          </m:rPr>
          <w:rPr>
            <w:rFonts w:ascii="Cambria Math" w:hAnsi="Cambria Math"/>
            <w:sz w:val="20"/>
            <w:szCs w:val="20"/>
          </w:rPr>
          <m:t>=[</m:t>
        </m:r>
        <m:r>
          <w:rPr>
            <w:rFonts w:ascii="Cambria Math" w:hAnsi="Cambria Math"/>
            <w:sz w:val="20"/>
            <w:szCs w:val="20"/>
          </w:rPr>
          <m:t>C</m:t>
        </m:r>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r>
          <w:rPr>
            <w:rFonts w:ascii="Cambria Math" w:hAnsi="Cambria Math"/>
            <w:sz w:val="20"/>
            <w:szCs w:val="20"/>
          </w:rPr>
          <m:t>ε</m:t>
        </m:r>
        <m:r>
          <m:rPr>
            <m:sty m:val="p"/>
          </m:rPr>
          <w:rPr>
            <w:rFonts w:ascii="Cambria Math" w:hAnsi="Cambria Math"/>
            <w:sz w:val="20"/>
            <w:szCs w:val="20"/>
          </w:rPr>
          <m:t>)-</m:t>
        </m:r>
        <m:r>
          <w:rPr>
            <w:rFonts w:ascii="Cambria Math" w:hAnsi="Cambria Math"/>
            <w:sz w:val="20"/>
            <w:szCs w:val="20"/>
          </w:rPr>
          <m:t>C</m:t>
        </m:r>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r>
          <w:rPr>
            <w:rFonts w:ascii="Cambria Math" w:hAnsi="Cambria Math"/>
            <w:sz w:val="20"/>
            <w:szCs w:val="20"/>
          </w:rPr>
          <m:t>ε</m:t>
        </m:r>
        <m:r>
          <m:rPr>
            <m:sty m:val="p"/>
          </m:rPr>
          <w:rPr>
            <w:rFonts w:ascii="Cambria Math" w:hAnsi="Cambria Math"/>
            <w:sz w:val="20"/>
            <w:szCs w:val="20"/>
          </w:rPr>
          <m:t>)]/(2</m:t>
        </m:r>
        <m:r>
          <w:rPr>
            <w:rFonts w:ascii="Cambria Math" w:hAnsi="Cambria Math"/>
            <w:sz w:val="20"/>
            <w:szCs w:val="20"/>
          </w:rPr>
          <m:t>ε</m:t>
        </m:r>
        <m:r>
          <m:rPr>
            <m:sty m:val="p"/>
          </m:rPr>
          <w:rPr>
            <w:rFonts w:ascii="Cambria Math" w:hAnsi="Cambria Math"/>
            <w:sz w:val="20"/>
            <w:szCs w:val="20"/>
          </w:rPr>
          <m:t>)</m:t>
        </m:r>
      </m:oMath>
      <w:r>
        <w:rPr>
          <w:sz w:val="20"/>
          <w:szCs w:val="20"/>
        </w:rPr>
        <w:t xml:space="preserve"> </w:t>
      </w:r>
      <w:r w:rsidRPr="00B46B87">
        <w:rPr>
          <w:sz w:val="20"/>
          <w:szCs w:val="20"/>
        </w:rPr>
        <w:t xml:space="preserve">using the same BS pricer and require close agreement (e.g., error </w:t>
      </w:r>
      <m:oMath>
        <m:r>
          <m:rPr>
            <m:sty m:val="p"/>
          </m:rPr>
          <w:rPr>
            <w:rFonts w:ascii="Cambria Math" w:hAnsi="Cambria Math"/>
            <w:sz w:val="20"/>
            <w:szCs w:val="20"/>
          </w:rPr>
          <m:t>&lt;</m:t>
        </m:r>
        <m:sSup>
          <m:sSupPr>
            <m:ctrlPr>
              <w:rPr>
                <w:rFonts w:ascii="Cambria Math" w:hAnsi="Cambria Math"/>
                <w:sz w:val="20"/>
                <w:szCs w:val="20"/>
              </w:rPr>
            </m:ctrlPr>
          </m:sSupPr>
          <m:e>
            <m:r>
              <m:rPr>
                <m:sty m:val="p"/>
              </m:rPr>
              <w:rPr>
                <w:rFonts w:ascii="Cambria Math" w:hAnsi="Cambria Math"/>
                <w:sz w:val="20"/>
                <w:szCs w:val="20"/>
              </w:rPr>
              <m:t>10</m:t>
            </m:r>
          </m:e>
          <m:sup>
            <m:r>
              <m:rPr>
                <m:sty m:val="p"/>
              </m:rPr>
              <w:rPr>
                <w:rFonts w:ascii="Cambria Math" w:hAnsi="Cambria Math"/>
                <w:sz w:val="20"/>
                <w:szCs w:val="20"/>
              </w:rPr>
              <m:t>-4</m:t>
            </m:r>
          </m:sup>
        </m:sSup>
      </m:oMath>
      <w:r w:rsidRPr="00B46B87">
        <w:rPr>
          <w:sz w:val="20"/>
          <w:szCs w:val="20"/>
        </w:rPr>
        <w:t xml:space="preserve">). Passing these tests gives confidence that the daily pipeline in Task 2 (IV → </w:t>
      </w:r>
      <m:oMath>
        <m:r>
          <m:rPr>
            <m:sty m:val="p"/>
          </m:rPr>
          <w:rPr>
            <w:rFonts w:ascii="Cambria Math" w:hAnsi="Cambria Math"/>
            <w:sz w:val="20"/>
            <w:szCs w:val="20"/>
          </w:rPr>
          <m:t>Δ</m:t>
        </m:r>
      </m:oMath>
      <w:r w:rsidRPr="00B46B87">
        <w:rPr>
          <w:sz w:val="20"/>
          <w:szCs w:val="20"/>
        </w:rPr>
        <w:t>→ rebalance) rests on correct building blocks; remaining discrepancies in hedged PnL are then attributable to model limits (discrete hedging, IV vs realized vol) rather than implementation bugs</w:t>
      </w:r>
      <w:r>
        <w:t>.</w:t>
      </w:r>
    </w:p>
    <w:p w14:paraId="6E0A3020" w14:textId="77777777" w:rsidR="00FD680A" w:rsidRPr="00C17227" w:rsidRDefault="00000000" w:rsidP="00C17227">
      <w:pPr>
        <w:pStyle w:val="Heading1"/>
      </w:pPr>
      <w:r w:rsidRPr="00C17227">
        <w:t>(d) Results, Analysis, Plots, and Conclusions</w:t>
      </w:r>
    </w:p>
    <w:p w14:paraId="4DBDC6D9" w14:textId="77777777" w:rsidR="00BB7EBC" w:rsidRDefault="00BB7EBC" w:rsidP="00BB7EBC">
      <w:pPr>
        <w:rPr>
          <w:sz w:val="20"/>
          <w:szCs w:val="20"/>
        </w:rPr>
      </w:pPr>
    </w:p>
    <w:p w14:paraId="4455EA4E" w14:textId="439F0CCD" w:rsidR="00C17227" w:rsidRPr="00792AC2" w:rsidRDefault="00000000" w:rsidP="00792AC2">
      <w:pPr>
        <w:rPr>
          <w:sz w:val="20"/>
          <w:szCs w:val="20"/>
        </w:rPr>
      </w:pPr>
      <w:r w:rsidRPr="00693A1F">
        <w:rPr>
          <w:b/>
          <w:bCs/>
          <w:sz w:val="20"/>
          <w:szCs w:val="20"/>
        </w:rPr>
        <w:t>Task 1</w:t>
      </w:r>
      <w:r w:rsidRPr="00BB7EBC">
        <w:rPr>
          <w:sz w:val="20"/>
          <w:szCs w:val="20"/>
        </w:rPr>
        <w:t xml:space="preserve"> – All simulated stock paths and option prices</w:t>
      </w:r>
      <w:r w:rsidR="00792AC2">
        <w:rPr>
          <w:sz w:val="20"/>
          <w:szCs w:val="20"/>
        </w:rPr>
        <w:t xml:space="preserve"> and Hedging Error</w:t>
      </w:r>
    </w:p>
    <w:p w14:paraId="52E08BE0" w14:textId="40D74E79" w:rsidR="00C17227" w:rsidRPr="00693A1F" w:rsidRDefault="00C17227" w:rsidP="00693A1F">
      <w:pPr>
        <w:pStyle w:val="ListParagraph"/>
        <w:jc w:val="center"/>
        <w:rPr>
          <w:sz w:val="20"/>
          <w:szCs w:val="20"/>
        </w:rPr>
      </w:pPr>
      <w:r>
        <w:rPr>
          <w:noProof/>
          <w:sz w:val="20"/>
          <w:szCs w:val="20"/>
        </w:rPr>
        <w:drawing>
          <wp:inline distT="0" distB="0" distL="0" distR="0" wp14:anchorId="190C107C" wp14:editId="15BC3F19">
            <wp:extent cx="2438400" cy="1828800"/>
            <wp:effectExtent l="0" t="0" r="0" b="0"/>
            <wp:docPr id="1780601519" name="Picture 1" descr="A graph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01519" name="Picture 1" descr="A graph of colored lines&#10;&#10;AI-generated content may be incorrect."/>
                    <pic:cNvPicPr/>
                  </pic:nvPicPr>
                  <pic:blipFill>
                    <a:blip r:embed="rId8"/>
                    <a:stretch>
                      <a:fillRect/>
                    </a:stretch>
                  </pic:blipFill>
                  <pic:spPr>
                    <a:xfrm>
                      <a:off x="0" y="0"/>
                      <a:ext cx="2438400" cy="1828800"/>
                    </a:xfrm>
                    <a:prstGeom prst="rect">
                      <a:avLst/>
                    </a:prstGeom>
                  </pic:spPr>
                </pic:pic>
              </a:graphicData>
            </a:graphic>
          </wp:inline>
        </w:drawing>
      </w:r>
      <w:r>
        <w:rPr>
          <w:noProof/>
          <w:sz w:val="20"/>
          <w:szCs w:val="20"/>
        </w:rPr>
        <w:drawing>
          <wp:inline distT="0" distB="0" distL="0" distR="0" wp14:anchorId="0B9FD114" wp14:editId="14D7ACB1">
            <wp:extent cx="2438400" cy="1828800"/>
            <wp:effectExtent l="0" t="0" r="0" b="0"/>
            <wp:docPr id="865925578"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25578" name="Picture 2" descr="A graph of different colored lines&#10;&#10;AI-generated content may be incorrect."/>
                    <pic:cNvPicPr/>
                  </pic:nvPicPr>
                  <pic:blipFill>
                    <a:blip r:embed="rId9"/>
                    <a:stretch>
                      <a:fillRect/>
                    </a:stretch>
                  </pic:blipFill>
                  <pic:spPr>
                    <a:xfrm>
                      <a:off x="0" y="0"/>
                      <a:ext cx="2438400" cy="1828800"/>
                    </a:xfrm>
                    <a:prstGeom prst="rect">
                      <a:avLst/>
                    </a:prstGeom>
                  </pic:spPr>
                </pic:pic>
              </a:graphicData>
            </a:graphic>
          </wp:inline>
        </w:drawing>
      </w:r>
    </w:p>
    <w:p w14:paraId="29F4A2F5" w14:textId="4368C713" w:rsidR="00792AC2" w:rsidRPr="00792AC2" w:rsidRDefault="00BB7EBC" w:rsidP="00792AC2">
      <w:pPr>
        <w:pStyle w:val="ListParagraph"/>
        <w:jc w:val="center"/>
        <w:rPr>
          <w:sz w:val="20"/>
          <w:szCs w:val="20"/>
        </w:rPr>
      </w:pPr>
      <w:r>
        <w:rPr>
          <w:noProof/>
          <w:sz w:val="20"/>
          <w:szCs w:val="20"/>
        </w:rPr>
        <w:lastRenderedPageBreak/>
        <w:drawing>
          <wp:inline distT="0" distB="0" distL="0" distR="0" wp14:anchorId="47E66290" wp14:editId="52D4C078">
            <wp:extent cx="3657600" cy="2743200"/>
            <wp:effectExtent l="0" t="0" r="0" b="0"/>
            <wp:docPr id="1530037272" name="Picture 3" descr="A graph of a distribution of a normal f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37272" name="Picture 3" descr="A graph of a distribution of a normal fit&#10;&#10;AI-generated content may be incorrect."/>
                    <pic:cNvPicPr/>
                  </pic:nvPicPr>
                  <pic:blipFill>
                    <a:blip r:embed="rId10"/>
                    <a:stretch>
                      <a:fillRect/>
                    </a:stretch>
                  </pic:blipFill>
                  <pic:spPr>
                    <a:xfrm>
                      <a:off x="0" y="0"/>
                      <a:ext cx="3657600" cy="2743200"/>
                    </a:xfrm>
                    <a:prstGeom prst="rect">
                      <a:avLst/>
                    </a:prstGeom>
                  </pic:spPr>
                </pic:pic>
              </a:graphicData>
            </a:graphic>
          </wp:inline>
        </w:drawing>
      </w:r>
    </w:p>
    <w:p w14:paraId="144FD315" w14:textId="40388130" w:rsidR="00792AC2" w:rsidRDefault="00792AC2" w:rsidP="00792AC2">
      <w:pPr>
        <w:jc w:val="both"/>
        <w:rPr>
          <w:sz w:val="20"/>
          <w:szCs w:val="20"/>
        </w:rPr>
      </w:pPr>
      <w:r w:rsidRPr="00792AC2">
        <w:rPr>
          <w:sz w:val="20"/>
          <w:szCs w:val="20"/>
        </w:rPr>
        <w:t xml:space="preserve">Across the simulation, the stock paths </w:t>
      </w:r>
      <w:r w:rsidR="005A1AAB">
        <w:rPr>
          <w:sz w:val="20"/>
          <w:szCs w:val="20"/>
        </w:rPr>
        <w:t>spread</w:t>
      </w:r>
      <w:r w:rsidRPr="00792AC2">
        <w:rPr>
          <w:sz w:val="20"/>
          <w:szCs w:val="20"/>
        </w:rPr>
        <w:t xml:space="preserve"> out over time</w:t>
      </w:r>
      <w:r w:rsidR="005A1AAB">
        <w:rPr>
          <w:sz w:val="20"/>
          <w:szCs w:val="20"/>
        </w:rPr>
        <w:t xml:space="preserve"> </w:t>
      </w:r>
      <w:r w:rsidRPr="00792AC2">
        <w:rPr>
          <w:sz w:val="20"/>
          <w:szCs w:val="20"/>
        </w:rPr>
        <w:t>with average upward drift (</w:t>
      </w:r>
      <m:oMath>
        <m:r>
          <w:rPr>
            <w:rFonts w:ascii="Cambria Math" w:hAnsi="Cambria Math"/>
            <w:sz w:val="20"/>
            <w:szCs w:val="20"/>
          </w:rPr>
          <m:t>μ=5%)</m:t>
        </m:r>
      </m:oMath>
      <w:r w:rsidRPr="00792AC2">
        <w:rPr>
          <w:sz w:val="20"/>
          <w:szCs w:val="20"/>
        </w:rPr>
        <w:t xml:space="preserve"> and growing dispersion proportional to </w:t>
      </w:r>
      <m:oMath>
        <m:rad>
          <m:radPr>
            <m:degHide m:val="1"/>
            <m:ctrlPr>
              <w:rPr>
                <w:rFonts w:ascii="Cambria Math" w:hAnsi="Cambria Math"/>
                <w:i/>
                <w:sz w:val="20"/>
                <w:szCs w:val="20"/>
              </w:rPr>
            </m:ctrlPr>
          </m:radPr>
          <m:deg/>
          <m:e>
            <m:r>
              <w:rPr>
                <w:rFonts w:ascii="Cambria Math" w:hAnsi="Cambria Math"/>
                <w:sz w:val="20"/>
                <w:szCs w:val="20"/>
              </w:rPr>
              <m:t>t</m:t>
            </m:r>
          </m:e>
        </m:rad>
      </m:oMath>
      <w:r w:rsidRPr="00792AC2">
        <w:rPr>
          <w:sz w:val="20"/>
          <w:szCs w:val="20"/>
        </w:rPr>
        <w:t>; the corresponding call‐price series co-move with S and show visible convexity (gamma), rising more on rallies than they fall on similar-sized declines.</w:t>
      </w:r>
    </w:p>
    <w:p w14:paraId="1A67E75E" w14:textId="2F783845" w:rsidR="00792AC2" w:rsidRDefault="00792AC2" w:rsidP="00792AC2">
      <w:pPr>
        <w:jc w:val="both"/>
        <w:rPr>
          <w:sz w:val="20"/>
          <w:szCs w:val="20"/>
        </w:rPr>
      </w:pPr>
      <w:r w:rsidRPr="00792AC2">
        <w:rPr>
          <w:sz w:val="20"/>
          <w:szCs w:val="20"/>
        </w:rPr>
        <w:t xml:space="preserve"> The terminal hedging errors (</w:t>
      </w:r>
      <m:oMath>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oMath>
      <w:r w:rsidRPr="00792AC2">
        <w:rPr>
          <w:sz w:val="20"/>
          <w:szCs w:val="20"/>
        </w:rPr>
        <w:t xml:space="preserve">) are approximately bell-shaped and centered near zero: the fitted normal has mean ≈ </w:t>
      </w:r>
      <w:r w:rsidRPr="00792AC2">
        <w:rPr>
          <w:b/>
          <w:bCs/>
          <w:sz w:val="20"/>
          <w:szCs w:val="20"/>
        </w:rPr>
        <w:t>0.023</w:t>
      </w:r>
      <w:r w:rsidRPr="00792AC2">
        <w:rPr>
          <w:sz w:val="20"/>
          <w:szCs w:val="20"/>
        </w:rPr>
        <w:t xml:space="preserve"> and variance ≈ </w:t>
      </w:r>
      <w:r w:rsidRPr="00792AC2">
        <w:rPr>
          <w:b/>
          <w:bCs/>
          <w:sz w:val="20"/>
          <w:szCs w:val="20"/>
        </w:rPr>
        <w:t>0.256</w:t>
      </w:r>
      <w:r w:rsidRPr="00792AC2">
        <w:rPr>
          <w:sz w:val="20"/>
          <w:szCs w:val="20"/>
        </w:rPr>
        <w:t xml:space="preserve"> (</w:t>
      </w:r>
      <w:proofErr w:type="spellStart"/>
      <w:r w:rsidRPr="00792AC2">
        <w:rPr>
          <w:sz w:val="20"/>
          <w:szCs w:val="20"/>
        </w:rPr>
        <w:t>sd</w:t>
      </w:r>
      <w:proofErr w:type="spellEnd"/>
      <w:r w:rsidRPr="00792AC2">
        <w:rPr>
          <w:sz w:val="20"/>
          <w:szCs w:val="20"/>
        </w:rPr>
        <w:t xml:space="preserve"> ≈ </w:t>
      </w:r>
      <w:r w:rsidRPr="00792AC2">
        <w:rPr>
          <w:b/>
          <w:bCs/>
          <w:sz w:val="20"/>
          <w:szCs w:val="20"/>
        </w:rPr>
        <w:t>0.51</w:t>
      </w:r>
      <w:r w:rsidRPr="00792AC2">
        <w:rPr>
          <w:sz w:val="20"/>
          <w:szCs w:val="20"/>
        </w:rPr>
        <w:t xml:space="preserve">). This near-zero mean is consistent with delta hedging in a BS-consistent world, while the non-zero variance reflects </w:t>
      </w:r>
      <w:r w:rsidRPr="00792AC2">
        <w:rPr>
          <w:b/>
          <w:bCs/>
          <w:sz w:val="20"/>
          <w:szCs w:val="20"/>
        </w:rPr>
        <w:t>discrete (daily) rebalancing</w:t>
      </w:r>
      <w:r w:rsidRPr="00792AC2">
        <w:rPr>
          <w:sz w:val="20"/>
          <w:szCs w:val="20"/>
        </w:rPr>
        <w:t xml:space="preserve"> and the Euler time-step used for simulatio</w:t>
      </w:r>
      <w:r w:rsidR="005A1AAB">
        <w:rPr>
          <w:sz w:val="20"/>
          <w:szCs w:val="20"/>
        </w:rPr>
        <w:t xml:space="preserve">n, in other words, </w:t>
      </w:r>
      <w:r w:rsidRPr="00792AC2">
        <w:rPr>
          <w:sz w:val="20"/>
          <w:szCs w:val="20"/>
        </w:rPr>
        <w:t xml:space="preserve">unhedged intraday moves accumulate small errors. </w:t>
      </w:r>
    </w:p>
    <w:p w14:paraId="3D874854" w14:textId="28062BEC" w:rsidR="00792AC2" w:rsidRPr="00792AC2" w:rsidRDefault="00792AC2" w:rsidP="00792AC2">
      <w:pPr>
        <w:jc w:val="both"/>
        <w:rPr>
          <w:sz w:val="20"/>
          <w:szCs w:val="20"/>
        </w:rPr>
      </w:pPr>
      <w:r w:rsidRPr="00792AC2">
        <w:rPr>
          <w:sz w:val="20"/>
          <w:szCs w:val="20"/>
        </w:rPr>
        <w:t xml:space="preserve">In practice, increasing hedge frequency (smaller </w:t>
      </w:r>
      <m:oMath>
        <m:r>
          <w:rPr>
            <w:rFonts w:ascii="Cambria Math" w:hAnsi="Cambria Math"/>
            <w:sz w:val="20"/>
            <w:szCs w:val="20"/>
          </w:rPr>
          <m:t>Δt</m:t>
        </m:r>
      </m:oMath>
      <w:r w:rsidRPr="00792AC2">
        <w:rPr>
          <w:sz w:val="20"/>
          <w:szCs w:val="20"/>
        </w:rPr>
        <w:t>) or using the exact GBM scheme would reduce this dispersion, whereas larger σ or fewer rebalances would widen it.</w:t>
      </w:r>
    </w:p>
    <w:p w14:paraId="4CB7E9C3" w14:textId="66B99BA0" w:rsidR="00792AC2" w:rsidRDefault="00000000" w:rsidP="00693A1F">
      <w:pPr>
        <w:rPr>
          <w:sz w:val="20"/>
          <w:szCs w:val="20"/>
        </w:rPr>
      </w:pPr>
      <w:r w:rsidRPr="00693A1F">
        <w:rPr>
          <w:b/>
          <w:bCs/>
          <w:sz w:val="20"/>
          <w:szCs w:val="20"/>
        </w:rPr>
        <w:t xml:space="preserve">Task </w:t>
      </w:r>
      <w:r w:rsidR="00792AC2">
        <w:rPr>
          <w:b/>
          <w:bCs/>
          <w:sz w:val="20"/>
          <w:szCs w:val="20"/>
        </w:rPr>
        <w:t>2</w:t>
      </w:r>
      <w:r w:rsidRPr="00693A1F">
        <w:rPr>
          <w:sz w:val="20"/>
          <w:szCs w:val="20"/>
        </w:rPr>
        <w:t xml:space="preserve"> – </w:t>
      </w:r>
      <w:r w:rsidR="00792AC2">
        <w:rPr>
          <w:sz w:val="20"/>
          <w:szCs w:val="20"/>
        </w:rPr>
        <w:t>Market Data hedging</w:t>
      </w:r>
    </w:p>
    <w:p w14:paraId="4455FF8D" w14:textId="47BAEF36" w:rsidR="003962CD" w:rsidRDefault="00000000" w:rsidP="00693A1F">
      <w:pPr>
        <w:rPr>
          <w:sz w:val="20"/>
          <w:szCs w:val="20"/>
        </w:rPr>
      </w:pPr>
      <w:r w:rsidRPr="00693A1F">
        <w:rPr>
          <w:sz w:val="20"/>
          <w:szCs w:val="20"/>
        </w:rPr>
        <w:t>Time series for S, V, implied volatility, delta.</w:t>
      </w:r>
    </w:p>
    <w:tbl>
      <w:tblPr>
        <w:tblW w:w="5000" w:type="pct"/>
        <w:tblCellMar>
          <w:left w:w="0" w:type="dxa"/>
          <w:right w:w="0" w:type="dxa"/>
        </w:tblCellMar>
        <w:tblLook w:val="04A0" w:firstRow="1" w:lastRow="0" w:firstColumn="1" w:lastColumn="0" w:noHBand="0" w:noVBand="1"/>
      </w:tblPr>
      <w:tblGrid>
        <w:gridCol w:w="968"/>
        <w:gridCol w:w="1111"/>
        <w:gridCol w:w="1111"/>
        <w:gridCol w:w="907"/>
        <w:gridCol w:w="907"/>
        <w:gridCol w:w="1009"/>
        <w:gridCol w:w="1009"/>
        <w:gridCol w:w="1602"/>
      </w:tblGrid>
      <w:tr w:rsidR="003962CD" w:rsidRPr="003962CD" w14:paraId="24C65126"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5091EBD"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date</w:t>
            </w:r>
          </w:p>
        </w:tc>
        <w:tc>
          <w:tcPr>
            <w:tcW w:w="644" w:type="pct"/>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9ECE744"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S</w:t>
            </w:r>
          </w:p>
        </w:tc>
        <w:tc>
          <w:tcPr>
            <w:tcW w:w="644" w:type="pct"/>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070F4CC"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V</w:t>
            </w:r>
          </w:p>
        </w:tc>
        <w:tc>
          <w:tcPr>
            <w:tcW w:w="526" w:type="pct"/>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86BE877"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proofErr w:type="spellStart"/>
            <w:r w:rsidRPr="003962CD">
              <w:rPr>
                <w:rFonts w:ascii="Helvetica Neue" w:eastAsia="Times New Roman" w:hAnsi="Helvetica Neue" w:cs="Times New Roman"/>
                <w:b/>
                <w:bCs/>
                <w:color w:val="000000"/>
                <w:sz w:val="15"/>
                <w:szCs w:val="15"/>
              </w:rPr>
              <w:t>imp_vol</w:t>
            </w:r>
            <w:proofErr w:type="spellEnd"/>
          </w:p>
        </w:tc>
        <w:tc>
          <w:tcPr>
            <w:tcW w:w="526" w:type="pct"/>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EC1D31A"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delta</w:t>
            </w:r>
          </w:p>
        </w:tc>
        <w:tc>
          <w:tcPr>
            <w:tcW w:w="585" w:type="pct"/>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7CCC7D49"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HE</w:t>
            </w:r>
          </w:p>
        </w:tc>
        <w:tc>
          <w:tcPr>
            <w:tcW w:w="585" w:type="pct"/>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BEF487D"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PNL</w:t>
            </w:r>
          </w:p>
        </w:tc>
        <w:tc>
          <w:tcPr>
            <w:tcW w:w="930" w:type="pct"/>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35BCBDB3"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proofErr w:type="spellStart"/>
            <w:r w:rsidRPr="003962CD">
              <w:rPr>
                <w:rFonts w:ascii="Helvetica Neue" w:eastAsia="Times New Roman" w:hAnsi="Helvetica Neue" w:cs="Times New Roman"/>
                <w:b/>
                <w:bCs/>
                <w:color w:val="000000"/>
                <w:sz w:val="15"/>
                <w:szCs w:val="15"/>
              </w:rPr>
              <w:t>PNL_with_hedge</w:t>
            </w:r>
            <w:proofErr w:type="spellEnd"/>
          </w:p>
        </w:tc>
      </w:tr>
      <w:tr w:rsidR="003962CD" w:rsidRPr="003962CD" w14:paraId="17E4C020" w14:textId="77777777" w:rsidTr="003962CD">
        <w:trPr>
          <w:trHeight w:val="180"/>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6723DF77"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2011-07-05</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640CF11"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532.440000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F549C29"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44.200000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BF7BAB1"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0.259686</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9C2046B"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0.722654</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3308132"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0.000000</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6D92C77"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0.000000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48B87C8"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0.000000</w:t>
            </w:r>
          </w:p>
        </w:tc>
      </w:tr>
      <w:tr w:rsidR="003962CD" w:rsidRPr="003962CD" w14:paraId="2CCC3338"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3DAB5581"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2011-07-06</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FC1372"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535.360000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182F799"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46.900000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86173BC"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0.269337</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DA1D440"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0.733318</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589D1A"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-0.594987</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68FC00C"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-2.700000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3C7386B"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-0.594987</w:t>
            </w:r>
          </w:p>
        </w:tc>
      </w:tr>
      <w:tr w:rsidR="003962CD" w:rsidRPr="003962CD" w14:paraId="63293000"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30D5B6B9"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2011-07-07</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1CFA6B6"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546.600000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63B3CE0"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55.300000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99B5663"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0.269861</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74DD4DB"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0.787576</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EB9492"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-0.755109</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BAF9C07"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-11.100000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017D1A"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-0.755109</w:t>
            </w:r>
          </w:p>
        </w:tc>
      </w:tr>
      <w:tr w:rsidR="003962CD" w:rsidRPr="003962CD" w14:paraId="60214A15"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3E235CDF"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2011-07-08</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AEADED"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531.990000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15351E9"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43.950000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47A3860"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0.268563</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D1A7D1"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0.719396</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20012C"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-0.914573</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BD9E5C1"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0.250000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4FDEC0"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-0.914573</w:t>
            </w:r>
          </w:p>
        </w:tc>
      </w:tr>
      <w:tr w:rsidR="003962CD" w:rsidRPr="003962CD" w14:paraId="100783F6"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7823FBC4"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2011-07-11</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7E7CE0"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527.280000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A895BCA"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41.000000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29339FD"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0.275950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5245E13"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0.691509</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39DD76"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-1.355218</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9F1DA8D"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3.200000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E5A0F3D"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-1.355218</w:t>
            </w:r>
          </w:p>
        </w:tc>
      </w:tr>
      <w:tr w:rsidR="003962CD" w:rsidRPr="003962CD" w14:paraId="781195F4"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0B5E1DF5"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2011-07-12</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4AFEC36"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534.010000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05B3E6"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46.400000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1D3680D"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0.286788</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64BB157"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0.722767</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0DEF853"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-2.103552</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4E957F4"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-2.200000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DFF047"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-2.103552</w:t>
            </w:r>
          </w:p>
        </w:tc>
      </w:tr>
      <w:tr w:rsidR="003962CD" w:rsidRPr="003962CD" w14:paraId="4BFDE68C"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55B29A64"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2011-07-13</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FD9C59F"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538.260000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07F2FB1"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49.300000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A55655A"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0.287137</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1E158C"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0.745056</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22D6C42"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-1.934231</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39EF5FF"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-5.100000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4FFF31"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-1.934231</w:t>
            </w:r>
          </w:p>
        </w:tc>
      </w:tr>
      <w:tr w:rsidR="003962CD" w:rsidRPr="003962CD" w14:paraId="1B906E61"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66826A57"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2011-07-14</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4367182"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528.940000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7AD6344"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41.150000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1C5F5C7"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0.272178</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72B778"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0.706903</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5F5712D"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-0.730400</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403AB7C"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3.050000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BD6693E"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-0.730400</w:t>
            </w:r>
          </w:p>
        </w:tc>
      </w:tr>
      <w:tr w:rsidR="003962CD" w:rsidRPr="003962CD" w14:paraId="7B61D7BC"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0EE746A6"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2011-07-15</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8E05C0"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597.620000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87F8079"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99.650000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70871D"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0.281490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DFC1F42"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0.940745</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47D18A"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-10.682291</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A3E5535"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-55.450000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4577CF7"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-10.682291</w:t>
            </w:r>
          </w:p>
        </w:tc>
      </w:tr>
      <w:tr w:rsidR="003962CD" w:rsidRPr="003962CD" w14:paraId="6D1EB7F8"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739E367D"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2011-07-18</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9D4888"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594.940000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7F44B46"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97.650000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1F862F1"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0.300413</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F89F53"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0.926444</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D0522F3"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-11.206303</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91A780E"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-53.450000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77C7845"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-11.206303</w:t>
            </w:r>
          </w:p>
        </w:tc>
      </w:tr>
      <w:tr w:rsidR="003962CD" w:rsidRPr="003962CD" w14:paraId="0D5DAA85"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4E849B2E"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2011-07-19</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04217BD"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602.550000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959A4F"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103.800000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04D8AB7"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0.266228</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9CF42EF"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0.960290</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4783FE"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-10.308833</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59F97D1"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-59.600000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6900005"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-10.308833</w:t>
            </w:r>
          </w:p>
        </w:tc>
      </w:tr>
      <w:tr w:rsidR="003962CD" w:rsidRPr="003962CD" w14:paraId="0C74D2AE"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5D63569A"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2011-07-20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6FE4B2E"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595.350000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496F981"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97.800000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EEEA2E1"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0.299707</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3EB637C"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0.931925</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8546C67"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-11.226193</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9CF9BE4"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-53.600000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9C1F97"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-11.226193</w:t>
            </w:r>
          </w:p>
        </w:tc>
      </w:tr>
      <w:tr w:rsidR="003962CD" w:rsidRPr="003962CD" w14:paraId="295ABC2C"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78C30332"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lastRenderedPageBreak/>
              <w:t>2011-07-21</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5E98E3"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606.990000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41C22BF"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108.150000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66DAA9D"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0.275666</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372FD5"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0.964257</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3306AC"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-10.732118</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893DDE8"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-63.950000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BB4FD00"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-10.732118</w:t>
            </w:r>
          </w:p>
        </w:tc>
      </w:tr>
      <w:tr w:rsidR="003962CD" w:rsidRPr="003962CD" w14:paraId="2B320959"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18F1AF4A"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2011-07-22</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ADE726B"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618.230000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D81FC2"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118.700000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8470163"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0.248420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70CF760"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0.985999</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77AF17F"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-10.447736</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8F63E4"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-74.500000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1F7D1A2"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-10.447736</w:t>
            </w:r>
          </w:p>
        </w:tc>
      </w:tr>
      <w:tr w:rsidR="003962CD" w:rsidRPr="003962CD" w14:paraId="59A65C76" w14:textId="77777777" w:rsidTr="003962CD">
        <w:trPr>
          <w:trHeight w:val="180"/>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399D6F7A"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2011-07-25</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7CA747C"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618.980000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E398BB"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119.950000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267160D"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0.294243</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7C5BB93"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0.971588</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7B9E1DA"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-10.962216</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11A2DCE"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-75.750000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45C07DD"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-10.962216</w:t>
            </w:r>
          </w:p>
        </w:tc>
      </w:tr>
      <w:tr w:rsidR="003962CD" w:rsidRPr="003962CD" w14:paraId="13E59FE2"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5E35F707"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2011-07-26</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52B16A"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622.520000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A6D229A"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123.250000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7D5216B"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0.286970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66FFDE7"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0.978582</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16C86AC"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-10.826701</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B7742C8"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-79.050000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949EBBE"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-10.826701</w:t>
            </w:r>
          </w:p>
        </w:tc>
      </w:tr>
      <w:tr w:rsidR="003962CD" w:rsidRPr="003962CD" w14:paraId="6671C3D8"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6B335BFE"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2011-07-27</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5D16A3"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607.220000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A3A2C55"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108.650000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4C3666F"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0.304805</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73D9AF3"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0.957691</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16E2209"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-11.203146</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1C913A"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-64.450000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7FC55BB"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-11.203146</w:t>
            </w:r>
          </w:p>
        </w:tc>
      </w:tr>
      <w:tr w:rsidR="003962CD" w:rsidRPr="003962CD" w14:paraId="6F54C4D8"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3573184D"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2011-07-28</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B780BDB"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610.940000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76B87C7"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112.100000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344D87A"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0.302652</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3318B7A"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0.964977</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C081EA"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-11.094570</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A44C97E"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-67.900000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BF2DEA9"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-11.094570</w:t>
            </w:r>
          </w:p>
        </w:tc>
      </w:tr>
      <w:tr w:rsidR="003962CD" w:rsidRPr="003962CD" w14:paraId="5FAFBDB1" w14:textId="77777777" w:rsidTr="003962CD">
        <w:trPr>
          <w:trHeight w:val="165"/>
        </w:trPr>
        <w:tc>
          <w:tcPr>
            <w:tcW w:w="561" w:type="pc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22108F4D"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b/>
                <w:bCs/>
                <w:color w:val="000000"/>
                <w:sz w:val="15"/>
                <w:szCs w:val="15"/>
              </w:rPr>
              <w:t>2011-07-29</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5647F9"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603.690000</w:t>
            </w:r>
          </w:p>
        </w:tc>
        <w:tc>
          <w:tcPr>
            <w:tcW w:w="64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91414D7"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106.800000</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2705FD6"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0.370045</w:t>
            </w:r>
          </w:p>
        </w:tc>
        <w:tc>
          <w:tcPr>
            <w:tcW w:w="52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C196584"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0.924709</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5584B73"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-12.794724</w:t>
            </w:r>
          </w:p>
        </w:tc>
        <w:tc>
          <w:tcPr>
            <w:tcW w:w="5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535418"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-62.600000</w:t>
            </w:r>
          </w:p>
        </w:tc>
        <w:tc>
          <w:tcPr>
            <w:tcW w:w="930"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2CDE3F9" w14:textId="77777777" w:rsidR="003962CD" w:rsidRPr="003962CD" w:rsidRDefault="003962CD" w:rsidP="003962CD">
            <w:pPr>
              <w:spacing w:after="0" w:line="240" w:lineRule="auto"/>
              <w:jc w:val="center"/>
              <w:rPr>
                <w:rFonts w:ascii="Times New Roman" w:eastAsia="Times New Roman" w:hAnsi="Times New Roman" w:cs="Times New Roman"/>
                <w:sz w:val="24"/>
                <w:szCs w:val="24"/>
              </w:rPr>
            </w:pPr>
            <w:r w:rsidRPr="003962CD">
              <w:rPr>
                <w:rFonts w:ascii="Helvetica Neue" w:eastAsia="Times New Roman" w:hAnsi="Helvetica Neue" w:cs="Times New Roman"/>
                <w:color w:val="000000"/>
                <w:sz w:val="15"/>
                <w:szCs w:val="15"/>
              </w:rPr>
              <w:t>-12.794724</w:t>
            </w:r>
          </w:p>
        </w:tc>
      </w:tr>
    </w:tbl>
    <w:p w14:paraId="67A83B06" w14:textId="77777777" w:rsidR="003962CD" w:rsidRPr="00693A1F" w:rsidRDefault="003962CD" w:rsidP="00693A1F">
      <w:pPr>
        <w:rPr>
          <w:sz w:val="20"/>
          <w:szCs w:val="20"/>
        </w:rPr>
      </w:pPr>
    </w:p>
    <w:p w14:paraId="34772A80" w14:textId="77777777" w:rsidR="00BB7EBC" w:rsidRDefault="00BB7EBC">
      <w:pPr>
        <w:pStyle w:val="ListParagraph"/>
        <w:rPr>
          <w:sz w:val="20"/>
          <w:szCs w:val="20"/>
        </w:rPr>
      </w:pPr>
    </w:p>
    <w:p w14:paraId="01AE4605" w14:textId="78CF14DB" w:rsidR="00BB7EBC" w:rsidRDefault="00BB7EBC" w:rsidP="00BB7EBC">
      <w:pPr>
        <w:pStyle w:val="ListParagraph"/>
        <w:jc w:val="center"/>
        <w:rPr>
          <w:sz w:val="20"/>
          <w:szCs w:val="20"/>
        </w:rPr>
      </w:pPr>
      <w:r>
        <w:rPr>
          <w:noProof/>
          <w:sz w:val="20"/>
          <w:szCs w:val="20"/>
        </w:rPr>
        <w:drawing>
          <wp:inline distT="0" distB="0" distL="0" distR="0" wp14:anchorId="3B60183C" wp14:editId="50BBA163">
            <wp:extent cx="3657600" cy="2743200"/>
            <wp:effectExtent l="0" t="0" r="0" b="0"/>
            <wp:docPr id="796028440" name="Picture 8" descr="A graph of 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28440" name="Picture 8" descr="A graph of a graph with numbers and lines&#10;&#10;AI-generated content may be incorrect."/>
                    <pic:cNvPicPr/>
                  </pic:nvPicPr>
                  <pic:blipFill>
                    <a:blip r:embed="rId11"/>
                    <a:stretch>
                      <a:fillRect/>
                    </a:stretch>
                  </pic:blipFill>
                  <pic:spPr>
                    <a:xfrm>
                      <a:off x="0" y="0"/>
                      <a:ext cx="3657600" cy="2743200"/>
                    </a:xfrm>
                    <a:prstGeom prst="rect">
                      <a:avLst/>
                    </a:prstGeom>
                  </pic:spPr>
                </pic:pic>
              </a:graphicData>
            </a:graphic>
          </wp:inline>
        </w:drawing>
      </w:r>
    </w:p>
    <w:p w14:paraId="28745C0A" w14:textId="089D2C06" w:rsidR="00BB7EBC" w:rsidRPr="00190A18" w:rsidRDefault="00190A18" w:rsidP="00190A18">
      <w:pPr>
        <w:jc w:val="both"/>
        <w:rPr>
          <w:sz w:val="20"/>
          <w:szCs w:val="20"/>
        </w:rPr>
      </w:pPr>
      <w:r w:rsidRPr="00190A18">
        <w:rPr>
          <w:sz w:val="20"/>
          <w:szCs w:val="20"/>
        </w:rPr>
        <w:t>On the GOOG window (2011-07-05→07-29), the daily table includes all required fields (S, V, implied vol, delta, HE, PNL, and PNL with hedge). The time-series plot shows that the unhedged PNL experiences a sharp drawdown around mid-July and bottoms near −$60 to −$80, while the hedged PNL stays much closer to flat, drifting only modestly negative (roughly −$10 to −$20). This gap indicates that delta hedging materially reduced directional risk and PNL volatility over the period. The remaining negative drift in the hedged PNL is typical and can be explained by a combination of discrete (daily) rebalancing, implied volatility differing from realized volatility (likely realized &gt; implied during the drawdown), and time varying IV that causes day-to-day changes in delta. In short, the hedge did its principal job</w:t>
      </w:r>
      <w:r>
        <w:rPr>
          <w:sz w:val="20"/>
          <w:szCs w:val="20"/>
        </w:rPr>
        <w:t xml:space="preserve"> which is to </w:t>
      </w:r>
      <w:r w:rsidRPr="00190A18">
        <w:rPr>
          <w:sz w:val="20"/>
          <w:szCs w:val="20"/>
        </w:rPr>
        <w:t>dampen exposure to the underlying’s move</w:t>
      </w:r>
      <w:r>
        <w:rPr>
          <w:sz w:val="20"/>
          <w:szCs w:val="20"/>
        </w:rPr>
        <w:t>. T</w:t>
      </w:r>
      <w:r w:rsidRPr="00190A18">
        <w:rPr>
          <w:sz w:val="20"/>
          <w:szCs w:val="20"/>
        </w:rPr>
        <w:t>he residual losses reflect model and timing frictions rather than implementation errors.</w:t>
      </w:r>
    </w:p>
    <w:p w14:paraId="6469623C" w14:textId="39EA9321" w:rsidR="00B85BF0" w:rsidRPr="00B85BF0" w:rsidRDefault="00000000" w:rsidP="00B85BF0">
      <w:pPr>
        <w:pStyle w:val="Heading1"/>
      </w:pPr>
      <w:r w:rsidRPr="00C17227">
        <w:t xml:space="preserve">Screenshots </w:t>
      </w:r>
      <w:r w:rsidR="00190A18">
        <w:t>of Implementation</w:t>
      </w:r>
    </w:p>
    <w:p w14:paraId="695D01FB" w14:textId="1D2BB7B7" w:rsidR="00B85BF0" w:rsidRPr="00BC3096" w:rsidRDefault="00000000" w:rsidP="00190A18">
      <w:pPr>
        <w:pStyle w:val="ListParagraph"/>
        <w:ind w:left="0"/>
        <w:rPr>
          <w:sz w:val="24"/>
          <w:szCs w:val="24"/>
        </w:rPr>
      </w:pPr>
      <w:r w:rsidRPr="00BC3096">
        <w:rPr>
          <w:sz w:val="24"/>
          <w:szCs w:val="24"/>
        </w:rPr>
        <w:t>Console outputs from runs (mode=sim and mode=market).</w:t>
      </w:r>
      <w:r w:rsidR="00B85BF0" w:rsidRPr="00BC3096">
        <w:rPr>
          <w:sz w:val="24"/>
          <w:szCs w:val="24"/>
        </w:rPr>
        <w:t>:</w:t>
      </w:r>
    </w:p>
    <w:p w14:paraId="26F71635" w14:textId="77777777" w:rsidR="00B85BF0" w:rsidRDefault="00B85BF0" w:rsidP="00190A18">
      <w:pPr>
        <w:pStyle w:val="ListParagraph"/>
        <w:ind w:left="0"/>
        <w:rPr>
          <w:sz w:val="20"/>
          <w:szCs w:val="20"/>
        </w:rPr>
      </w:pPr>
    </w:p>
    <w:p w14:paraId="733E0390" w14:textId="2252B6F7" w:rsidR="00B85BF0" w:rsidRDefault="00B85BF0" w:rsidP="00190A18">
      <w:pPr>
        <w:pStyle w:val="ListParagraph"/>
        <w:ind w:left="0"/>
        <w:rPr>
          <w:sz w:val="20"/>
          <w:szCs w:val="20"/>
        </w:rPr>
      </w:pPr>
      <w:r w:rsidRPr="00B85BF0">
        <w:rPr>
          <w:noProof/>
          <w:sz w:val="20"/>
          <w:szCs w:val="20"/>
        </w:rPr>
        <w:lastRenderedPageBreak/>
        <w:drawing>
          <wp:inline distT="0" distB="0" distL="0" distR="0" wp14:anchorId="5A41EB62" wp14:editId="2CDED657">
            <wp:extent cx="5486400" cy="3442970"/>
            <wp:effectExtent l="0" t="0" r="0" b="0"/>
            <wp:docPr id="4441503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50363" name="Picture 1" descr="A screenshot of a computer&#10;&#10;AI-generated content may be incorrect."/>
                    <pic:cNvPicPr/>
                  </pic:nvPicPr>
                  <pic:blipFill>
                    <a:blip r:embed="rId12"/>
                    <a:stretch>
                      <a:fillRect/>
                    </a:stretch>
                  </pic:blipFill>
                  <pic:spPr>
                    <a:xfrm>
                      <a:off x="0" y="0"/>
                      <a:ext cx="5486400" cy="3442970"/>
                    </a:xfrm>
                    <a:prstGeom prst="rect">
                      <a:avLst/>
                    </a:prstGeom>
                  </pic:spPr>
                </pic:pic>
              </a:graphicData>
            </a:graphic>
          </wp:inline>
        </w:drawing>
      </w:r>
    </w:p>
    <w:p w14:paraId="4B4A9766" w14:textId="77777777" w:rsidR="00BC3096" w:rsidRDefault="00BC3096" w:rsidP="00190A18">
      <w:pPr>
        <w:pStyle w:val="ListParagraph"/>
        <w:ind w:left="0"/>
        <w:rPr>
          <w:sz w:val="20"/>
          <w:szCs w:val="20"/>
        </w:rPr>
      </w:pPr>
    </w:p>
    <w:p w14:paraId="77D59F00" w14:textId="347ADAFA" w:rsidR="00BC3096" w:rsidRPr="00BC3096" w:rsidRDefault="00BC3096" w:rsidP="00190A18">
      <w:pPr>
        <w:pStyle w:val="ListParagraph"/>
        <w:ind w:left="0"/>
        <w:rPr>
          <w:sz w:val="24"/>
          <w:szCs w:val="24"/>
        </w:rPr>
      </w:pPr>
      <w:r w:rsidRPr="00BC3096">
        <w:rPr>
          <w:sz w:val="24"/>
          <w:szCs w:val="24"/>
        </w:rPr>
        <w:t>Folder Structure:</w:t>
      </w:r>
    </w:p>
    <w:p w14:paraId="01FC3BD6" w14:textId="77777777" w:rsidR="00BC3096" w:rsidRDefault="00BC3096" w:rsidP="00190A18">
      <w:pPr>
        <w:pStyle w:val="ListParagraph"/>
        <w:ind w:left="0"/>
        <w:rPr>
          <w:sz w:val="20"/>
          <w:szCs w:val="20"/>
        </w:rPr>
      </w:pPr>
    </w:p>
    <w:p w14:paraId="1FF30241" w14:textId="21830E9F"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0"/>
          <w:szCs w:val="20"/>
        </w:rPr>
      </w:pPr>
      <w:proofErr w:type="spellStart"/>
      <w:r w:rsidRPr="00BC3096">
        <w:rPr>
          <w:rFonts w:ascii="Helvetica" w:hAnsi="Helvetica" w:cs="Helvetica"/>
          <w:sz w:val="20"/>
          <w:szCs w:val="20"/>
        </w:rPr>
        <w:t>Interim</w:t>
      </w:r>
      <w:r>
        <w:rPr>
          <w:rFonts w:ascii="Helvetica" w:hAnsi="Helvetica" w:cs="Helvetica"/>
          <w:sz w:val="20"/>
          <w:szCs w:val="20"/>
        </w:rPr>
        <w:t>_</w:t>
      </w:r>
      <w:r w:rsidRPr="00BC3096">
        <w:rPr>
          <w:rFonts w:ascii="Helvetica" w:hAnsi="Helvetica" w:cs="Helvetica"/>
          <w:sz w:val="20"/>
          <w:szCs w:val="20"/>
        </w:rPr>
        <w:t>Project</w:t>
      </w:r>
      <w:proofErr w:type="spellEnd"/>
      <w:r w:rsidRPr="00BC3096">
        <w:rPr>
          <w:rFonts w:ascii="Helvetica" w:hAnsi="Helvetica" w:cs="Helvetica"/>
          <w:sz w:val="20"/>
          <w:szCs w:val="20"/>
        </w:rPr>
        <w:t>/</w:t>
      </w:r>
    </w:p>
    <w:p w14:paraId="43FEBA9F"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Helvetica" w:hAnsi="Helvetica" w:cs="Helvetica"/>
          <w:sz w:val="20"/>
          <w:szCs w:val="20"/>
        </w:rPr>
      </w:pPr>
      <w:r w:rsidRPr="00BC3096">
        <w:rPr>
          <w:rFonts w:ascii="Helvetica" w:hAnsi="Helvetica" w:cs="Helvetica"/>
          <w:sz w:val="20"/>
          <w:szCs w:val="20"/>
        </w:rPr>
        <w:t>README. md</w:t>
      </w:r>
    </w:p>
    <w:p w14:paraId="1E4A3FD4" w14:textId="7AFC0A14"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Helvetica" w:hAnsi="Helvetica" w:cs="Helvetica"/>
          <w:sz w:val="20"/>
          <w:szCs w:val="20"/>
        </w:rPr>
      </w:pPr>
      <w:r w:rsidRPr="00BC3096">
        <w:rPr>
          <w:rFonts w:ascii="Helvetica" w:hAnsi="Helvetica" w:cs="Helvetica"/>
          <w:sz w:val="20"/>
          <w:szCs w:val="20"/>
        </w:rPr>
        <w:t>REPORT.docx</w:t>
      </w:r>
    </w:p>
    <w:p w14:paraId="217F683B"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Helvetica" w:hAnsi="Helvetica" w:cs="Helvetica"/>
          <w:sz w:val="20"/>
          <w:szCs w:val="20"/>
        </w:rPr>
      </w:pPr>
      <w:r w:rsidRPr="00BC3096">
        <w:rPr>
          <w:rFonts w:ascii="Helvetica" w:hAnsi="Helvetica" w:cs="Helvetica"/>
          <w:sz w:val="20"/>
          <w:szCs w:val="20"/>
        </w:rPr>
        <w:t>hedger.cpp</w:t>
      </w:r>
    </w:p>
    <w:p w14:paraId="2FCE6C76"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Helvetica" w:hAnsi="Helvetica" w:cs="Helvetica"/>
          <w:sz w:val="20"/>
          <w:szCs w:val="20"/>
        </w:rPr>
      </w:pPr>
      <w:r w:rsidRPr="00BC3096">
        <w:rPr>
          <w:rFonts w:ascii="Helvetica" w:hAnsi="Helvetica" w:cs="Helvetica"/>
          <w:sz w:val="20"/>
          <w:szCs w:val="20"/>
        </w:rPr>
        <w:t xml:space="preserve">i0. </w:t>
      </w:r>
      <w:proofErr w:type="spellStart"/>
      <w:r w:rsidRPr="00BC3096">
        <w:rPr>
          <w:rFonts w:ascii="Helvetica" w:hAnsi="Helvetica" w:cs="Helvetica"/>
          <w:sz w:val="20"/>
          <w:szCs w:val="20"/>
        </w:rPr>
        <w:t>cpp</w:t>
      </w:r>
      <w:proofErr w:type="spellEnd"/>
    </w:p>
    <w:p w14:paraId="44A514AA" w14:textId="77777777" w:rsid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Helvetica" w:hAnsi="Helvetica" w:cs="Helvetica"/>
          <w:sz w:val="20"/>
          <w:szCs w:val="20"/>
        </w:rPr>
      </w:pPr>
      <w:r w:rsidRPr="00BC3096">
        <w:rPr>
          <w:rFonts w:ascii="Helvetica" w:hAnsi="Helvetica" w:cs="Helvetica"/>
          <w:sz w:val="20"/>
          <w:szCs w:val="20"/>
        </w:rPr>
        <w:t xml:space="preserve">main </w:t>
      </w:r>
    </w:p>
    <w:p w14:paraId="1D23BA38" w14:textId="09FCDC88"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Helvetica" w:hAnsi="Helvetica" w:cs="Helvetica"/>
          <w:sz w:val="20"/>
          <w:szCs w:val="20"/>
        </w:rPr>
      </w:pPr>
      <w:r w:rsidRPr="00BC3096">
        <w:rPr>
          <w:rFonts w:ascii="Helvetica" w:hAnsi="Helvetica" w:cs="Helvetica"/>
          <w:sz w:val="20"/>
          <w:szCs w:val="20"/>
        </w:rPr>
        <w:t>main.cpp</w:t>
      </w:r>
    </w:p>
    <w:p w14:paraId="7EABB787"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Helvetica" w:hAnsi="Helvetica" w:cs="Helvetica"/>
          <w:sz w:val="20"/>
          <w:szCs w:val="20"/>
        </w:rPr>
      </w:pPr>
      <w:r w:rsidRPr="00BC3096">
        <w:rPr>
          <w:rFonts w:ascii="Helvetica" w:hAnsi="Helvetica" w:cs="Helvetica"/>
          <w:sz w:val="20"/>
          <w:szCs w:val="20"/>
        </w:rPr>
        <w:t>plot_delta_vs_price.py</w:t>
      </w:r>
    </w:p>
    <w:p w14:paraId="1CACB74C"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Helvetica" w:hAnsi="Helvetica" w:cs="Helvetica"/>
          <w:sz w:val="20"/>
          <w:szCs w:val="20"/>
        </w:rPr>
      </w:pPr>
      <w:proofErr w:type="spellStart"/>
      <w:r w:rsidRPr="00BC3096">
        <w:rPr>
          <w:rFonts w:ascii="Helvetica" w:hAnsi="Helvetica" w:cs="Helvetica"/>
          <w:sz w:val="20"/>
          <w:szCs w:val="20"/>
        </w:rPr>
        <w:t>plot_market</w:t>
      </w:r>
      <w:proofErr w:type="spellEnd"/>
    </w:p>
    <w:p w14:paraId="29009ED3"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Helvetica" w:hAnsi="Helvetica" w:cs="Helvetica"/>
          <w:sz w:val="20"/>
          <w:szCs w:val="20"/>
        </w:rPr>
      </w:pPr>
      <w:r w:rsidRPr="00BC3096">
        <w:rPr>
          <w:rFonts w:ascii="Helvetica" w:hAnsi="Helvetica" w:cs="Helvetica"/>
          <w:sz w:val="20"/>
          <w:szCs w:val="20"/>
        </w:rPr>
        <w:t>results.py</w:t>
      </w:r>
    </w:p>
    <w:p w14:paraId="58444B74" w14:textId="77777777" w:rsid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Helvetica" w:hAnsi="Helvetica" w:cs="Helvetica"/>
          <w:sz w:val="20"/>
          <w:szCs w:val="20"/>
        </w:rPr>
      </w:pPr>
      <w:r w:rsidRPr="00BC3096">
        <w:rPr>
          <w:rFonts w:ascii="Helvetica" w:hAnsi="Helvetica" w:cs="Helvetica"/>
          <w:sz w:val="20"/>
          <w:szCs w:val="20"/>
        </w:rPr>
        <w:t xml:space="preserve">plot sim paths.py </w:t>
      </w:r>
    </w:p>
    <w:p w14:paraId="17D9D1AE" w14:textId="0C168DA3"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Helvetica" w:hAnsi="Helvetica" w:cs="Helvetica"/>
          <w:sz w:val="20"/>
          <w:szCs w:val="20"/>
        </w:rPr>
      </w:pPr>
      <w:r w:rsidRPr="00BC3096">
        <w:rPr>
          <w:rFonts w:ascii="Helvetica" w:hAnsi="Helvetica" w:cs="Helvetica"/>
          <w:sz w:val="20"/>
          <w:szCs w:val="20"/>
        </w:rPr>
        <w:t>tests.cpp</w:t>
      </w:r>
    </w:p>
    <w:p w14:paraId="1A4DCF90" w14:textId="06D08EA4"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Helvetica" w:hAnsi="Helvetica" w:cs="Helvetica"/>
          <w:sz w:val="20"/>
          <w:szCs w:val="20"/>
        </w:rPr>
      </w:pPr>
      <w:r w:rsidRPr="00BC3096">
        <w:rPr>
          <w:rFonts w:ascii="Helvetica" w:hAnsi="Helvetica" w:cs="Helvetica"/>
          <w:sz w:val="20"/>
          <w:szCs w:val="20"/>
        </w:rPr>
        <w:t>tests bin</w:t>
      </w:r>
    </w:p>
    <w:p w14:paraId="3E504C2F"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Helvetica" w:hAnsi="Helvetica" w:cs="Helvetica"/>
          <w:sz w:val="20"/>
          <w:szCs w:val="20"/>
        </w:rPr>
      </w:pPr>
      <w:r w:rsidRPr="00BC3096">
        <w:rPr>
          <w:rFonts w:ascii="Helvetica" w:hAnsi="Helvetica" w:cs="Helvetica"/>
          <w:sz w:val="20"/>
          <w:szCs w:val="20"/>
        </w:rPr>
        <w:t xml:space="preserve">data/ </w:t>
      </w:r>
    </w:p>
    <w:p w14:paraId="50A1192D"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r w:rsidRPr="00BC3096">
        <w:rPr>
          <w:rFonts w:ascii="Helvetica" w:hAnsi="Helvetica" w:cs="Helvetica"/>
          <w:sz w:val="20"/>
          <w:szCs w:val="20"/>
        </w:rPr>
        <w:t xml:space="preserve">interest.csv </w:t>
      </w:r>
    </w:p>
    <w:p w14:paraId="4CC8C6A7" w14:textId="29878FB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r w:rsidRPr="00BC3096">
        <w:rPr>
          <w:rFonts w:ascii="Helvetica" w:hAnsi="Helvetica" w:cs="Helvetica"/>
          <w:sz w:val="20"/>
          <w:szCs w:val="20"/>
        </w:rPr>
        <w:t>op G00G. csv</w:t>
      </w:r>
    </w:p>
    <w:p w14:paraId="4D79C823"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r w:rsidRPr="00BC3096">
        <w:rPr>
          <w:rFonts w:ascii="Helvetica" w:hAnsi="Helvetica" w:cs="Helvetica"/>
          <w:sz w:val="20"/>
          <w:szCs w:val="20"/>
        </w:rPr>
        <w:t>sec G00G. Csv</w:t>
      </w:r>
    </w:p>
    <w:p w14:paraId="01EB40F4"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Helvetica" w:hAnsi="Helvetica" w:cs="Helvetica"/>
          <w:sz w:val="20"/>
          <w:szCs w:val="20"/>
        </w:rPr>
      </w:pPr>
      <w:r w:rsidRPr="00BC3096">
        <w:rPr>
          <w:rFonts w:ascii="Helvetica" w:hAnsi="Helvetica" w:cs="Helvetica"/>
          <w:sz w:val="20"/>
          <w:szCs w:val="20"/>
        </w:rPr>
        <w:t xml:space="preserve">include/ </w:t>
      </w:r>
    </w:p>
    <w:p w14:paraId="53FFCDE4" w14:textId="391551AE"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proofErr w:type="spellStart"/>
      <w:r w:rsidRPr="00BC3096">
        <w:rPr>
          <w:rFonts w:ascii="Helvetica" w:hAnsi="Helvetica" w:cs="Helvetica"/>
          <w:sz w:val="20"/>
          <w:szCs w:val="20"/>
        </w:rPr>
        <w:t>bs.h</w:t>
      </w:r>
      <w:proofErr w:type="spellEnd"/>
    </w:p>
    <w:p w14:paraId="3BA848B6"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proofErr w:type="spellStart"/>
      <w:r w:rsidRPr="00BC3096">
        <w:rPr>
          <w:rFonts w:ascii="Helvetica" w:hAnsi="Helvetica" w:cs="Helvetica"/>
          <w:sz w:val="20"/>
          <w:szCs w:val="20"/>
        </w:rPr>
        <w:t>date.h</w:t>
      </w:r>
      <w:proofErr w:type="spellEnd"/>
      <w:r w:rsidRPr="00BC3096">
        <w:rPr>
          <w:rFonts w:ascii="Helvetica" w:hAnsi="Helvetica" w:cs="Helvetica"/>
          <w:sz w:val="20"/>
          <w:szCs w:val="20"/>
        </w:rPr>
        <w:t xml:space="preserve"> </w:t>
      </w:r>
    </w:p>
    <w:p w14:paraId="39CCB1FF"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r w:rsidRPr="00BC3096">
        <w:rPr>
          <w:rFonts w:ascii="Helvetica" w:hAnsi="Helvetica" w:cs="Helvetica"/>
          <w:sz w:val="20"/>
          <w:szCs w:val="20"/>
        </w:rPr>
        <w:t xml:space="preserve">hedger.h </w:t>
      </w:r>
    </w:p>
    <w:p w14:paraId="178A823E" w14:textId="41FA48EE"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r w:rsidRPr="00BC3096">
        <w:rPr>
          <w:rFonts w:ascii="Helvetica" w:hAnsi="Helvetica" w:cs="Helvetica"/>
          <w:sz w:val="20"/>
          <w:szCs w:val="20"/>
        </w:rPr>
        <w:t>i0.h</w:t>
      </w:r>
    </w:p>
    <w:p w14:paraId="37B332E8"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proofErr w:type="spellStart"/>
      <w:r w:rsidRPr="00BC3096">
        <w:rPr>
          <w:rFonts w:ascii="Helvetica" w:hAnsi="Helvetica" w:cs="Helvetica"/>
          <w:sz w:val="20"/>
          <w:szCs w:val="20"/>
        </w:rPr>
        <w:t>option.h</w:t>
      </w:r>
      <w:proofErr w:type="spellEnd"/>
    </w:p>
    <w:p w14:paraId="09A2C47B" w14:textId="65C2AB63"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proofErr w:type="spellStart"/>
      <w:r w:rsidRPr="00BC3096">
        <w:rPr>
          <w:rFonts w:ascii="Helvetica" w:hAnsi="Helvetica" w:cs="Helvetica"/>
          <w:sz w:val="20"/>
          <w:szCs w:val="20"/>
        </w:rPr>
        <w:t>utils.h</w:t>
      </w:r>
      <w:proofErr w:type="spellEnd"/>
    </w:p>
    <w:p w14:paraId="5F2F644F" w14:textId="1E171E06"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Helvetica" w:hAnsi="Helvetica" w:cs="Helvetica"/>
          <w:sz w:val="20"/>
          <w:szCs w:val="20"/>
        </w:rPr>
      </w:pPr>
      <w:r w:rsidRPr="00BC3096">
        <w:rPr>
          <w:rFonts w:ascii="Helvetica" w:hAnsi="Helvetica" w:cs="Helvetica"/>
          <w:sz w:val="20"/>
          <w:szCs w:val="20"/>
        </w:rPr>
        <w:t>out/</w:t>
      </w:r>
    </w:p>
    <w:p w14:paraId="1B039AB7" w14:textId="257CFA1F"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r w:rsidRPr="00BC3096">
        <w:rPr>
          <w:rFonts w:ascii="Helvetica" w:hAnsi="Helvetica" w:cs="Helvetica"/>
          <w:sz w:val="20"/>
          <w:szCs w:val="20"/>
        </w:rPr>
        <w:t xml:space="preserve">fig HE hist.png </w:t>
      </w:r>
    </w:p>
    <w:p w14:paraId="32632FFD" w14:textId="4165B639"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r w:rsidRPr="00BC3096">
        <w:rPr>
          <w:rFonts w:ascii="Helvetica" w:hAnsi="Helvetica" w:cs="Helvetica"/>
          <w:sz w:val="20"/>
          <w:szCs w:val="20"/>
        </w:rPr>
        <w:lastRenderedPageBreak/>
        <w:t xml:space="preserve">fig delta vs price.png </w:t>
      </w:r>
    </w:p>
    <w:p w14:paraId="5BE0C64E"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r w:rsidRPr="00BC3096">
        <w:rPr>
          <w:rFonts w:ascii="Helvetica" w:hAnsi="Helvetica" w:cs="Helvetica"/>
          <w:sz w:val="20"/>
          <w:szCs w:val="20"/>
        </w:rPr>
        <w:t xml:space="preserve">fig market IV.png </w:t>
      </w:r>
    </w:p>
    <w:p w14:paraId="7CE0D333" w14:textId="2234BA6E"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r w:rsidRPr="00BC3096">
        <w:rPr>
          <w:rFonts w:ascii="Helvetica" w:hAnsi="Helvetica" w:cs="Helvetica"/>
          <w:sz w:val="20"/>
          <w:szCs w:val="20"/>
        </w:rPr>
        <w:t>fig_market_S.png</w:t>
      </w:r>
    </w:p>
    <w:p w14:paraId="581333AD"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r w:rsidRPr="00BC3096">
        <w:rPr>
          <w:rFonts w:ascii="Helvetica" w:hAnsi="Helvetica" w:cs="Helvetica"/>
          <w:sz w:val="20"/>
          <w:szCs w:val="20"/>
        </w:rPr>
        <w:t>fig_market_V.png</w:t>
      </w:r>
    </w:p>
    <w:p w14:paraId="73B2601E"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r w:rsidRPr="00BC3096">
        <w:rPr>
          <w:rFonts w:ascii="Helvetica" w:hAnsi="Helvetica" w:cs="Helvetica"/>
          <w:sz w:val="20"/>
          <w:szCs w:val="20"/>
        </w:rPr>
        <w:t>fig_market_delta.png</w:t>
      </w:r>
    </w:p>
    <w:p w14:paraId="1D1E4ACC"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r w:rsidRPr="00BC3096">
        <w:rPr>
          <w:rFonts w:ascii="Helvetica" w:hAnsi="Helvetica" w:cs="Helvetica"/>
          <w:sz w:val="20"/>
          <w:szCs w:val="20"/>
        </w:rPr>
        <w:t>fig market_pnl_vs_hedged.png</w:t>
      </w:r>
    </w:p>
    <w:p w14:paraId="2E283D2A"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r w:rsidRPr="00BC3096">
        <w:rPr>
          <w:rFonts w:ascii="Helvetica" w:hAnsi="Helvetica" w:cs="Helvetica"/>
          <w:sz w:val="20"/>
          <w:szCs w:val="20"/>
        </w:rPr>
        <w:t>fig_option_prices_all.png</w:t>
      </w:r>
    </w:p>
    <w:p w14:paraId="58BF51EB"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r w:rsidRPr="00BC3096">
        <w:rPr>
          <w:rFonts w:ascii="Helvetica" w:hAnsi="Helvetica" w:cs="Helvetica"/>
          <w:sz w:val="20"/>
          <w:szCs w:val="20"/>
        </w:rPr>
        <w:t>fig_paths_all.png</w:t>
      </w:r>
    </w:p>
    <w:p w14:paraId="3EB68029"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r w:rsidRPr="00BC3096">
        <w:rPr>
          <w:rFonts w:ascii="Helvetica" w:hAnsi="Helvetica" w:cs="Helvetica"/>
          <w:sz w:val="20"/>
          <w:szCs w:val="20"/>
        </w:rPr>
        <w:t>result.csv</w:t>
      </w:r>
    </w:p>
    <w:p w14:paraId="6A8D00B4" w14:textId="77777777"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r w:rsidRPr="00BC3096">
        <w:rPr>
          <w:rFonts w:ascii="Helvetica" w:hAnsi="Helvetica" w:cs="Helvetica"/>
          <w:sz w:val="20"/>
          <w:szCs w:val="20"/>
        </w:rPr>
        <w:t xml:space="preserve">sim hedge errors.csv </w:t>
      </w:r>
    </w:p>
    <w:p w14:paraId="7A5F6BEC" w14:textId="59248EF4" w:rsidR="00BC3096" w:rsidRPr="00BC3096" w:rsidRDefault="00BC3096" w:rsidP="00BC3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Helvetica" w:hAnsi="Helvetica" w:cs="Helvetica"/>
          <w:sz w:val="20"/>
          <w:szCs w:val="20"/>
        </w:rPr>
      </w:pPr>
      <w:r w:rsidRPr="00BC3096">
        <w:rPr>
          <w:rFonts w:ascii="Helvetica" w:hAnsi="Helvetica" w:cs="Helvetica"/>
          <w:sz w:val="20"/>
          <w:szCs w:val="20"/>
        </w:rPr>
        <w:t>sim_option_prices.csv</w:t>
      </w:r>
    </w:p>
    <w:p w14:paraId="66A59AC0" w14:textId="39BC446E" w:rsidR="00B85BF0" w:rsidRPr="00BC3096" w:rsidRDefault="00BC3096" w:rsidP="00BC3096">
      <w:pPr>
        <w:pStyle w:val="ListParagraph"/>
        <w:rPr>
          <w:sz w:val="15"/>
          <w:szCs w:val="15"/>
        </w:rPr>
      </w:pPr>
      <w:r w:rsidRPr="00BC3096">
        <w:rPr>
          <w:rFonts w:ascii="Helvetica" w:hAnsi="Helvetica" w:cs="Helvetica"/>
          <w:sz w:val="20"/>
          <w:szCs w:val="20"/>
        </w:rPr>
        <w:t>sim_paths.csv</w:t>
      </w:r>
    </w:p>
    <w:p w14:paraId="15EA785B" w14:textId="77777777" w:rsidR="00B85BF0" w:rsidRPr="00BC3096" w:rsidRDefault="00B85BF0" w:rsidP="00190A18">
      <w:pPr>
        <w:pStyle w:val="ListParagraph"/>
        <w:ind w:left="0"/>
        <w:rPr>
          <w:sz w:val="15"/>
          <w:szCs w:val="15"/>
        </w:rPr>
      </w:pPr>
    </w:p>
    <w:p w14:paraId="3551C1FE" w14:textId="77777777" w:rsidR="00B85BF0" w:rsidRPr="00BC3096" w:rsidRDefault="00B85BF0" w:rsidP="00190A18">
      <w:pPr>
        <w:pStyle w:val="ListParagraph"/>
        <w:ind w:left="0"/>
        <w:rPr>
          <w:sz w:val="15"/>
          <w:szCs w:val="15"/>
        </w:rPr>
      </w:pPr>
    </w:p>
    <w:p w14:paraId="1A2E33FE" w14:textId="77777777" w:rsidR="00190A18" w:rsidRPr="00BC3096" w:rsidRDefault="00190A18" w:rsidP="00190A18">
      <w:pPr>
        <w:pStyle w:val="ListParagraph"/>
        <w:ind w:left="0"/>
        <w:rPr>
          <w:sz w:val="15"/>
          <w:szCs w:val="15"/>
        </w:rPr>
      </w:pPr>
    </w:p>
    <w:p w14:paraId="1E4C4416" w14:textId="77777777" w:rsidR="00190A18" w:rsidRPr="00BC3096" w:rsidRDefault="00190A18">
      <w:pPr>
        <w:pStyle w:val="ListParagraph"/>
        <w:rPr>
          <w:sz w:val="15"/>
          <w:szCs w:val="15"/>
        </w:rPr>
      </w:pPr>
    </w:p>
    <w:sectPr w:rsidR="00190A18" w:rsidRPr="00BC309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B01DD" w14:textId="77777777" w:rsidR="005326BD" w:rsidRDefault="005326BD" w:rsidP="003962CD">
      <w:pPr>
        <w:spacing w:after="0" w:line="240" w:lineRule="auto"/>
      </w:pPr>
      <w:r>
        <w:separator/>
      </w:r>
    </w:p>
  </w:endnote>
  <w:endnote w:type="continuationSeparator" w:id="0">
    <w:p w14:paraId="0AC54863" w14:textId="77777777" w:rsidR="005326BD" w:rsidRDefault="005326BD" w:rsidP="00396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CC681" w14:textId="77777777" w:rsidR="005326BD" w:rsidRDefault="005326BD" w:rsidP="003962CD">
      <w:pPr>
        <w:spacing w:after="0" w:line="240" w:lineRule="auto"/>
      </w:pPr>
      <w:r>
        <w:separator/>
      </w:r>
    </w:p>
  </w:footnote>
  <w:footnote w:type="continuationSeparator" w:id="0">
    <w:p w14:paraId="51EA1425" w14:textId="77777777" w:rsidR="005326BD" w:rsidRDefault="005326BD" w:rsidP="00396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F44622"/>
    <w:multiLevelType w:val="hybridMultilevel"/>
    <w:tmpl w:val="78D8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424144"/>
    <w:multiLevelType w:val="hybridMultilevel"/>
    <w:tmpl w:val="0088C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E87D45"/>
    <w:multiLevelType w:val="hybridMultilevel"/>
    <w:tmpl w:val="1804AE70"/>
    <w:lvl w:ilvl="0" w:tplc="7F94DD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9896396">
    <w:abstractNumId w:val="8"/>
  </w:num>
  <w:num w:numId="2" w16cid:durableId="358090279">
    <w:abstractNumId w:val="6"/>
  </w:num>
  <w:num w:numId="3" w16cid:durableId="836992341">
    <w:abstractNumId w:val="5"/>
  </w:num>
  <w:num w:numId="4" w16cid:durableId="1079064092">
    <w:abstractNumId w:val="4"/>
  </w:num>
  <w:num w:numId="5" w16cid:durableId="562912421">
    <w:abstractNumId w:val="7"/>
  </w:num>
  <w:num w:numId="6" w16cid:durableId="1714571453">
    <w:abstractNumId w:val="3"/>
  </w:num>
  <w:num w:numId="7" w16cid:durableId="979532550">
    <w:abstractNumId w:val="2"/>
  </w:num>
  <w:num w:numId="8" w16cid:durableId="409155117">
    <w:abstractNumId w:val="1"/>
  </w:num>
  <w:num w:numId="9" w16cid:durableId="1938901114">
    <w:abstractNumId w:val="0"/>
  </w:num>
  <w:num w:numId="10" w16cid:durableId="1723599712">
    <w:abstractNumId w:val="10"/>
  </w:num>
  <w:num w:numId="11" w16cid:durableId="1543978698">
    <w:abstractNumId w:val="9"/>
  </w:num>
  <w:num w:numId="12" w16cid:durableId="13572715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0A18"/>
    <w:rsid w:val="0029639D"/>
    <w:rsid w:val="0029709E"/>
    <w:rsid w:val="00326F90"/>
    <w:rsid w:val="00371996"/>
    <w:rsid w:val="003962CD"/>
    <w:rsid w:val="004336E8"/>
    <w:rsid w:val="005326BD"/>
    <w:rsid w:val="005A1AAB"/>
    <w:rsid w:val="00693A1F"/>
    <w:rsid w:val="00792AC2"/>
    <w:rsid w:val="00837CD4"/>
    <w:rsid w:val="00A4715D"/>
    <w:rsid w:val="00AA1D8D"/>
    <w:rsid w:val="00AC54CF"/>
    <w:rsid w:val="00B4313D"/>
    <w:rsid w:val="00B46B87"/>
    <w:rsid w:val="00B47730"/>
    <w:rsid w:val="00B65EAE"/>
    <w:rsid w:val="00B85BF0"/>
    <w:rsid w:val="00BB7EBC"/>
    <w:rsid w:val="00BC3096"/>
    <w:rsid w:val="00C17227"/>
    <w:rsid w:val="00CB0664"/>
    <w:rsid w:val="00D244E5"/>
    <w:rsid w:val="00D94B92"/>
    <w:rsid w:val="00FC693F"/>
    <w:rsid w:val="00FD6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AC489"/>
  <w14:defaultImageDpi w14:val="300"/>
  <w15:docId w15:val="{A878DB8D-32CB-B548-889A-CEAD7593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1Custom">
    <w:name w:val="Heading1Custom"/>
    <w:rPr>
      <w:rFonts w:ascii="Calibri" w:hAnsi="Calibri"/>
      <w:b/>
      <w:sz w:val="32"/>
    </w:rPr>
  </w:style>
  <w:style w:type="paragraph" w:customStyle="1" w:styleId="Heading2Custom">
    <w:name w:val="Heading2Custom"/>
    <w:rPr>
      <w:rFonts w:ascii="Calibri" w:hAnsi="Calibri"/>
      <w:b/>
      <w:sz w:val="26"/>
    </w:rPr>
  </w:style>
  <w:style w:type="character" w:styleId="CommentReference">
    <w:name w:val="annotation reference"/>
    <w:basedOn w:val="DefaultParagraphFont"/>
    <w:uiPriority w:val="99"/>
    <w:semiHidden/>
    <w:unhideWhenUsed/>
    <w:rsid w:val="003962CD"/>
    <w:rPr>
      <w:sz w:val="16"/>
      <w:szCs w:val="16"/>
    </w:rPr>
  </w:style>
  <w:style w:type="paragraph" w:styleId="CommentText">
    <w:name w:val="annotation text"/>
    <w:basedOn w:val="Normal"/>
    <w:link w:val="CommentTextChar"/>
    <w:uiPriority w:val="99"/>
    <w:semiHidden/>
    <w:unhideWhenUsed/>
    <w:rsid w:val="003962CD"/>
    <w:pPr>
      <w:spacing w:line="240" w:lineRule="auto"/>
    </w:pPr>
    <w:rPr>
      <w:sz w:val="20"/>
      <w:szCs w:val="20"/>
    </w:rPr>
  </w:style>
  <w:style w:type="character" w:customStyle="1" w:styleId="CommentTextChar">
    <w:name w:val="Comment Text Char"/>
    <w:basedOn w:val="DefaultParagraphFont"/>
    <w:link w:val="CommentText"/>
    <w:uiPriority w:val="99"/>
    <w:semiHidden/>
    <w:rsid w:val="003962CD"/>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3962CD"/>
    <w:rPr>
      <w:b/>
      <w:bCs/>
    </w:rPr>
  </w:style>
  <w:style w:type="character" w:customStyle="1" w:styleId="CommentSubjectChar">
    <w:name w:val="Comment Subject Char"/>
    <w:basedOn w:val="CommentTextChar"/>
    <w:link w:val="CommentSubject"/>
    <w:uiPriority w:val="99"/>
    <w:semiHidden/>
    <w:rsid w:val="003962CD"/>
    <w:rPr>
      <w:rFonts w:ascii="Calibri" w:hAnsi="Calibri"/>
      <w:b/>
      <w:bCs/>
      <w:sz w:val="20"/>
      <w:szCs w:val="20"/>
    </w:rPr>
  </w:style>
  <w:style w:type="paragraph" w:styleId="NormalWeb">
    <w:name w:val="Normal (Web)"/>
    <w:basedOn w:val="Normal"/>
    <w:uiPriority w:val="99"/>
    <w:semiHidden/>
    <w:unhideWhenUsed/>
    <w:rsid w:val="003962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2AC2"/>
    <w:rPr>
      <w:rFonts w:ascii="Courier New" w:eastAsia="Times New Roman" w:hAnsi="Courier New" w:cs="Courier New"/>
      <w:sz w:val="20"/>
      <w:szCs w:val="20"/>
    </w:rPr>
  </w:style>
  <w:style w:type="character" w:styleId="PlaceholderText">
    <w:name w:val="Placeholder Text"/>
    <w:basedOn w:val="DefaultParagraphFont"/>
    <w:uiPriority w:val="99"/>
    <w:semiHidden/>
    <w:rsid w:val="00792A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87EB3A-5B7D-8F49-9B3F-F8AAD0150516}">
  <we:reference id="4b785c87-866c-4bad-85d8-5d1ae467ac9a" version="3.19.0.0" store="EXCatalog" storeType="EXCatalog"/>
  <we:alternateReferences>
    <we:reference id="WA104381909" version="3.19.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Ramesh, Aakash</cp:lastModifiedBy>
  <cp:revision>8</cp:revision>
  <dcterms:created xsi:type="dcterms:W3CDTF">2025-10-15T17:49:00Z</dcterms:created>
  <dcterms:modified xsi:type="dcterms:W3CDTF">2025-10-15T18:10:00Z</dcterms:modified>
  <cp:category/>
</cp:coreProperties>
</file>