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ptos Display" w:hAnsi="Aptos Display"/>
          <w:b/>
          <w:color w:val="17324D"/>
          <w:sz w:val="46"/>
        </w:rPr>
        <w:t>Forecasting appliance energy use</w:t>
      </w:r>
    </w:p>
    <w:p>
      <w:pPr>
        <w:spacing w:after="140"/>
      </w:pPr>
      <w:r>
        <w:rPr>
          <w:rFonts w:ascii="Aptos" w:hAnsi="Aptos"/>
          <w:color w:val="2D6CDF"/>
          <w:sz w:val="20"/>
        </w:rPr>
        <w:t>Hourly smart-home demand • 24-hour horizon • benchmarks, SARIMAX, HGB and Chronos-T5</w:t>
      </w:r>
    </w:p>
    <w:tbl>
      <w:tblPr>
        <w:tblW w:type="auto" w:w="0"/>
        <w:jc w:val="center"/>
        <w:tblLayout w:type="fixed"/>
        <w:tblLook w:firstColumn="1" w:firstRow="1" w:lastColumn="0" w:lastRow="0" w:noHBand="0" w:noVBand="1" w:val="04A0"/>
        <w:tblLayout w:type="fixed"/>
      </w:tblPr>
      <w:tblGrid>
        <w:gridCol w:w="9936"/>
      </w:tblGrid>
      <w:tr>
        <w:tc>
          <w:tcPr>
            <w:tcW w:type="dxa" w:w="9936"/>
            <w:shd w:fill="E8EEF5"/>
            <w:tcMar>
              <w:top w:w="90" w:type="dxa"/>
              <w:start w:w="130" w:type="dxa"/>
              <w:bottom w:w="90" w:type="dxa"/>
              <w:end w:w="130" w:type="dxa"/>
            </w:tcMar>
          </w:tcPr>
          <w:p>
            <w:pPr>
              <w:spacing w:after="0"/>
            </w:pPr>
            <w:r>
              <w:rPr>
                <w:b/>
                <w:color w:val="2D6CDF"/>
                <w:sz w:val="14"/>
              </w:rPr>
              <w:t xml:space="preserve">DECISION  </w:t>
            </w:r>
            <w:r>
              <w:rPr>
                <w:color w:val="17324D"/>
                <w:sz w:val="17"/>
              </w:rPr>
              <w:t>Recommend calendar-only SARIMAX: RMSE 380.34 Wh, 19.9% below the strongest benchmark, with 94.9% coverage for nominal 95% intervals. Conditional HGB is only 0.6% better in RMSE and requires future inputs.</w:t>
            </w:r>
          </w:p>
        </w:tc>
      </w:tr>
    </w:tbl>
    <w:p>
      <w:pPr>
        <w:pStyle w:val="Heading1"/>
      </w:pPr>
      <w:r>
        <w:t>Executive summary</w:t>
      </w:r>
    </w:p>
    <w:p>
      <w:pPr>
        <w:keepLines w:val="0"/>
      </w:pPr>
      <w:r>
        <w:t>This study forecasts hourly appliance energy from the UCI low-energy-house data. Six 10-minute Wh readings were summed to each hour; sensor and weather readings were averaged. The resulting 3,290-hour series is complete, strongly spiked, and patterned by hour and week. The task is a 24-hour-ahead forecast evaluated over the final 14 days as 14 rolling daily origins. This respects chronology and makes every model solve the same operational problem.</w:t>
      </w:r>
    </w:p>
    <w:p>
      <w:pPr>
        <w:keepLines w:val="0"/>
      </w:pPr>
      <w:r>
        <w:t>Weekly seasonal naive is the strongest of naive, daily seasonal naive, weekly seasonal naive and drift (RMSE 474.70 Wh), implying that occupancy routines repeat more reliably week-to-week than from the immediately preceding day. Yet a constant historical mean scores 436.34 Wh: much of the apparent seasonal signal consists of irregular bursts whose exact timing is hard to predict.</w:t>
      </w:r>
    </w:p>
    <w:p>
      <w:pPr>
        <w:keepLines w:val="0"/>
      </w:pPr>
      <w:r>
        <w:t>The lowest RMSE is conditional HGB (378.17 Wh), followed almost indistinguishably by calendar-only SARIMAX (380.34 Wh). HGB reduces MAE, but its all-covariate result uses realised future sensors and weather. Chronos-T5 tiny is competitive with the seasonal baselines (RMSE 460.51 Wh) but biased low by 196.38 Wh and its 90% interval covers only 66.96%, so zero-shot simplicity does not compensate for poor peak calibration here.</w:t>
      </w:r>
    </w:p>
    <w:tbl>
      <w:tblPr>
        <w:tblStyle w:val="TableGrid"/>
        <w:tblW w:type="auto" w:w="0"/>
        <w:jc w:val="center"/>
        <w:tblLayout w:type="fixed"/>
        <w:tblLook w:firstColumn="1" w:firstRow="1" w:lastColumn="0" w:lastRow="0" w:noHBand="0" w:noVBand="1" w:val="04A0"/>
        <w:tblLayout w:type="fixed"/>
      </w:tblPr>
      <w:tblGrid>
        <w:gridCol w:w="4031"/>
        <w:gridCol w:w="1440"/>
        <w:gridCol w:w="1440"/>
        <w:gridCol w:w="1296"/>
        <w:gridCol w:w="1440"/>
      </w:tblGrid>
      <w:tr>
        <w:trPr>
          <w:tblHeader w:val="true"/>
        </w:trPr>
        <w:tc>
          <w:tcPr>
            <w:tcW w:type="dxa" w:w="4031"/>
            <w:shd w:fill="E8EEF5"/>
            <w:vAlign w:val="center"/>
            <w:tcMar>
              <w:top w:w="50" w:type="dxa"/>
              <w:start w:w="80" w:type="dxa"/>
              <w:bottom w:w="50" w:type="dxa"/>
              <w:end w:w="80" w:type="dxa"/>
            </w:tcMar>
          </w:tcPr>
          <w:p>
            <w:pPr>
              <w:spacing w:after="0" w:line="240" w:lineRule="auto"/>
            </w:pPr>
            <w:r>
              <w:rPr>
                <w:rFonts w:ascii="Aptos" w:hAnsi="Aptos"/>
                <w:b/>
                <w:color w:val="17324D"/>
                <w:sz w:val="13"/>
              </w:rPr>
              <w:t>Model</w:t>
            </w:r>
          </w:p>
        </w:tc>
        <w:tc>
          <w:tcPr>
            <w:tcW w:type="dxa" w:w="1440"/>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RMSE</w:t>
            </w:r>
          </w:p>
        </w:tc>
        <w:tc>
          <w:tcPr>
            <w:tcW w:type="dxa" w:w="1440"/>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MAE</w:t>
            </w:r>
          </w:p>
        </w:tc>
        <w:tc>
          <w:tcPr>
            <w:tcW w:type="dxa" w:w="1296"/>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MASE</w:t>
            </w:r>
          </w:p>
        </w:tc>
        <w:tc>
          <w:tcPr>
            <w:tcW w:type="dxa" w:w="1440"/>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Bias</w:t>
            </w:r>
          </w:p>
        </w:tc>
      </w:tr>
      <w:tr>
        <w:trPr/>
        <w:tc>
          <w:tcPr>
            <w:tcW w:type="dxa" w:w="4031"/>
            <w:vAlign w:val="center"/>
            <w:tcMar>
              <w:top w:w="50" w:type="dxa"/>
              <w:start w:w="80" w:type="dxa"/>
              <w:bottom w:w="50" w:type="dxa"/>
              <w:end w:w="80" w:type="dxa"/>
            </w:tcMar>
          </w:tcPr>
          <w:p>
            <w:pPr>
              <w:spacing w:after="0" w:line="240" w:lineRule="auto"/>
            </w:pPr>
            <w:r>
              <w:rPr>
                <w:rFonts w:ascii="Aptos" w:hAnsi="Aptos"/>
                <w:color w:val="17324D"/>
                <w:sz w:val="13"/>
              </w:rPr>
              <w:t>HGB all covariates*</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378.17</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203.31</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0.634</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-53.19</w:t>
            </w:r>
          </w:p>
        </w:tc>
      </w:tr>
      <w:tr>
        <w:trPr/>
        <w:tc>
          <w:tcPr>
            <w:tcW w:type="dxa" w:w="4031"/>
            <w:vAlign w:val="center"/>
            <w:tcMar>
              <w:top w:w="50" w:type="dxa"/>
              <w:start w:w="80" w:type="dxa"/>
              <w:bottom w:w="50" w:type="dxa"/>
              <w:end w:w="80" w:type="dxa"/>
            </w:tcMar>
          </w:tcPr>
          <w:p>
            <w:pPr>
              <w:spacing w:after="0" w:line="240" w:lineRule="auto"/>
            </w:pPr>
            <w:r>
              <w:rPr>
                <w:rFonts w:ascii="Aptos" w:hAnsi="Aptos"/>
                <w:color w:val="17324D"/>
                <w:sz w:val="13"/>
              </w:rPr>
              <w:t>SARIMAX calendar</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380.34</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216.10</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0.674</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-29.12</w:t>
            </w:r>
          </w:p>
        </w:tc>
      </w:tr>
      <w:tr>
        <w:trPr/>
        <w:tc>
          <w:tcPr>
            <w:tcW w:type="dxa" w:w="4031"/>
            <w:vAlign w:val="center"/>
            <w:tcMar>
              <w:top w:w="50" w:type="dxa"/>
              <w:start w:w="80" w:type="dxa"/>
              <w:bottom w:w="50" w:type="dxa"/>
              <w:end w:w="80" w:type="dxa"/>
            </w:tcMar>
          </w:tcPr>
          <w:p>
            <w:pPr>
              <w:spacing w:after="0" w:line="240" w:lineRule="auto"/>
            </w:pPr>
            <w:r>
              <w:rPr>
                <w:rFonts w:ascii="Aptos" w:hAnsi="Aptos"/>
                <w:color w:val="17324D"/>
                <w:sz w:val="13"/>
              </w:rPr>
              <w:t>HGB + weather*</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380.88</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203.20</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0.634</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-66.16</w:t>
            </w:r>
          </w:p>
        </w:tc>
      </w:tr>
      <w:tr>
        <w:trPr/>
        <w:tc>
          <w:tcPr>
            <w:tcW w:type="dxa" w:w="4031"/>
            <w:vAlign w:val="center"/>
            <w:tcMar>
              <w:top w:w="50" w:type="dxa"/>
              <w:start w:w="80" w:type="dxa"/>
              <w:bottom w:w="50" w:type="dxa"/>
              <w:end w:w="80" w:type="dxa"/>
            </w:tcMar>
          </w:tcPr>
          <w:p>
            <w:pPr>
              <w:spacing w:after="0" w:line="240" w:lineRule="auto"/>
            </w:pPr>
            <w:r>
              <w:rPr>
                <w:rFonts w:ascii="Aptos" w:hAnsi="Aptos"/>
                <w:color w:val="17324D"/>
                <w:sz w:val="13"/>
              </w:rPr>
              <w:t>HGB lag+time</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389.16</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210.79</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0.658</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-82.94</w:t>
            </w:r>
          </w:p>
        </w:tc>
      </w:tr>
      <w:tr>
        <w:trPr/>
        <w:tc>
          <w:tcPr>
            <w:tcW w:type="dxa" w:w="4031"/>
            <w:vAlign w:val="center"/>
            <w:tcMar>
              <w:top w:w="50" w:type="dxa"/>
              <w:start w:w="80" w:type="dxa"/>
              <w:bottom w:w="50" w:type="dxa"/>
              <w:end w:w="80" w:type="dxa"/>
            </w:tcMar>
          </w:tcPr>
          <w:p>
            <w:pPr>
              <w:spacing w:after="0" w:line="240" w:lineRule="auto"/>
            </w:pPr>
            <w:r>
              <w:rPr>
                <w:rFonts w:ascii="Aptos" w:hAnsi="Aptos"/>
                <w:color w:val="17324D"/>
                <w:sz w:val="13"/>
              </w:rPr>
              <w:t>Mean</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436.34</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296.07</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0.924</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-13.32</w:t>
            </w:r>
          </w:p>
        </w:tc>
      </w:tr>
      <w:tr>
        <w:trPr/>
        <w:tc>
          <w:tcPr>
            <w:tcW w:type="dxa" w:w="4031"/>
            <w:vAlign w:val="center"/>
            <w:tcMar>
              <w:top w:w="50" w:type="dxa"/>
              <w:start w:w="80" w:type="dxa"/>
              <w:bottom w:w="50" w:type="dxa"/>
              <w:end w:w="80" w:type="dxa"/>
            </w:tcMar>
          </w:tcPr>
          <w:p>
            <w:pPr>
              <w:spacing w:after="0" w:line="240" w:lineRule="auto"/>
            </w:pPr>
            <w:r>
              <w:rPr>
                <w:rFonts w:ascii="Aptos" w:hAnsi="Aptos"/>
                <w:color w:val="17324D"/>
                <w:sz w:val="13"/>
              </w:rPr>
              <w:t>SARIMAX conditional</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456.91</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326.01</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1.017</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65.59</w:t>
            </w:r>
          </w:p>
        </w:tc>
      </w:tr>
      <w:tr>
        <w:trPr/>
        <w:tc>
          <w:tcPr>
            <w:tcW w:type="dxa" w:w="4031"/>
            <w:vAlign w:val="center"/>
            <w:tcMar>
              <w:top w:w="50" w:type="dxa"/>
              <w:start w:w="80" w:type="dxa"/>
              <w:bottom w:w="50" w:type="dxa"/>
              <w:end w:w="80" w:type="dxa"/>
            </w:tcMar>
          </w:tcPr>
          <w:p>
            <w:pPr>
              <w:spacing w:after="0" w:line="240" w:lineRule="auto"/>
            </w:pPr>
            <w:r>
              <w:rPr>
                <w:rFonts w:ascii="Aptos" w:hAnsi="Aptos"/>
                <w:color w:val="17324D"/>
                <w:sz w:val="13"/>
              </w:rPr>
              <w:t>Chronos-T5 tiny</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460.51</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227.51</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0.710</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-196.38</w:t>
            </w:r>
          </w:p>
        </w:tc>
      </w:tr>
    </w:tbl>
    <w:p>
      <w:pPr>
        <w:spacing w:after="0"/>
      </w:pPr>
    </w:p>
    <w:p>
      <w:pPr>
        <w:keepLines w:val="0"/>
      </w:pPr>
      <w:r>
        <w:rPr>
          <w:color w:val="667085"/>
          <w:sz w:val="13"/>
        </w:rPr>
        <w:t>*Conditional: realised future covariates are supplied. Metrics are Wh except dimensionless MASE.</w:t>
      </w:r>
    </w:p>
    <w:tbl>
      <w:tblPr>
        <w:tblW w:type="auto" w:w="0"/>
        <w:jc w:val="center"/>
        <w:tblLayout w:type="fixed"/>
        <w:tblLook w:firstColumn="1" w:firstRow="1" w:lastColumn="0" w:lastRow="0" w:noHBand="0" w:noVBand="1" w:val="04A0"/>
        <w:tblLayout w:type="fixed"/>
      </w:tblPr>
      <w:tblGrid>
        <w:gridCol w:w="9936"/>
      </w:tblGrid>
      <w:tr>
        <w:tc>
          <w:tcPr>
            <w:tcW w:type="dxa" w:w="9936"/>
            <w:shd w:fill="F4F6F9"/>
            <w:tcMar>
              <w:top w:w="90" w:type="dxa"/>
              <w:start w:w="130" w:type="dxa"/>
              <w:bottom w:w="90" w:type="dxa"/>
              <w:end w:w="130" w:type="dxa"/>
            </w:tcMar>
          </w:tcPr>
          <w:p>
            <w:pPr>
              <w:spacing w:after="0"/>
            </w:pPr>
            <w:r>
              <w:rPr>
                <w:b/>
                <w:color w:val="2D6CDF"/>
                <w:sz w:val="14"/>
              </w:rPr>
              <w:t xml:space="preserve">PRACTICAL RECOMMENDATION  </w:t>
            </w:r>
            <w:r>
              <w:rPr>
                <w:color w:val="17324D"/>
                <w:sz w:val="17"/>
              </w:rPr>
              <w:t>Deploy calendar-only SARIMAX as the default because it is honest at forecast origin, nearly point-optimal, interpretable, inexpensive, and produces calibrated uncertainty. Monitor residual seasonality and retrain as household routines change.</w:t>
            </w:r>
          </w:p>
        </w:tc>
      </w:tr>
    </w:tbl>
    <w:p>
      <w:r>
        <w:br w:type="page"/>
      </w:r>
    </w:p>
    <w:p>
      <w:pPr>
        <w:pStyle w:val="Heading1"/>
      </w:pPr>
      <w:r>
        <w:t>1. Dataset and preprocessing</w:t>
      </w:r>
    </w:p>
    <w:p>
      <w:pPr>
        <w:keepLines w:val="0"/>
      </w:pPr>
      <w:r>
        <w:t>The public dataset contains 19,735 observations from 11 January to 27 May 2016, sampled every 10 minutes in one Belgian low-energy house [1,2]. The target is appliance energy (`Appliances`, Wh). Covariates comprise light energy; temperature and relative humidity in nine indoor areas; outdoor-side sensors; and airport temperature, humidity, pressure, wind, visibility and dew point. The random variables `rv1` and `rv2` were excluded because they are deliberately non-predictive controls.</w:t>
      </w:r>
    </w:p>
    <w:p>
      <w:pPr>
        <w:keepLines w:val="0"/>
      </w:pPr>
      <w:r>
        <w:t>Timestamp parsing produced a unique, strictly increasing index. There are zero missing cells, missing 10-minute timestamps, duplicate timestamps or missing hourly timestamps. Appliance and light Wh readings are additive over time and were summed; temperatures, humidities and weather states were averaged. Summing is essential: averaging the six energy readings would change the physical quantity and shrink the target six-fold.</w:t>
      </w:r>
    </w:p>
    <w:p>
      <w:pPr>
        <w:spacing w:after="20"/>
        <w:jc w:val="center"/>
      </w:pPr>
      <w:r>
        <w:drawing>
          <wp:inline xmlns:a="http://schemas.openxmlformats.org/drawingml/2006/main" xmlns:pic="http://schemas.openxmlformats.org/drawingml/2006/picture">
            <wp:extent cx="6172200" cy="3791347"/>
            <wp:docPr id="1" name="Picture 1"/>
            <wp:cNvGraphicFramePr>
              <a:graphicFrameLocks noChangeAspect="1"/>
            </wp:cNvGraphicFramePr>
            <a:graphic>
              <a:graphicData uri="http://schemas.openxmlformats.org/drawingml/2006/picture">
                <pic:pic>
                  <pic:nvPicPr>
                    <pic:cNvPr id="0" name="01_eda_overview.png"/>
                    <pic:cNvPicPr/>
                  </pic:nvPicPr>
                  <pic:blipFill>
                    <a:blip r:embed="rId11"/>
                    <a:stretch>
                      <a:fillRect/>
                    </a:stretch>
                  </pic:blipFill>
                  <pic:spPr>
                    <a:xfrm>
                      <a:off x="0" y="0"/>
                      <a:ext cx="6172200" cy="3791347"/>
                    </a:xfrm>
                    <a:prstGeom prst="rect"/>
                  </pic:spPr>
                </pic:pic>
              </a:graphicData>
            </a:graphic>
          </wp:inline>
        </w:drawing>
      </w:r>
    </w:p>
    <w:p>
      <w:pPr>
        <w:spacing w:after="40"/>
        <w:jc w:val="center"/>
      </w:pPr>
      <w:r>
        <w:rPr>
          <w:i/>
          <w:color w:val="667085"/>
          <w:sz w:val="13"/>
        </w:rPr>
        <w:t>Figure 1. Hourly energy, holdout detail, intraday profile and day-of-week means.</w:t>
      </w:r>
    </w:p>
    <w:tbl>
      <w:tblPr>
        <w:tblStyle w:val="TableGrid"/>
        <w:tblW w:type="auto" w:w="0"/>
        <w:jc w:val="center"/>
        <w:tblLayout w:type="fixed"/>
        <w:tblLook w:firstColumn="1" w:firstRow="1" w:lastColumn="0" w:lastRow="0" w:noHBand="0" w:noVBand="1" w:val="04A0"/>
        <w:tblLayout w:type="fixed"/>
      </w:tblPr>
      <w:tblGrid>
        <w:gridCol w:w="1800"/>
        <w:gridCol w:w="2880"/>
        <w:gridCol w:w="1800"/>
        <w:gridCol w:w="3456"/>
      </w:tblGrid>
      <w:tr>
        <w:trPr>
          <w:tblHeader w:val="true"/>
        </w:trPr>
        <w:tc>
          <w:tcPr>
            <w:tcW w:type="dxa" w:w="1800"/>
            <w:shd w:fill="E8EEF5"/>
            <w:vAlign w:val="center"/>
            <w:tcMar>
              <w:top w:w="50" w:type="dxa"/>
              <w:start w:w="80" w:type="dxa"/>
              <w:bottom w:w="50" w:type="dxa"/>
              <w:end w:w="80" w:type="dxa"/>
            </w:tcMar>
          </w:tcPr>
          <w:p>
            <w:pPr>
              <w:spacing w:after="0" w:line="240" w:lineRule="auto"/>
            </w:pPr>
            <w:r>
              <w:rPr>
                <w:rFonts w:ascii="Aptos" w:hAnsi="Aptos"/>
                <w:b/>
                <w:color w:val="17324D"/>
                <w:sz w:val="13"/>
              </w:rPr>
              <w:t>Check</w:t>
            </w:r>
          </w:p>
        </w:tc>
        <w:tc>
          <w:tcPr>
            <w:tcW w:type="dxa" w:w="2880"/>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Result</w:t>
            </w:r>
          </w:p>
        </w:tc>
        <w:tc>
          <w:tcPr>
            <w:tcW w:type="dxa" w:w="1800"/>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Check</w:t>
            </w:r>
          </w:p>
        </w:tc>
        <w:tc>
          <w:tcPr>
            <w:tcW w:type="dxa" w:w="3456"/>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Result</w:t>
            </w:r>
          </w:p>
        </w:tc>
      </w:tr>
      <w:tr>
        <w:trPr/>
        <w:tc>
          <w:tcPr>
            <w:tcW w:type="dxa" w:w="1800"/>
            <w:vAlign w:val="center"/>
            <w:tcMar>
              <w:top w:w="50" w:type="dxa"/>
              <w:start w:w="80" w:type="dxa"/>
              <w:bottom w:w="50" w:type="dxa"/>
              <w:end w:w="80" w:type="dxa"/>
            </w:tcMar>
          </w:tcPr>
          <w:p>
            <w:pPr>
              <w:spacing w:after="0" w:line="240" w:lineRule="auto"/>
            </w:pPr>
            <w:r>
              <w:rPr>
                <w:rFonts w:ascii="Aptos" w:hAnsi="Aptos"/>
                <w:color w:val="17324D"/>
                <w:sz w:val="13"/>
              </w:rPr>
              <w:t>Raw rows</w:t>
            </w:r>
          </w:p>
        </w:tc>
        <w:tc>
          <w:tcPr>
            <w:tcW w:type="dxa" w:w="2880"/>
            <w:vAlign w:val="center"/>
            <w:tcMar>
              <w:top w:w="50" w:type="dxa"/>
              <w:start w:w="80" w:type="dxa"/>
              <w:bottom w:w="50" w:type="dxa"/>
              <w:end w:w="80" w:type="dxa"/>
            </w:tcMar>
          </w:tcPr>
          <w:p>
            <w:pPr>
              <w:spacing w:after="0" w:line="240" w:lineRule="auto"/>
              <w:jc w:val="right"/>
            </w:pPr>
            <w:r>
              <w:rPr>
                <w:rFonts w:ascii="Aptos" w:hAnsi="Aptos"/>
                <w:color w:val="17324D"/>
                <w:sz w:val="13"/>
              </w:rPr>
              <w:t>19,735</w:t>
            </w:r>
          </w:p>
        </w:tc>
        <w:tc>
          <w:tcPr>
            <w:tcW w:type="dxa" w:w="1800"/>
            <w:vAlign w:val="center"/>
            <w:tcMar>
              <w:top w:w="50" w:type="dxa"/>
              <w:start w:w="80" w:type="dxa"/>
              <w:bottom w:w="50" w:type="dxa"/>
              <w:end w:w="80" w:type="dxa"/>
            </w:tcMar>
          </w:tcPr>
          <w:p>
            <w:pPr>
              <w:spacing w:after="0" w:line="240" w:lineRule="auto"/>
              <w:jc w:val="right"/>
            </w:pPr>
            <w:r>
              <w:rPr>
                <w:rFonts w:ascii="Aptos" w:hAnsi="Aptos"/>
                <w:color w:val="17324D"/>
                <w:sz w:val="13"/>
              </w:rPr>
              <w:t>Hourly rows</w:t>
            </w:r>
          </w:p>
        </w:tc>
        <w:tc>
          <w:tcPr>
            <w:tcW w:type="dxa" w:w="3456"/>
            <w:vAlign w:val="center"/>
            <w:tcMar>
              <w:top w:w="50" w:type="dxa"/>
              <w:start w:w="80" w:type="dxa"/>
              <w:bottom w:w="50" w:type="dxa"/>
              <w:end w:w="80" w:type="dxa"/>
            </w:tcMar>
          </w:tcPr>
          <w:p>
            <w:pPr>
              <w:spacing w:after="0" w:line="240" w:lineRule="auto"/>
              <w:jc w:val="right"/>
            </w:pPr>
            <w:r>
              <w:rPr>
                <w:rFonts w:ascii="Aptos" w:hAnsi="Aptos"/>
                <w:color w:val="17324D"/>
                <w:sz w:val="13"/>
              </w:rPr>
              <w:t>3,290</w:t>
            </w:r>
          </w:p>
        </w:tc>
      </w:tr>
      <w:tr>
        <w:trPr/>
        <w:tc>
          <w:tcPr>
            <w:tcW w:type="dxa" w:w="1800"/>
            <w:vAlign w:val="center"/>
            <w:tcMar>
              <w:top w:w="50" w:type="dxa"/>
              <w:start w:w="80" w:type="dxa"/>
              <w:bottom w:w="50" w:type="dxa"/>
              <w:end w:w="80" w:type="dxa"/>
            </w:tcMar>
          </w:tcPr>
          <w:p>
            <w:pPr>
              <w:spacing w:after="0" w:line="240" w:lineRule="auto"/>
            </w:pPr>
            <w:r>
              <w:rPr>
                <w:rFonts w:ascii="Aptos" w:hAnsi="Aptos"/>
                <w:color w:val="17324D"/>
                <w:sz w:val="13"/>
              </w:rPr>
              <w:t>Missing cells</w:t>
            </w:r>
          </w:p>
        </w:tc>
        <w:tc>
          <w:tcPr>
            <w:tcW w:type="dxa" w:w="2880"/>
            <w:vAlign w:val="center"/>
            <w:tcMar>
              <w:top w:w="50" w:type="dxa"/>
              <w:start w:w="80" w:type="dxa"/>
              <w:bottom w:w="50" w:type="dxa"/>
              <w:end w:w="80" w:type="dxa"/>
            </w:tcMar>
          </w:tcPr>
          <w:p>
            <w:pPr>
              <w:spacing w:after="0" w:line="240" w:lineRule="auto"/>
              <w:jc w:val="right"/>
            </w:pPr>
            <w:r>
              <w:rPr>
                <w:rFonts w:ascii="Aptos" w:hAnsi="Aptos"/>
                <w:color w:val="17324D"/>
                <w:sz w:val="13"/>
              </w:rPr>
              <w:t>0</w:t>
            </w:r>
          </w:p>
        </w:tc>
        <w:tc>
          <w:tcPr>
            <w:tcW w:type="dxa" w:w="1800"/>
            <w:vAlign w:val="center"/>
            <w:tcMar>
              <w:top w:w="50" w:type="dxa"/>
              <w:start w:w="80" w:type="dxa"/>
              <w:bottom w:w="50" w:type="dxa"/>
              <w:end w:w="80" w:type="dxa"/>
            </w:tcMar>
          </w:tcPr>
          <w:p>
            <w:pPr>
              <w:spacing w:after="0" w:line="240" w:lineRule="auto"/>
              <w:jc w:val="right"/>
            </w:pPr>
            <w:r>
              <w:rPr>
                <w:rFonts w:ascii="Aptos" w:hAnsi="Aptos"/>
                <w:color w:val="17324D"/>
                <w:sz w:val="13"/>
              </w:rPr>
              <w:t>Missing hours</w:t>
            </w:r>
          </w:p>
        </w:tc>
        <w:tc>
          <w:tcPr>
            <w:tcW w:type="dxa" w:w="3456"/>
            <w:vAlign w:val="center"/>
            <w:tcMar>
              <w:top w:w="50" w:type="dxa"/>
              <w:start w:w="80" w:type="dxa"/>
              <w:bottom w:w="50" w:type="dxa"/>
              <w:end w:w="80" w:type="dxa"/>
            </w:tcMar>
          </w:tcPr>
          <w:p>
            <w:pPr>
              <w:spacing w:after="0" w:line="240" w:lineRule="auto"/>
              <w:jc w:val="right"/>
            </w:pPr>
            <w:r>
              <w:rPr>
                <w:rFonts w:ascii="Aptos" w:hAnsi="Aptos"/>
                <w:color w:val="17324D"/>
                <w:sz w:val="13"/>
              </w:rPr>
              <w:t>0</w:t>
            </w:r>
          </w:p>
        </w:tc>
      </w:tr>
      <w:tr>
        <w:trPr/>
        <w:tc>
          <w:tcPr>
            <w:tcW w:type="dxa" w:w="1800"/>
            <w:vAlign w:val="center"/>
            <w:tcMar>
              <w:top w:w="50" w:type="dxa"/>
              <w:start w:w="80" w:type="dxa"/>
              <w:bottom w:w="50" w:type="dxa"/>
              <w:end w:w="80" w:type="dxa"/>
            </w:tcMar>
          </w:tcPr>
          <w:p>
            <w:pPr>
              <w:spacing w:after="0" w:line="240" w:lineRule="auto"/>
            </w:pPr>
            <w:r>
              <w:rPr>
                <w:rFonts w:ascii="Aptos" w:hAnsi="Aptos"/>
                <w:color w:val="17324D"/>
                <w:sz w:val="13"/>
              </w:rPr>
              <w:t>Mean ± SD</w:t>
            </w:r>
          </w:p>
        </w:tc>
        <w:tc>
          <w:tcPr>
            <w:tcW w:type="dxa" w:w="2880"/>
            <w:vAlign w:val="center"/>
            <w:tcMar>
              <w:top w:w="50" w:type="dxa"/>
              <w:start w:w="80" w:type="dxa"/>
              <w:bottom w:w="50" w:type="dxa"/>
              <w:end w:w="80" w:type="dxa"/>
            </w:tcMar>
          </w:tcPr>
          <w:p>
            <w:pPr>
              <w:spacing w:after="0" w:line="240" w:lineRule="auto"/>
              <w:jc w:val="right"/>
            </w:pPr>
            <w:r>
              <w:rPr>
                <w:rFonts w:ascii="Aptos" w:hAnsi="Aptos"/>
                <w:color w:val="17324D"/>
                <w:sz w:val="13"/>
              </w:rPr>
              <w:t>586 ± 486 Wh</w:t>
            </w:r>
          </w:p>
        </w:tc>
        <w:tc>
          <w:tcPr>
            <w:tcW w:type="dxa" w:w="1800"/>
            <w:vAlign w:val="center"/>
            <w:tcMar>
              <w:top w:w="50" w:type="dxa"/>
              <w:start w:w="80" w:type="dxa"/>
              <w:bottom w:w="50" w:type="dxa"/>
              <w:end w:w="80" w:type="dxa"/>
            </w:tcMar>
          </w:tcPr>
          <w:p>
            <w:pPr>
              <w:spacing w:after="0" w:line="240" w:lineRule="auto"/>
              <w:jc w:val="right"/>
            </w:pPr>
            <w:r>
              <w:rPr>
                <w:rFonts w:ascii="Aptos" w:hAnsi="Aptos"/>
                <w:color w:val="17324D"/>
                <w:sz w:val="13"/>
              </w:rPr>
              <w:t>Range</w:t>
            </w:r>
          </w:p>
        </w:tc>
        <w:tc>
          <w:tcPr>
            <w:tcW w:type="dxa" w:w="3456"/>
            <w:vAlign w:val="center"/>
            <w:tcMar>
              <w:top w:w="50" w:type="dxa"/>
              <w:start w:w="80" w:type="dxa"/>
              <w:bottom w:w="50" w:type="dxa"/>
              <w:end w:w="80" w:type="dxa"/>
            </w:tcMar>
          </w:tcPr>
          <w:p>
            <w:pPr>
              <w:spacing w:after="0" w:line="240" w:lineRule="auto"/>
              <w:jc w:val="right"/>
            </w:pPr>
            <w:r>
              <w:rPr>
                <w:rFonts w:ascii="Aptos" w:hAnsi="Aptos"/>
                <w:color w:val="17324D"/>
                <w:sz w:val="13"/>
              </w:rPr>
              <w:t>170–3650 Wh</w:t>
            </w:r>
          </w:p>
        </w:tc>
      </w:tr>
    </w:tbl>
    <w:p>
      <w:pPr>
        <w:spacing w:after="0"/>
      </w:pPr>
    </w:p>
    <w:p>
      <w:pPr>
        <w:keepLines w:val="0"/>
      </w:pPr>
      <w:r>
        <w:rPr>
          <w:b/>
        </w:rPr>
        <w:t xml:space="preserve">Interpretation. </w:t>
      </w:r>
      <w:r>
        <w:t>The series combines a stable low base with intermittent appliance events up to 3,650 Wh. Mean demand peaks around 18:00 and is highest on Monday and Saturday, but mean–median separation confirms right-skewed bursts. A weekly or calendar-aware model is plausible, while peak timing limits achievable squared-error accuracy.</w:t>
      </w:r>
    </w:p>
    <w:p>
      <w:r>
        <w:br w:type="page"/>
      </w:r>
    </w:p>
    <w:p>
      <w:pPr>
        <w:pStyle w:val="Heading1"/>
      </w:pPr>
      <w:r>
        <w:t>2. Components, seasonality and stationarity</w:t>
      </w:r>
    </w:p>
    <w:p>
      <w:pPr>
        <w:keepLines w:val="0"/>
      </w:pPr>
      <w:r>
        <w:t>STL with period 24 separates a slowly moving level, a repeatable daily profile and a large irregular remainder. The ACF oscillates every 24 hours and remains positive at one week; empirical correlations are 0.581, 0.306 and 0.329 at lags 1, 24 and 168. Seasonality is therefore real but moderate: daily and weekly repetitions explain routine, not the occurrence or magnitude of every usage spike.</w:t>
      </w:r>
    </w:p>
    <w:p>
      <w:pPr>
        <w:spacing w:after="20"/>
        <w:jc w:val="center"/>
      </w:pPr>
      <w:r>
        <w:drawing>
          <wp:inline xmlns:a="http://schemas.openxmlformats.org/drawingml/2006/main" xmlns:pic="http://schemas.openxmlformats.org/drawingml/2006/picture">
            <wp:extent cx="6144768" cy="3772923"/>
            <wp:docPr id="2" name="Picture 2"/>
            <wp:cNvGraphicFramePr>
              <a:graphicFrameLocks noChangeAspect="1"/>
            </wp:cNvGraphicFramePr>
            <a:graphic>
              <a:graphicData uri="http://schemas.openxmlformats.org/drawingml/2006/picture">
                <pic:pic>
                  <pic:nvPicPr>
                    <pic:cNvPr id="0" name="02_components_acf.png"/>
                    <pic:cNvPicPr/>
                  </pic:nvPicPr>
                  <pic:blipFill>
                    <a:blip r:embed="rId12"/>
                    <a:stretch>
                      <a:fillRect/>
                    </a:stretch>
                  </pic:blipFill>
                  <pic:spPr>
                    <a:xfrm>
                      <a:off x="0" y="0"/>
                      <a:ext cx="6144768" cy="3772923"/>
                    </a:xfrm>
                    <a:prstGeom prst="rect"/>
                  </pic:spPr>
                </pic:pic>
              </a:graphicData>
            </a:graphic>
          </wp:inline>
        </w:drawing>
      </w:r>
    </w:p>
    <w:p>
      <w:pPr>
        <w:spacing w:after="40"/>
        <w:jc w:val="center"/>
      </w:pPr>
      <w:r>
        <w:rPr>
          <w:i/>
          <w:color w:val="667085"/>
          <w:sz w:val="13"/>
        </w:rPr>
        <w:t>Figure 2. Robust STL components and ACF through eight days; daily oscillation and weekly persistence are visible.</w:t>
      </w:r>
    </w:p>
    <w:tbl>
      <w:tblPr>
        <w:tblStyle w:val="TableGrid"/>
        <w:tblW w:type="auto" w:w="0"/>
        <w:jc w:val="center"/>
        <w:tblLayout w:type="fixed"/>
        <w:tblLook w:firstColumn="1" w:firstRow="1" w:lastColumn="0" w:lastRow="0" w:noHBand="0" w:noVBand="1" w:val="04A0"/>
        <w:tblLayout w:type="fixed"/>
      </w:tblPr>
      <w:tblGrid>
        <w:gridCol w:w="3456"/>
        <w:gridCol w:w="1584"/>
        <w:gridCol w:w="1440"/>
        <w:gridCol w:w="1728"/>
        <w:gridCol w:w="1584"/>
      </w:tblGrid>
      <w:tr>
        <w:trPr>
          <w:tblHeader w:val="true"/>
        </w:trPr>
        <w:tc>
          <w:tcPr>
            <w:tcW w:type="dxa" w:w="3456"/>
            <w:shd w:fill="E8EEF5"/>
            <w:vAlign w:val="center"/>
            <w:tcMar>
              <w:top w:w="50" w:type="dxa"/>
              <w:start w:w="80" w:type="dxa"/>
              <w:bottom w:w="50" w:type="dxa"/>
              <w:end w:w="80" w:type="dxa"/>
            </w:tcMar>
          </w:tcPr>
          <w:p>
            <w:pPr>
              <w:spacing w:after="0" w:line="240" w:lineRule="auto"/>
            </w:pPr>
            <w:r>
              <w:rPr>
                <w:rFonts w:ascii="Aptos" w:hAnsi="Aptos"/>
                <w:b/>
                <w:color w:val="17324D"/>
                <w:sz w:val="13"/>
              </w:rPr>
              <w:t>Transformation</w:t>
            </w:r>
          </w:p>
        </w:tc>
        <w:tc>
          <w:tcPr>
            <w:tcW w:type="dxa" w:w="1584"/>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ADF stat</w:t>
            </w:r>
          </w:p>
        </w:tc>
        <w:tc>
          <w:tcPr>
            <w:tcW w:type="dxa" w:w="1440"/>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ADF p</w:t>
            </w:r>
          </w:p>
        </w:tc>
        <w:tc>
          <w:tcPr>
            <w:tcW w:type="dxa" w:w="1728"/>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KPSS stat</w:t>
            </w:r>
          </w:p>
        </w:tc>
        <w:tc>
          <w:tcPr>
            <w:tcW w:type="dxa" w:w="1584"/>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KPSS p</w:t>
            </w:r>
          </w:p>
        </w:tc>
      </w:tr>
      <w:tr>
        <w:trPr/>
        <w:tc>
          <w:tcPr>
            <w:tcW w:type="dxa" w:w="3456"/>
            <w:vAlign w:val="center"/>
            <w:tcMar>
              <w:top w:w="50" w:type="dxa"/>
              <w:start w:w="80" w:type="dxa"/>
              <w:bottom w:w="50" w:type="dxa"/>
              <w:end w:w="80" w:type="dxa"/>
            </w:tcMar>
          </w:tcPr>
          <w:p>
            <w:pPr>
              <w:spacing w:after="0" w:line="240" w:lineRule="auto"/>
            </w:pPr>
            <w:r>
              <w:rPr>
                <w:rFonts w:ascii="Aptos" w:hAnsi="Aptos"/>
                <w:color w:val="17324D"/>
                <w:sz w:val="13"/>
              </w:rPr>
              <w:t>Level</w:t>
            </w:r>
          </w:p>
        </w:tc>
        <w:tc>
          <w:tcPr>
            <w:tcW w:type="dxa" w:w="1584"/>
            <w:vAlign w:val="center"/>
            <w:tcMar>
              <w:top w:w="50" w:type="dxa"/>
              <w:start w:w="80" w:type="dxa"/>
              <w:bottom w:w="50" w:type="dxa"/>
              <w:end w:w="80" w:type="dxa"/>
            </w:tcMar>
          </w:tcPr>
          <w:p>
            <w:pPr>
              <w:spacing w:after="0" w:line="240" w:lineRule="auto"/>
              <w:jc w:val="right"/>
            </w:pPr>
            <w:r>
              <w:rPr>
                <w:rFonts w:ascii="Aptos" w:hAnsi="Aptos"/>
                <w:color w:val="17324D"/>
                <w:sz w:val="13"/>
              </w:rPr>
              <w:t>-9.127</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3.1e-15</w:t>
            </w:r>
          </w:p>
        </w:tc>
        <w:tc>
          <w:tcPr>
            <w:tcW w:type="dxa" w:w="1728"/>
            <w:vAlign w:val="center"/>
            <w:tcMar>
              <w:top w:w="50" w:type="dxa"/>
              <w:start w:w="80" w:type="dxa"/>
              <w:bottom w:w="50" w:type="dxa"/>
              <w:end w:w="80" w:type="dxa"/>
            </w:tcMar>
          </w:tcPr>
          <w:p>
            <w:pPr>
              <w:spacing w:after="0" w:line="240" w:lineRule="auto"/>
              <w:jc w:val="right"/>
            </w:pPr>
            <w:r>
              <w:rPr>
                <w:rFonts w:ascii="Aptos" w:hAnsi="Aptos"/>
                <w:color w:val="17324D"/>
                <w:sz w:val="13"/>
              </w:rPr>
              <w:t>0.042</w:t>
            </w:r>
          </w:p>
        </w:tc>
        <w:tc>
          <w:tcPr>
            <w:tcW w:type="dxa" w:w="1584"/>
            <w:vAlign w:val="center"/>
            <w:tcMar>
              <w:top w:w="50" w:type="dxa"/>
              <w:start w:w="80" w:type="dxa"/>
              <w:bottom w:w="50" w:type="dxa"/>
              <w:end w:w="80" w:type="dxa"/>
            </w:tcMar>
          </w:tcPr>
          <w:p>
            <w:pPr>
              <w:spacing w:after="0" w:line="240" w:lineRule="auto"/>
              <w:jc w:val="right"/>
            </w:pPr>
            <w:r>
              <w:rPr>
                <w:rFonts w:ascii="Aptos" w:hAnsi="Aptos"/>
                <w:color w:val="17324D"/>
                <w:sz w:val="13"/>
              </w:rPr>
              <w:t>≥0.10</w:t>
            </w:r>
          </w:p>
        </w:tc>
      </w:tr>
      <w:tr>
        <w:trPr/>
        <w:tc>
          <w:tcPr>
            <w:tcW w:type="dxa" w:w="3456"/>
            <w:vAlign w:val="center"/>
            <w:tcMar>
              <w:top w:w="50" w:type="dxa"/>
              <w:start w:w="80" w:type="dxa"/>
              <w:bottom w:w="50" w:type="dxa"/>
              <w:end w:w="80" w:type="dxa"/>
            </w:tcMar>
          </w:tcPr>
          <w:p>
            <w:pPr>
              <w:spacing w:after="0" w:line="240" w:lineRule="auto"/>
            </w:pPr>
            <w:r>
              <w:rPr>
                <w:rFonts w:ascii="Aptos" w:hAnsi="Aptos"/>
                <w:color w:val="17324D"/>
                <w:sz w:val="13"/>
              </w:rPr>
              <w:t>First difference</w:t>
            </w:r>
          </w:p>
        </w:tc>
        <w:tc>
          <w:tcPr>
            <w:tcW w:type="dxa" w:w="1584"/>
            <w:vAlign w:val="center"/>
            <w:tcMar>
              <w:top w:w="50" w:type="dxa"/>
              <w:start w:w="80" w:type="dxa"/>
              <w:bottom w:w="50" w:type="dxa"/>
              <w:end w:w="80" w:type="dxa"/>
            </w:tcMar>
          </w:tcPr>
          <w:p>
            <w:pPr>
              <w:spacing w:after="0" w:line="240" w:lineRule="auto"/>
              <w:jc w:val="right"/>
            </w:pPr>
            <w:r>
              <w:rPr>
                <w:rFonts w:ascii="Aptos" w:hAnsi="Aptos"/>
                <w:color w:val="17324D"/>
                <w:sz w:val="13"/>
              </w:rPr>
              <w:t>-16.907</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1e-29</w:t>
            </w:r>
          </w:p>
        </w:tc>
        <w:tc>
          <w:tcPr>
            <w:tcW w:type="dxa" w:w="1728"/>
            <w:vAlign w:val="center"/>
            <w:tcMar>
              <w:top w:w="50" w:type="dxa"/>
              <w:start w:w="80" w:type="dxa"/>
              <w:bottom w:w="50" w:type="dxa"/>
              <w:end w:w="80" w:type="dxa"/>
            </w:tcMar>
          </w:tcPr>
          <w:p>
            <w:pPr>
              <w:spacing w:after="0" w:line="240" w:lineRule="auto"/>
              <w:jc w:val="right"/>
            </w:pPr>
            <w:r>
              <w:rPr>
                <w:rFonts w:ascii="Aptos" w:hAnsi="Aptos"/>
                <w:color w:val="17324D"/>
                <w:sz w:val="13"/>
              </w:rPr>
              <w:t>0.018</w:t>
            </w:r>
          </w:p>
        </w:tc>
        <w:tc>
          <w:tcPr>
            <w:tcW w:type="dxa" w:w="1584"/>
            <w:vAlign w:val="center"/>
            <w:tcMar>
              <w:top w:w="50" w:type="dxa"/>
              <w:start w:w="80" w:type="dxa"/>
              <w:bottom w:w="50" w:type="dxa"/>
              <w:end w:w="80" w:type="dxa"/>
            </w:tcMar>
          </w:tcPr>
          <w:p>
            <w:pPr>
              <w:spacing w:after="0" w:line="240" w:lineRule="auto"/>
              <w:jc w:val="right"/>
            </w:pPr>
            <w:r>
              <w:rPr>
                <w:rFonts w:ascii="Aptos" w:hAnsi="Aptos"/>
                <w:color w:val="17324D"/>
                <w:sz w:val="13"/>
              </w:rPr>
              <w:t>≥0.10</w:t>
            </w:r>
          </w:p>
        </w:tc>
      </w:tr>
      <w:tr>
        <w:trPr/>
        <w:tc>
          <w:tcPr>
            <w:tcW w:type="dxa" w:w="3456"/>
            <w:vAlign w:val="center"/>
            <w:tcMar>
              <w:top w:w="50" w:type="dxa"/>
              <w:start w:w="80" w:type="dxa"/>
              <w:bottom w:w="50" w:type="dxa"/>
              <w:end w:w="80" w:type="dxa"/>
            </w:tcMar>
          </w:tcPr>
          <w:p>
            <w:pPr>
              <w:spacing w:after="0" w:line="240" w:lineRule="auto"/>
            </w:pPr>
            <w:r>
              <w:rPr>
                <w:rFonts w:ascii="Aptos" w:hAnsi="Aptos"/>
                <w:color w:val="17324D"/>
                <w:sz w:val="13"/>
              </w:rPr>
              <w:t>Daily difference</w:t>
            </w:r>
          </w:p>
        </w:tc>
        <w:tc>
          <w:tcPr>
            <w:tcW w:type="dxa" w:w="1584"/>
            <w:vAlign w:val="center"/>
            <w:tcMar>
              <w:top w:w="50" w:type="dxa"/>
              <w:start w:w="80" w:type="dxa"/>
              <w:bottom w:w="50" w:type="dxa"/>
              <w:end w:w="80" w:type="dxa"/>
            </w:tcMar>
          </w:tcPr>
          <w:p>
            <w:pPr>
              <w:spacing w:after="0" w:line="240" w:lineRule="auto"/>
              <w:jc w:val="right"/>
            </w:pPr>
            <w:r>
              <w:rPr>
                <w:rFonts w:ascii="Aptos" w:hAnsi="Aptos"/>
                <w:color w:val="17324D"/>
                <w:sz w:val="13"/>
              </w:rPr>
              <w:t>-13.646</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1.6e-25</w:t>
            </w:r>
          </w:p>
        </w:tc>
        <w:tc>
          <w:tcPr>
            <w:tcW w:type="dxa" w:w="1728"/>
            <w:vAlign w:val="center"/>
            <w:tcMar>
              <w:top w:w="50" w:type="dxa"/>
              <w:start w:w="80" w:type="dxa"/>
              <w:bottom w:w="50" w:type="dxa"/>
              <w:end w:w="80" w:type="dxa"/>
            </w:tcMar>
          </w:tcPr>
          <w:p>
            <w:pPr>
              <w:spacing w:after="0" w:line="240" w:lineRule="auto"/>
              <w:jc w:val="right"/>
            </w:pPr>
            <w:r>
              <w:rPr>
                <w:rFonts w:ascii="Aptos" w:hAnsi="Aptos"/>
                <w:color w:val="17324D"/>
                <w:sz w:val="13"/>
              </w:rPr>
              <w:t>0.007</w:t>
            </w:r>
          </w:p>
        </w:tc>
        <w:tc>
          <w:tcPr>
            <w:tcW w:type="dxa" w:w="1584"/>
            <w:vAlign w:val="center"/>
            <w:tcMar>
              <w:top w:w="50" w:type="dxa"/>
              <w:start w:w="80" w:type="dxa"/>
              <w:bottom w:w="50" w:type="dxa"/>
              <w:end w:w="80" w:type="dxa"/>
            </w:tcMar>
          </w:tcPr>
          <w:p>
            <w:pPr>
              <w:spacing w:after="0" w:line="240" w:lineRule="auto"/>
              <w:jc w:val="right"/>
            </w:pPr>
            <w:r>
              <w:rPr>
                <w:rFonts w:ascii="Aptos" w:hAnsi="Aptos"/>
                <w:color w:val="17324D"/>
                <w:sz w:val="13"/>
              </w:rPr>
              <w:t>≥0.10</w:t>
            </w:r>
          </w:p>
        </w:tc>
      </w:tr>
      <w:tr>
        <w:trPr/>
        <w:tc>
          <w:tcPr>
            <w:tcW w:type="dxa" w:w="3456"/>
            <w:vAlign w:val="center"/>
            <w:tcMar>
              <w:top w:w="50" w:type="dxa"/>
              <w:start w:w="80" w:type="dxa"/>
              <w:bottom w:w="50" w:type="dxa"/>
              <w:end w:w="80" w:type="dxa"/>
            </w:tcMar>
          </w:tcPr>
          <w:p>
            <w:pPr>
              <w:spacing w:after="0" w:line="240" w:lineRule="auto"/>
            </w:pPr>
            <w:r>
              <w:rPr>
                <w:rFonts w:ascii="Aptos" w:hAnsi="Aptos"/>
                <w:color w:val="17324D"/>
                <w:sz w:val="13"/>
              </w:rPr>
              <w:t>First + daily difference</w:t>
            </w:r>
          </w:p>
        </w:tc>
        <w:tc>
          <w:tcPr>
            <w:tcW w:type="dxa" w:w="1584"/>
            <w:vAlign w:val="center"/>
            <w:tcMar>
              <w:top w:w="50" w:type="dxa"/>
              <w:start w:w="80" w:type="dxa"/>
              <w:bottom w:w="50" w:type="dxa"/>
              <w:end w:w="80" w:type="dxa"/>
            </w:tcMar>
          </w:tcPr>
          <w:p>
            <w:pPr>
              <w:spacing w:after="0" w:line="240" w:lineRule="auto"/>
              <w:jc w:val="right"/>
            </w:pPr>
            <w:r>
              <w:rPr>
                <w:rFonts w:ascii="Aptos" w:hAnsi="Aptos"/>
                <w:color w:val="17324D"/>
                <w:sz w:val="13"/>
              </w:rPr>
              <w:t>-17.978</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2.8e-30</w:t>
            </w:r>
          </w:p>
        </w:tc>
        <w:tc>
          <w:tcPr>
            <w:tcW w:type="dxa" w:w="1728"/>
            <w:vAlign w:val="center"/>
            <w:tcMar>
              <w:top w:w="50" w:type="dxa"/>
              <w:start w:w="80" w:type="dxa"/>
              <w:bottom w:w="50" w:type="dxa"/>
              <w:end w:w="80" w:type="dxa"/>
            </w:tcMar>
          </w:tcPr>
          <w:p>
            <w:pPr>
              <w:spacing w:after="0" w:line="240" w:lineRule="auto"/>
              <w:jc w:val="right"/>
            </w:pPr>
            <w:r>
              <w:rPr>
                <w:rFonts w:ascii="Aptos" w:hAnsi="Aptos"/>
                <w:color w:val="17324D"/>
                <w:sz w:val="13"/>
              </w:rPr>
              <w:t>0.031</w:t>
            </w:r>
          </w:p>
        </w:tc>
        <w:tc>
          <w:tcPr>
            <w:tcW w:type="dxa" w:w="1584"/>
            <w:vAlign w:val="center"/>
            <w:tcMar>
              <w:top w:w="50" w:type="dxa"/>
              <w:start w:w="80" w:type="dxa"/>
              <w:bottom w:w="50" w:type="dxa"/>
              <w:end w:w="80" w:type="dxa"/>
            </w:tcMar>
          </w:tcPr>
          <w:p>
            <w:pPr>
              <w:spacing w:after="0" w:line="240" w:lineRule="auto"/>
              <w:jc w:val="right"/>
            </w:pPr>
            <w:r>
              <w:rPr>
                <w:rFonts w:ascii="Aptos" w:hAnsi="Aptos"/>
                <w:color w:val="17324D"/>
                <w:sz w:val="13"/>
              </w:rPr>
              <w:t>≥0.10</w:t>
            </w:r>
          </w:p>
        </w:tc>
      </w:tr>
    </w:tbl>
    <w:p>
      <w:pPr>
        <w:spacing w:after="0"/>
      </w:pPr>
    </w:p>
    <w:p>
      <w:pPr>
        <w:keepLines w:val="0"/>
      </w:pPr>
      <w:r>
        <w:t>ADF rejects a unit root and KPSS does not reject level stationarity even before differencing. This is not contradictory to seasonality: a stationary process may have a deterministic seasonal mean and short-memory autocorrelation. The AIC screen nonetheless selected d=1, suggesting differencing improves likelihood once ARMA errors are modelled. Daily differencing is diagnostically stationary but was not forced, avoiding unnecessary over-differencing; daily dependence is handled by seasonal AR and MA terms.</w:t>
      </w:r>
    </w:p>
    <w:tbl>
      <w:tblPr>
        <w:tblW w:type="auto" w:w="0"/>
        <w:jc w:val="center"/>
        <w:tblLayout w:type="fixed"/>
        <w:tblLook w:firstColumn="1" w:firstRow="1" w:lastColumn="0" w:lastRow="0" w:noHBand="0" w:noVBand="1" w:val="04A0"/>
        <w:tblLayout w:type="fixed"/>
      </w:tblPr>
      <w:tblGrid>
        <w:gridCol w:w="9936"/>
      </w:tblGrid>
      <w:tr>
        <w:tc>
          <w:tcPr>
            <w:tcW w:type="dxa" w:w="9936"/>
            <w:shd w:fill="F4F6F9"/>
            <w:tcMar>
              <w:top w:w="90" w:type="dxa"/>
              <w:start w:w="130" w:type="dxa"/>
              <w:bottom w:w="90" w:type="dxa"/>
              <w:end w:w="130" w:type="dxa"/>
            </w:tcMar>
          </w:tcPr>
          <w:p>
            <w:pPr>
              <w:spacing w:after="0"/>
            </w:pPr>
            <w:r>
              <w:rPr>
                <w:b/>
                <w:color w:val="2D6CDF"/>
                <w:sz w:val="14"/>
              </w:rPr>
              <w:t xml:space="preserve">CAUTION  </w:t>
            </w:r>
            <w:r>
              <w:rPr>
                <w:color w:val="17324D"/>
                <w:sz w:val="17"/>
              </w:rPr>
              <w:t>Statistical stationarity tests do not make the household invariant. The sample spans only 4.5 months, so annual seasonality, holidays, occupancy changes and concept drift cannot be learned or ruled out.</w:t>
            </w:r>
          </w:p>
        </w:tc>
      </w:tr>
    </w:tbl>
    <w:p>
      <w:r>
        <w:br w:type="page"/>
      </w:r>
    </w:p>
    <w:p>
      <w:pPr>
        <w:pStyle w:val="Heading1"/>
      </w:pPr>
      <w:r>
        <w:t>3. Forecasting problem and evaluation design</w:t>
      </w:r>
    </w:p>
    <w:tbl>
      <w:tblPr>
        <w:tblStyle w:val="TableGrid"/>
        <w:tblW w:type="auto" w:w="0"/>
        <w:jc w:val="center"/>
        <w:tblLayout w:type="fixed"/>
        <w:tblLook w:firstColumn="1" w:firstRow="1" w:lastColumn="0" w:lastRow="0" w:noHBand="0" w:noVBand="1" w:val="04A0"/>
        <w:tblLayout w:type="fixed"/>
      </w:tblPr>
      <w:tblGrid>
        <w:gridCol w:w="1800"/>
        <w:gridCol w:w="3384"/>
        <w:gridCol w:w="4608"/>
      </w:tblGrid>
      <w:tr>
        <w:trPr>
          <w:tblHeader w:val="true"/>
        </w:trPr>
        <w:tc>
          <w:tcPr>
            <w:tcW w:type="dxa" w:w="1800"/>
            <w:shd w:fill="E8EEF5"/>
            <w:vAlign w:val="center"/>
            <w:tcMar>
              <w:top w:w="50" w:type="dxa"/>
              <w:start w:w="80" w:type="dxa"/>
              <w:bottom w:w="50" w:type="dxa"/>
              <w:end w:w="80" w:type="dxa"/>
            </w:tcMar>
          </w:tcPr>
          <w:p>
            <w:pPr>
              <w:spacing w:after="0" w:line="240" w:lineRule="auto"/>
            </w:pPr>
            <w:r>
              <w:rPr>
                <w:rFonts w:ascii="Aptos" w:hAnsi="Aptos"/>
                <w:b/>
                <w:color w:val="17324D"/>
                <w:sz w:val="14"/>
              </w:rPr>
              <w:t>Design element</w:t>
            </w:r>
          </w:p>
        </w:tc>
        <w:tc>
          <w:tcPr>
            <w:tcW w:type="dxa" w:w="3384"/>
            <w:shd w:fill="E8EEF5"/>
            <w:vAlign w:val="center"/>
            <w:tcMar>
              <w:top w:w="50" w:type="dxa"/>
              <w:start w:w="80" w:type="dxa"/>
              <w:bottom w:w="50" w:type="dxa"/>
              <w:end w:w="80" w:type="dxa"/>
            </w:tcMar>
          </w:tcPr>
          <w:p>
            <w:pPr>
              <w:spacing w:after="0" w:line="240" w:lineRule="auto"/>
              <w:jc w:val="right"/>
            </w:pPr>
            <w:r>
              <w:rPr>
                <w:rFonts w:ascii="Aptos" w:hAnsi="Aptos"/>
                <w:b/>
                <w:color w:val="17324D"/>
                <w:sz w:val="14"/>
              </w:rPr>
              <w:t>Choice</w:t>
            </w:r>
          </w:p>
        </w:tc>
        <w:tc>
          <w:tcPr>
            <w:tcW w:type="dxa" w:w="4608"/>
            <w:shd w:fill="E8EEF5"/>
            <w:vAlign w:val="center"/>
            <w:tcMar>
              <w:top w:w="50" w:type="dxa"/>
              <w:start w:w="80" w:type="dxa"/>
              <w:bottom w:w="50" w:type="dxa"/>
              <w:end w:w="80" w:type="dxa"/>
            </w:tcMar>
          </w:tcPr>
          <w:p>
            <w:pPr>
              <w:spacing w:after="0" w:line="240" w:lineRule="auto"/>
              <w:jc w:val="right"/>
            </w:pPr>
            <w:r>
              <w:rPr>
                <w:rFonts w:ascii="Aptos" w:hAnsi="Aptos"/>
                <w:b/>
                <w:color w:val="17324D"/>
                <w:sz w:val="14"/>
              </w:rPr>
              <w:t>Why</w:t>
            </w:r>
          </w:p>
        </w:tc>
      </w:tr>
      <w:tr>
        <w:trPr/>
        <w:tc>
          <w:tcPr>
            <w:tcW w:type="dxa" w:w="1800"/>
            <w:vAlign w:val="center"/>
            <w:tcMar>
              <w:top w:w="50" w:type="dxa"/>
              <w:start w:w="80" w:type="dxa"/>
              <w:bottom w:w="50" w:type="dxa"/>
              <w:end w:w="80" w:type="dxa"/>
            </w:tcMar>
          </w:tcPr>
          <w:p>
            <w:pPr>
              <w:spacing w:after="0" w:line="240" w:lineRule="auto"/>
            </w:pPr>
            <w:r>
              <w:rPr>
                <w:rFonts w:ascii="Aptos" w:hAnsi="Aptos"/>
                <w:color w:val="17324D"/>
                <w:sz w:val="14"/>
              </w:rPr>
              <w:t>Target</w:t>
            </w:r>
          </w:p>
        </w:tc>
        <w:tc>
          <w:tcPr>
            <w:tcW w:type="dxa" w:w="3384"/>
            <w:vAlign w:val="center"/>
            <w:tcMar>
              <w:top w:w="50" w:type="dxa"/>
              <w:start w:w="80" w:type="dxa"/>
              <w:bottom w:w="50" w:type="dxa"/>
              <w:end w:w="80" w:type="dxa"/>
            </w:tcMar>
          </w:tcPr>
          <w:p>
            <w:pPr>
              <w:spacing w:after="0" w:line="240" w:lineRule="auto"/>
              <w:jc w:val="right"/>
            </w:pPr>
            <w:r>
              <w:rPr>
                <w:rFonts w:ascii="Aptos" w:hAnsi="Aptos"/>
                <w:color w:val="17324D"/>
                <w:sz w:val="14"/>
              </w:rPr>
              <w:t>Hourly appliance Wh</w:t>
            </w:r>
          </w:p>
        </w:tc>
        <w:tc>
          <w:tcPr>
            <w:tcW w:type="dxa" w:w="4608"/>
            <w:vAlign w:val="center"/>
            <w:tcMar>
              <w:top w:w="50" w:type="dxa"/>
              <w:start w:w="80" w:type="dxa"/>
              <w:bottom w:w="50" w:type="dxa"/>
              <w:end w:w="80" w:type="dxa"/>
            </w:tcMar>
          </w:tcPr>
          <w:p>
            <w:pPr>
              <w:spacing w:after="0" w:line="240" w:lineRule="auto"/>
              <w:jc w:val="right"/>
            </w:pPr>
            <w:r>
              <w:rPr>
                <w:rFonts w:ascii="Aptos" w:hAnsi="Aptos"/>
                <w:color w:val="17324D"/>
                <w:sz w:val="14"/>
              </w:rPr>
              <w:t>Operational energy total; non-negative</w:t>
            </w:r>
          </w:p>
        </w:tc>
      </w:tr>
      <w:tr>
        <w:trPr/>
        <w:tc>
          <w:tcPr>
            <w:tcW w:type="dxa" w:w="1800"/>
            <w:vAlign w:val="center"/>
            <w:tcMar>
              <w:top w:w="50" w:type="dxa"/>
              <w:start w:w="80" w:type="dxa"/>
              <w:bottom w:w="50" w:type="dxa"/>
              <w:end w:w="80" w:type="dxa"/>
            </w:tcMar>
          </w:tcPr>
          <w:p>
            <w:pPr>
              <w:spacing w:after="0" w:line="240" w:lineRule="auto"/>
            </w:pPr>
            <w:r>
              <w:rPr>
                <w:rFonts w:ascii="Aptos" w:hAnsi="Aptos"/>
                <w:color w:val="17324D"/>
                <w:sz w:val="14"/>
              </w:rPr>
              <w:t>Horizon</w:t>
            </w:r>
          </w:p>
        </w:tc>
        <w:tc>
          <w:tcPr>
            <w:tcW w:type="dxa" w:w="3384"/>
            <w:vAlign w:val="center"/>
            <w:tcMar>
              <w:top w:w="50" w:type="dxa"/>
              <w:start w:w="80" w:type="dxa"/>
              <w:bottom w:w="50" w:type="dxa"/>
              <w:end w:w="80" w:type="dxa"/>
            </w:tcMar>
          </w:tcPr>
          <w:p>
            <w:pPr>
              <w:spacing w:after="0" w:line="240" w:lineRule="auto"/>
              <w:jc w:val="right"/>
            </w:pPr>
            <w:r>
              <w:rPr>
                <w:rFonts w:ascii="Aptos" w:hAnsi="Aptos"/>
                <w:color w:val="17324D"/>
                <w:sz w:val="14"/>
              </w:rPr>
              <w:t>24 hours</w:t>
            </w:r>
          </w:p>
        </w:tc>
        <w:tc>
          <w:tcPr>
            <w:tcW w:type="dxa" w:w="4608"/>
            <w:vAlign w:val="center"/>
            <w:tcMar>
              <w:top w:w="50" w:type="dxa"/>
              <w:start w:w="80" w:type="dxa"/>
              <w:bottom w:w="50" w:type="dxa"/>
              <w:end w:w="80" w:type="dxa"/>
            </w:tcMar>
          </w:tcPr>
          <w:p>
            <w:pPr>
              <w:spacing w:after="0" w:line="240" w:lineRule="auto"/>
              <w:jc w:val="right"/>
            </w:pPr>
            <w:r>
              <w:rPr>
                <w:rFonts w:ascii="Aptos" w:hAnsi="Aptos"/>
                <w:color w:val="17324D"/>
                <w:sz w:val="14"/>
              </w:rPr>
              <w:t>Day-ahead smart-home planning</w:t>
            </w:r>
          </w:p>
        </w:tc>
      </w:tr>
      <w:tr>
        <w:trPr/>
        <w:tc>
          <w:tcPr>
            <w:tcW w:type="dxa" w:w="1800"/>
            <w:vAlign w:val="center"/>
            <w:tcMar>
              <w:top w:w="50" w:type="dxa"/>
              <w:start w:w="80" w:type="dxa"/>
              <w:bottom w:w="50" w:type="dxa"/>
              <w:end w:w="80" w:type="dxa"/>
            </w:tcMar>
          </w:tcPr>
          <w:p>
            <w:pPr>
              <w:spacing w:after="0" w:line="240" w:lineRule="auto"/>
            </w:pPr>
            <w:r>
              <w:rPr>
                <w:rFonts w:ascii="Aptos" w:hAnsi="Aptos"/>
                <w:color w:val="17324D"/>
                <w:sz w:val="14"/>
              </w:rPr>
              <w:t>Train</w:t>
            </w:r>
          </w:p>
        </w:tc>
        <w:tc>
          <w:tcPr>
            <w:tcW w:type="dxa" w:w="3384"/>
            <w:vAlign w:val="center"/>
            <w:tcMar>
              <w:top w:w="50" w:type="dxa"/>
              <w:start w:w="80" w:type="dxa"/>
              <w:bottom w:w="50" w:type="dxa"/>
              <w:end w:w="80" w:type="dxa"/>
            </w:tcMar>
          </w:tcPr>
          <w:p>
            <w:pPr>
              <w:spacing w:after="0" w:line="240" w:lineRule="auto"/>
              <w:jc w:val="right"/>
            </w:pPr>
            <w:r>
              <w:rPr>
                <w:rFonts w:ascii="Aptos" w:hAnsi="Aptos"/>
                <w:color w:val="17324D"/>
                <w:sz w:val="14"/>
              </w:rPr>
              <w:t>2,954 hours to 13 May 18:00</w:t>
            </w:r>
          </w:p>
        </w:tc>
        <w:tc>
          <w:tcPr>
            <w:tcW w:type="dxa" w:w="4608"/>
            <w:vAlign w:val="center"/>
            <w:tcMar>
              <w:top w:w="50" w:type="dxa"/>
              <w:start w:w="80" w:type="dxa"/>
              <w:bottom w:w="50" w:type="dxa"/>
              <w:end w:w="80" w:type="dxa"/>
            </w:tcMar>
          </w:tcPr>
          <w:p>
            <w:pPr>
              <w:spacing w:after="0" w:line="240" w:lineRule="auto"/>
              <w:jc w:val="right"/>
            </w:pPr>
            <w:r>
              <w:rPr>
                <w:rFonts w:ascii="Aptos" w:hAnsi="Aptos"/>
                <w:color w:val="17324D"/>
                <w:sz w:val="14"/>
              </w:rPr>
              <w:t>All history before holdout</w:t>
            </w:r>
          </w:p>
        </w:tc>
      </w:tr>
      <w:tr>
        <w:trPr/>
        <w:tc>
          <w:tcPr>
            <w:tcW w:type="dxa" w:w="1800"/>
            <w:vAlign w:val="center"/>
            <w:tcMar>
              <w:top w:w="50" w:type="dxa"/>
              <w:start w:w="80" w:type="dxa"/>
              <w:bottom w:w="50" w:type="dxa"/>
              <w:end w:w="80" w:type="dxa"/>
            </w:tcMar>
          </w:tcPr>
          <w:p>
            <w:pPr>
              <w:spacing w:after="0" w:line="240" w:lineRule="auto"/>
            </w:pPr>
            <w:r>
              <w:rPr>
                <w:rFonts w:ascii="Aptos" w:hAnsi="Aptos"/>
                <w:color w:val="17324D"/>
                <w:sz w:val="14"/>
              </w:rPr>
              <w:t>Test</w:t>
            </w:r>
          </w:p>
        </w:tc>
        <w:tc>
          <w:tcPr>
            <w:tcW w:type="dxa" w:w="3384"/>
            <w:vAlign w:val="center"/>
            <w:tcMar>
              <w:top w:w="50" w:type="dxa"/>
              <w:start w:w="80" w:type="dxa"/>
              <w:bottom w:w="50" w:type="dxa"/>
              <w:end w:w="80" w:type="dxa"/>
            </w:tcMar>
          </w:tcPr>
          <w:p>
            <w:pPr>
              <w:spacing w:after="0" w:line="240" w:lineRule="auto"/>
              <w:jc w:val="right"/>
            </w:pPr>
            <w:r>
              <w:rPr>
                <w:rFonts w:ascii="Aptos" w:hAnsi="Aptos"/>
                <w:color w:val="17324D"/>
                <w:sz w:val="14"/>
              </w:rPr>
              <w:t>336 hours / 14 rolling origins</w:t>
            </w:r>
          </w:p>
        </w:tc>
        <w:tc>
          <w:tcPr>
            <w:tcW w:type="dxa" w:w="4608"/>
            <w:vAlign w:val="center"/>
            <w:tcMar>
              <w:top w:w="50" w:type="dxa"/>
              <w:start w:w="80" w:type="dxa"/>
              <w:bottom w:w="50" w:type="dxa"/>
              <w:end w:w="80" w:type="dxa"/>
            </w:tcMar>
          </w:tcPr>
          <w:p>
            <w:pPr>
              <w:spacing w:after="0" w:line="240" w:lineRule="auto"/>
              <w:jc w:val="right"/>
            </w:pPr>
            <w:r>
              <w:rPr>
                <w:rFonts w:ascii="Aptos" w:hAnsi="Aptos"/>
                <w:color w:val="17324D"/>
                <w:sz w:val="14"/>
              </w:rPr>
              <w:t>Multiple days, not one lucky split</w:t>
            </w:r>
          </w:p>
        </w:tc>
      </w:tr>
      <w:tr>
        <w:trPr/>
        <w:tc>
          <w:tcPr>
            <w:tcW w:type="dxa" w:w="1800"/>
            <w:vAlign w:val="center"/>
            <w:tcMar>
              <w:top w:w="50" w:type="dxa"/>
              <w:start w:w="80" w:type="dxa"/>
              <w:bottom w:w="50" w:type="dxa"/>
              <w:end w:w="80" w:type="dxa"/>
            </w:tcMar>
          </w:tcPr>
          <w:p>
            <w:pPr>
              <w:spacing w:after="0" w:line="240" w:lineRule="auto"/>
            </w:pPr>
            <w:r>
              <w:rPr>
                <w:rFonts w:ascii="Aptos" w:hAnsi="Aptos"/>
                <w:color w:val="17324D"/>
                <w:sz w:val="14"/>
              </w:rPr>
              <w:t>Primary metric</w:t>
            </w:r>
          </w:p>
        </w:tc>
        <w:tc>
          <w:tcPr>
            <w:tcW w:type="dxa" w:w="3384"/>
            <w:vAlign w:val="center"/>
            <w:tcMar>
              <w:top w:w="50" w:type="dxa"/>
              <w:start w:w="80" w:type="dxa"/>
              <w:bottom w:w="50" w:type="dxa"/>
              <w:end w:w="80" w:type="dxa"/>
            </w:tcMar>
          </w:tcPr>
          <w:p>
            <w:pPr>
              <w:spacing w:after="0" w:line="240" w:lineRule="auto"/>
              <w:jc w:val="right"/>
            </w:pPr>
            <w:r>
              <w:rPr>
                <w:rFonts w:ascii="Aptos" w:hAnsi="Aptos"/>
                <w:color w:val="17324D"/>
                <w:sz w:val="14"/>
              </w:rPr>
              <w:t>RMSE</w:t>
            </w:r>
          </w:p>
        </w:tc>
        <w:tc>
          <w:tcPr>
            <w:tcW w:type="dxa" w:w="4608"/>
            <w:vAlign w:val="center"/>
            <w:tcMar>
              <w:top w:w="50" w:type="dxa"/>
              <w:start w:w="80" w:type="dxa"/>
              <w:bottom w:w="50" w:type="dxa"/>
              <w:end w:w="80" w:type="dxa"/>
            </w:tcMar>
          </w:tcPr>
          <w:p>
            <w:pPr>
              <w:spacing w:after="0" w:line="240" w:lineRule="auto"/>
              <w:jc w:val="right"/>
            </w:pPr>
            <w:r>
              <w:rPr>
                <w:rFonts w:ascii="Aptos" w:hAnsi="Aptos"/>
                <w:color w:val="17324D"/>
                <w:sz w:val="14"/>
              </w:rPr>
              <w:t>Penalises costly missed peaks</w:t>
            </w:r>
          </w:p>
        </w:tc>
      </w:tr>
      <w:tr>
        <w:trPr/>
        <w:tc>
          <w:tcPr>
            <w:tcW w:type="dxa" w:w="1800"/>
            <w:vAlign w:val="center"/>
            <w:tcMar>
              <w:top w:w="50" w:type="dxa"/>
              <w:start w:w="80" w:type="dxa"/>
              <w:bottom w:w="50" w:type="dxa"/>
              <w:end w:w="80" w:type="dxa"/>
            </w:tcMar>
          </w:tcPr>
          <w:p>
            <w:pPr>
              <w:spacing w:after="0" w:line="240" w:lineRule="auto"/>
            </w:pPr>
            <w:r>
              <w:rPr>
                <w:rFonts w:ascii="Aptos" w:hAnsi="Aptos"/>
                <w:color w:val="17324D"/>
                <w:sz w:val="14"/>
              </w:rPr>
              <w:t>Secondary</w:t>
            </w:r>
          </w:p>
        </w:tc>
        <w:tc>
          <w:tcPr>
            <w:tcW w:type="dxa" w:w="3384"/>
            <w:vAlign w:val="center"/>
            <w:tcMar>
              <w:top w:w="50" w:type="dxa"/>
              <w:start w:w="80" w:type="dxa"/>
              <w:bottom w:w="50" w:type="dxa"/>
              <w:end w:w="80" w:type="dxa"/>
            </w:tcMar>
          </w:tcPr>
          <w:p>
            <w:pPr>
              <w:spacing w:after="0" w:line="240" w:lineRule="auto"/>
              <w:jc w:val="right"/>
            </w:pPr>
            <w:r>
              <w:rPr>
                <w:rFonts w:ascii="Aptos" w:hAnsi="Aptos"/>
                <w:color w:val="17324D"/>
                <w:sz w:val="14"/>
              </w:rPr>
              <w:t>MAE, MAPE, sMAPE, MASE, bias</w:t>
            </w:r>
          </w:p>
        </w:tc>
        <w:tc>
          <w:tcPr>
            <w:tcW w:type="dxa" w:w="4608"/>
            <w:vAlign w:val="center"/>
            <w:tcMar>
              <w:top w:w="50" w:type="dxa"/>
              <w:start w:w="80" w:type="dxa"/>
              <w:bottom w:w="50" w:type="dxa"/>
              <w:end w:w="80" w:type="dxa"/>
            </w:tcMar>
          </w:tcPr>
          <w:p>
            <w:pPr>
              <w:spacing w:after="0" w:line="240" w:lineRule="auto"/>
              <w:jc w:val="right"/>
            </w:pPr>
            <w:r>
              <w:rPr>
                <w:rFonts w:ascii="Aptos" w:hAnsi="Aptos"/>
                <w:color w:val="17324D"/>
                <w:sz w:val="14"/>
              </w:rPr>
              <w:t>Magnitude, scale-free accuracy, calibration</w:t>
            </w:r>
          </w:p>
        </w:tc>
      </w:tr>
    </w:tbl>
    <w:p>
      <w:pPr>
        <w:spacing w:after="0"/>
      </w:pPr>
    </w:p>
    <w:p>
      <w:pPr>
        <w:keepLines w:val="0"/>
      </w:pPr>
      <w:r>
        <w:t>At each origin, models issue 24 recursive or multi-step predictions. Between origins, the newly observed 24 target values enter history, while fitted parameters remain fixed. MASE uses the in-sample mean absolute 24-hour seasonal difference as its denominator. This rolling-origin design produces 336 commensurate errors and avoids random splits, which would leak future seasonal regimes into training [3].</w:t>
      </w:r>
    </w:p>
    <w:p>
      <w:pPr>
        <w:pStyle w:val="Heading1"/>
      </w:pPr>
      <w:r>
        <w:t>4. Benchmark forecasts</w:t>
      </w:r>
    </w:p>
    <w:tbl>
      <w:tblPr>
        <w:tblStyle w:val="TableGrid"/>
        <w:tblW w:type="auto" w:w="0"/>
        <w:jc w:val="center"/>
        <w:tblLayout w:type="fixed"/>
        <w:tblLook w:firstColumn="1" w:firstRow="1" w:lastColumn="0" w:lastRow="0" w:noHBand="0" w:noVBand="1" w:val="04A0"/>
        <w:tblLayout w:type="fixed"/>
      </w:tblPr>
      <w:tblGrid>
        <w:gridCol w:w="3240"/>
        <w:gridCol w:w="1296"/>
        <w:gridCol w:w="1296"/>
        <w:gridCol w:w="1440"/>
        <w:gridCol w:w="1296"/>
        <w:gridCol w:w="1440"/>
      </w:tblGrid>
      <w:tr>
        <w:trPr>
          <w:tblHeader w:val="true"/>
        </w:trPr>
        <w:tc>
          <w:tcPr>
            <w:tcW w:type="dxa" w:w="3240"/>
            <w:shd w:fill="E8EEF5"/>
            <w:vAlign w:val="center"/>
            <w:tcMar>
              <w:top w:w="50" w:type="dxa"/>
              <w:start w:w="80" w:type="dxa"/>
              <w:bottom w:w="50" w:type="dxa"/>
              <w:end w:w="80" w:type="dxa"/>
            </w:tcMar>
          </w:tcPr>
          <w:p>
            <w:pPr>
              <w:spacing w:after="0" w:line="240" w:lineRule="auto"/>
            </w:pPr>
            <w:r>
              <w:rPr>
                <w:rFonts w:ascii="Aptos" w:hAnsi="Aptos"/>
                <w:b/>
                <w:color w:val="17324D"/>
                <w:sz w:val="13"/>
              </w:rPr>
              <w:t>Benchmark</w:t>
            </w:r>
          </w:p>
        </w:tc>
        <w:tc>
          <w:tcPr>
            <w:tcW w:type="dxa" w:w="1296"/>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RMSE</w:t>
            </w:r>
          </w:p>
        </w:tc>
        <w:tc>
          <w:tcPr>
            <w:tcW w:type="dxa" w:w="1296"/>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MAE</w:t>
            </w:r>
          </w:p>
        </w:tc>
        <w:tc>
          <w:tcPr>
            <w:tcW w:type="dxa" w:w="1440"/>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sMAPE %</w:t>
            </w:r>
          </w:p>
        </w:tc>
        <w:tc>
          <w:tcPr>
            <w:tcW w:type="dxa" w:w="1296"/>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MASE</w:t>
            </w:r>
          </w:p>
        </w:tc>
        <w:tc>
          <w:tcPr>
            <w:tcW w:type="dxa" w:w="1440"/>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Bias</w:t>
            </w:r>
          </w:p>
        </w:tc>
      </w:tr>
      <w:tr>
        <w:trPr/>
        <w:tc>
          <w:tcPr>
            <w:tcW w:type="dxa" w:w="3240"/>
            <w:vAlign w:val="center"/>
            <w:tcMar>
              <w:top w:w="50" w:type="dxa"/>
              <w:start w:w="80" w:type="dxa"/>
              <w:bottom w:w="50" w:type="dxa"/>
              <w:end w:w="80" w:type="dxa"/>
            </w:tcMar>
          </w:tcPr>
          <w:p>
            <w:pPr>
              <w:spacing w:after="0" w:line="240" w:lineRule="auto"/>
            </w:pPr>
            <w:r>
              <w:rPr>
                <w:rFonts w:ascii="Aptos" w:hAnsi="Aptos"/>
                <w:color w:val="17324D"/>
                <w:sz w:val="13"/>
              </w:rPr>
              <w:t>Mean</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436.34</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296.07</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46.00</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0.924</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-13.32</w:t>
            </w:r>
          </w:p>
        </w:tc>
      </w:tr>
      <w:tr>
        <w:trPr/>
        <w:tc>
          <w:tcPr>
            <w:tcW w:type="dxa" w:w="3240"/>
            <w:vAlign w:val="center"/>
            <w:tcMar>
              <w:top w:w="50" w:type="dxa"/>
              <w:start w:w="80" w:type="dxa"/>
              <w:bottom w:w="50" w:type="dxa"/>
              <w:end w:w="80" w:type="dxa"/>
            </w:tcMar>
          </w:tcPr>
          <w:p>
            <w:pPr>
              <w:spacing w:after="0" w:line="240" w:lineRule="auto"/>
            </w:pPr>
            <w:r>
              <w:rPr>
                <w:rFonts w:ascii="Aptos" w:hAnsi="Aptos"/>
                <w:color w:val="17324D"/>
                <w:sz w:val="13"/>
              </w:rPr>
              <w:t>Naive</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660.26</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512.02</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65.42</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1.597</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312.26</w:t>
            </w:r>
          </w:p>
        </w:tc>
      </w:tr>
      <w:tr>
        <w:trPr/>
        <w:tc>
          <w:tcPr>
            <w:tcW w:type="dxa" w:w="3240"/>
            <w:vAlign w:val="center"/>
            <w:tcMar>
              <w:top w:w="50" w:type="dxa"/>
              <w:start w:w="80" w:type="dxa"/>
              <w:bottom w:w="50" w:type="dxa"/>
              <w:end w:w="80" w:type="dxa"/>
            </w:tcMar>
          </w:tcPr>
          <w:p>
            <w:pPr>
              <w:spacing w:after="0" w:line="240" w:lineRule="auto"/>
            </w:pPr>
            <w:r>
              <w:rPr>
                <w:rFonts w:ascii="Aptos" w:hAnsi="Aptos"/>
                <w:color w:val="17324D"/>
                <w:sz w:val="13"/>
              </w:rPr>
              <w:t>Daily seasonal naive</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510.70</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288.57</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35.55</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0.900</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16.90</w:t>
            </w:r>
          </w:p>
        </w:tc>
      </w:tr>
      <w:tr>
        <w:trPr/>
        <w:tc>
          <w:tcPr>
            <w:tcW w:type="dxa" w:w="3240"/>
            <w:vAlign w:val="center"/>
            <w:tcMar>
              <w:top w:w="50" w:type="dxa"/>
              <w:start w:w="80" w:type="dxa"/>
              <w:bottom w:w="50" w:type="dxa"/>
              <w:end w:w="80" w:type="dxa"/>
            </w:tcMar>
          </w:tcPr>
          <w:p>
            <w:pPr>
              <w:spacing w:after="0" w:line="240" w:lineRule="auto"/>
            </w:pPr>
            <w:r>
              <w:rPr>
                <w:rFonts w:ascii="Aptos" w:hAnsi="Aptos"/>
                <w:color w:val="17324D"/>
                <w:sz w:val="13"/>
              </w:rPr>
              <w:t>Weekly seasonal naive</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474.70</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254.58</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32.50</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0.794</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-72.56</w:t>
            </w:r>
          </w:p>
        </w:tc>
      </w:tr>
      <w:tr>
        <w:trPr/>
        <w:tc>
          <w:tcPr>
            <w:tcW w:type="dxa" w:w="3240"/>
            <w:vAlign w:val="center"/>
            <w:tcMar>
              <w:top w:w="50" w:type="dxa"/>
              <w:start w:w="80" w:type="dxa"/>
              <w:bottom w:w="50" w:type="dxa"/>
              <w:end w:w="80" w:type="dxa"/>
            </w:tcMar>
          </w:tcPr>
          <w:p>
            <w:pPr>
              <w:spacing w:after="0" w:line="240" w:lineRule="auto"/>
            </w:pPr>
            <w:r>
              <w:rPr>
                <w:rFonts w:ascii="Aptos" w:hAnsi="Aptos"/>
                <w:color w:val="17324D"/>
                <w:sz w:val="13"/>
              </w:rPr>
              <w:t>Drift</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662.07</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513.57</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65.53</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3"/>
              </w:rPr>
              <w:t>1.602</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3"/>
              </w:rPr>
              <w:t>314.61</w:t>
            </w:r>
          </w:p>
        </w:tc>
      </w:tr>
    </w:tbl>
    <w:p>
      <w:pPr>
        <w:spacing w:after="0"/>
      </w:pPr>
    </w:p>
    <w:p>
      <w:pPr>
        <w:keepLines w:val="0"/>
      </w:pPr>
      <w:r>
        <w:t>The naive and drift models are weakest because the last observed hour is often a spike or trough and drift extrapolates a negligible long-run slope from an unrepresentative endpoint. Daily seasonal naive improves substantially, but weekly seasonal naive is stronger (RMSE 474.70 versus 510.70 Wh). The mean model unexpectedly reaches 436.34 Wh because squared error rewards a conservative centre when burst timing is weakly repeatable.</w:t>
      </w:r>
    </w:p>
    <w:tbl>
      <w:tblPr>
        <w:tblW w:type="auto" w:w="0"/>
        <w:jc w:val="center"/>
        <w:tblLayout w:type="fixed"/>
        <w:tblLook w:firstColumn="1" w:firstRow="1" w:lastColumn="0" w:lastRow="0" w:noHBand="0" w:noVBand="1" w:val="04A0"/>
        <w:tblLayout w:type="fixed"/>
      </w:tblPr>
      <w:tblGrid>
        <w:gridCol w:w="9936"/>
      </w:tblGrid>
      <w:tr>
        <w:tc>
          <w:tcPr>
            <w:tcW w:type="dxa" w:w="9936"/>
            <w:shd w:fill="E8EEF5"/>
            <w:tcMar>
              <w:top w:w="90" w:type="dxa"/>
              <w:start w:w="130" w:type="dxa"/>
              <w:bottom w:w="90" w:type="dxa"/>
              <w:end w:w="130" w:type="dxa"/>
            </w:tcMar>
          </w:tcPr>
          <w:p>
            <w:pPr>
              <w:spacing w:after="0"/>
            </w:pPr>
            <w:r>
              <w:rPr>
                <w:b/>
                <w:color w:val="2D6CDF"/>
                <w:sz w:val="14"/>
              </w:rPr>
              <w:t xml:space="preserve">QUESTION 1 — STRONGEST BENCHMARK  </w:t>
            </w:r>
            <w:r>
              <w:rPr>
                <w:color w:val="17324D"/>
                <w:sz w:val="17"/>
              </w:rPr>
              <w:t>Weekly seasonal naive is strongest among naive, daily seasonal naive, weekly seasonal naive and drift. Appliance use carries weekly household-routine information beyond the daily cycle, but the mean model’s advantage and high residual variance show that seasonality is incomplete and peaks are irregular.</w:t>
            </w:r>
          </w:p>
        </w:tc>
      </w:tr>
    </w:tbl>
    <w:p>
      <w:pPr>
        <w:pStyle w:val="Heading2"/>
      </w:pPr>
      <w:r>
        <w:t>Fairness and leakage controls</w:t>
      </w:r>
    </w:p>
    <w:p>
      <w:pPr>
        <w:keepLines w:val="0"/>
      </w:pPr>
      <w:r>
        <w:t>All lag and rolling features are shifted at least one hour. Within each 24-hour HGB path, unavailable target lags are replaced by the model’s own earlier forecasts. Hyperparameters and AIC orders use training data only. Test outcomes are used once for comparison, not for order selection. Conditional variants are labelled throughout rather than presented as deployable forecasts.</w:t>
      </w:r>
    </w:p>
    <w:p>
      <w:r>
        <w:br w:type="page"/>
      </w:r>
    </w:p>
    <w:p>
      <w:pPr>
        <w:pStyle w:val="Heading1"/>
      </w:pPr>
      <w:r>
        <w:t>5. SARIMAX modelling and diagnostics</w:t>
      </w:r>
    </w:p>
    <w:p>
      <w:pPr>
        <w:keepLines w:val="0"/>
      </w:pPr>
      <w:r>
        <w:t>Every required non-seasonal combination p=0…6, d=0…2, q=0…6 was fit—147 likelihood models—on the latest 60 training days, with checkpoints written after each fit. Non-converged solutions were excluded before AIC selection. The winner is ARIMA(0,1,6), AIC 20,972.94. The final models add daily SARMA(1,0,1) at s=24. A calendar version uses sine/cosine hour and weekday terms plus weekend status; a conditional version adds realised future T1, RH_1, T_out, RH_out and wind speed.</w:t>
      </w:r>
    </w:p>
    <w:tbl>
      <w:tblPr>
        <w:tblStyle w:val="TableGrid"/>
        <w:tblW w:type="auto" w:w="0"/>
        <w:jc w:val="center"/>
        <w:tblLayout w:type="fixed"/>
        <w:tblLook w:firstColumn="1" w:firstRow="1" w:lastColumn="0" w:lastRow="0" w:noHBand="0" w:noVBand="1" w:val="04A0"/>
        <w:tblLayout w:type="fixed"/>
      </w:tblPr>
      <w:tblGrid>
        <w:gridCol w:w="3240"/>
        <w:gridCol w:w="1296"/>
        <w:gridCol w:w="1296"/>
        <w:gridCol w:w="1296"/>
        <w:gridCol w:w="1296"/>
        <w:gridCol w:w="1440"/>
      </w:tblGrid>
      <w:tr>
        <w:trPr>
          <w:tblHeader w:val="true"/>
        </w:trPr>
        <w:tc>
          <w:tcPr>
            <w:tcW w:type="dxa" w:w="3240"/>
            <w:shd w:fill="E8EEF5"/>
            <w:vAlign w:val="center"/>
            <w:tcMar>
              <w:top w:w="50" w:type="dxa"/>
              <w:start w:w="80" w:type="dxa"/>
              <w:bottom w:w="50" w:type="dxa"/>
              <w:end w:w="80" w:type="dxa"/>
            </w:tcMar>
          </w:tcPr>
          <w:p>
            <w:pPr>
              <w:spacing w:after="0" w:line="240" w:lineRule="auto"/>
            </w:pPr>
            <w:r>
              <w:rPr>
                <w:rFonts w:ascii="Aptos" w:hAnsi="Aptos"/>
                <w:b/>
                <w:color w:val="17324D"/>
                <w:sz w:val="14"/>
              </w:rPr>
              <w:t>Model</w:t>
            </w:r>
          </w:p>
        </w:tc>
        <w:tc>
          <w:tcPr>
            <w:tcW w:type="dxa" w:w="1296"/>
            <w:shd w:fill="E8EEF5"/>
            <w:vAlign w:val="center"/>
            <w:tcMar>
              <w:top w:w="50" w:type="dxa"/>
              <w:start w:w="80" w:type="dxa"/>
              <w:bottom w:w="50" w:type="dxa"/>
              <w:end w:w="80" w:type="dxa"/>
            </w:tcMar>
          </w:tcPr>
          <w:p>
            <w:pPr>
              <w:spacing w:after="0" w:line="240" w:lineRule="auto"/>
              <w:jc w:val="right"/>
            </w:pPr>
            <w:r>
              <w:rPr>
                <w:rFonts w:ascii="Aptos" w:hAnsi="Aptos"/>
                <w:b/>
                <w:color w:val="17324D"/>
                <w:sz w:val="14"/>
              </w:rPr>
              <w:t>RMSE</w:t>
            </w:r>
          </w:p>
        </w:tc>
        <w:tc>
          <w:tcPr>
            <w:tcW w:type="dxa" w:w="1296"/>
            <w:shd w:fill="E8EEF5"/>
            <w:vAlign w:val="center"/>
            <w:tcMar>
              <w:top w:w="50" w:type="dxa"/>
              <w:start w:w="80" w:type="dxa"/>
              <w:bottom w:w="50" w:type="dxa"/>
              <w:end w:w="80" w:type="dxa"/>
            </w:tcMar>
          </w:tcPr>
          <w:p>
            <w:pPr>
              <w:spacing w:after="0" w:line="240" w:lineRule="auto"/>
              <w:jc w:val="right"/>
            </w:pPr>
            <w:r>
              <w:rPr>
                <w:rFonts w:ascii="Aptos" w:hAnsi="Aptos"/>
                <w:b/>
                <w:color w:val="17324D"/>
                <w:sz w:val="14"/>
              </w:rPr>
              <w:t>MAE</w:t>
            </w:r>
          </w:p>
        </w:tc>
        <w:tc>
          <w:tcPr>
            <w:tcW w:type="dxa" w:w="1296"/>
            <w:shd w:fill="E8EEF5"/>
            <w:vAlign w:val="center"/>
            <w:tcMar>
              <w:top w:w="50" w:type="dxa"/>
              <w:start w:w="80" w:type="dxa"/>
              <w:bottom w:w="50" w:type="dxa"/>
              <w:end w:w="80" w:type="dxa"/>
            </w:tcMar>
          </w:tcPr>
          <w:p>
            <w:pPr>
              <w:spacing w:after="0" w:line="240" w:lineRule="auto"/>
              <w:jc w:val="right"/>
            </w:pPr>
            <w:r>
              <w:rPr>
                <w:rFonts w:ascii="Aptos" w:hAnsi="Aptos"/>
                <w:b/>
                <w:color w:val="17324D"/>
                <w:sz w:val="14"/>
              </w:rPr>
              <w:t>MASE</w:t>
            </w:r>
          </w:p>
        </w:tc>
        <w:tc>
          <w:tcPr>
            <w:tcW w:type="dxa" w:w="1296"/>
            <w:shd w:fill="E8EEF5"/>
            <w:vAlign w:val="center"/>
            <w:tcMar>
              <w:top w:w="50" w:type="dxa"/>
              <w:start w:w="80" w:type="dxa"/>
              <w:bottom w:w="50" w:type="dxa"/>
              <w:end w:w="80" w:type="dxa"/>
            </w:tcMar>
          </w:tcPr>
          <w:p>
            <w:pPr>
              <w:spacing w:after="0" w:line="240" w:lineRule="auto"/>
              <w:jc w:val="right"/>
            </w:pPr>
            <w:r>
              <w:rPr>
                <w:rFonts w:ascii="Aptos" w:hAnsi="Aptos"/>
                <w:b/>
                <w:color w:val="17324D"/>
                <w:sz w:val="14"/>
              </w:rPr>
              <w:t>Bias</w:t>
            </w:r>
          </w:p>
        </w:tc>
        <w:tc>
          <w:tcPr>
            <w:tcW w:type="dxa" w:w="1440"/>
            <w:shd w:fill="E8EEF5"/>
            <w:vAlign w:val="center"/>
            <w:tcMar>
              <w:top w:w="50" w:type="dxa"/>
              <w:start w:w="80" w:type="dxa"/>
              <w:bottom w:w="50" w:type="dxa"/>
              <w:end w:w="80" w:type="dxa"/>
            </w:tcMar>
          </w:tcPr>
          <w:p>
            <w:pPr>
              <w:spacing w:after="0" w:line="240" w:lineRule="auto"/>
              <w:jc w:val="right"/>
            </w:pPr>
            <w:r>
              <w:rPr>
                <w:rFonts w:ascii="Aptos" w:hAnsi="Aptos"/>
                <w:b/>
                <w:color w:val="17324D"/>
                <w:sz w:val="14"/>
              </w:rPr>
              <w:t>95% cov.</w:t>
            </w:r>
          </w:p>
        </w:tc>
      </w:tr>
      <w:tr>
        <w:trPr/>
        <w:tc>
          <w:tcPr>
            <w:tcW w:type="dxa" w:w="3240"/>
            <w:vAlign w:val="center"/>
            <w:tcMar>
              <w:top w:w="50" w:type="dxa"/>
              <w:start w:w="80" w:type="dxa"/>
              <w:bottom w:w="50" w:type="dxa"/>
              <w:end w:w="80" w:type="dxa"/>
            </w:tcMar>
          </w:tcPr>
          <w:p>
            <w:pPr>
              <w:spacing w:after="0" w:line="240" w:lineRule="auto"/>
            </w:pPr>
            <w:r>
              <w:rPr>
                <w:rFonts w:ascii="Aptos" w:hAnsi="Aptos"/>
                <w:color w:val="17324D"/>
                <w:sz w:val="14"/>
              </w:rPr>
              <w:t>Weekly seasonal naive</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474.70</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254.58</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0.794</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-72.56</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4"/>
              </w:rPr>
              <w:t>—</w:t>
            </w:r>
          </w:p>
        </w:tc>
      </w:tr>
      <w:tr>
        <w:trPr/>
        <w:tc>
          <w:tcPr>
            <w:tcW w:type="dxa" w:w="3240"/>
            <w:vAlign w:val="center"/>
            <w:tcMar>
              <w:top w:w="50" w:type="dxa"/>
              <w:start w:w="80" w:type="dxa"/>
              <w:bottom w:w="50" w:type="dxa"/>
              <w:end w:w="80" w:type="dxa"/>
            </w:tcMar>
          </w:tcPr>
          <w:p>
            <w:pPr>
              <w:spacing w:after="0" w:line="240" w:lineRule="auto"/>
            </w:pPr>
            <w:r>
              <w:rPr>
                <w:rFonts w:ascii="Aptos" w:hAnsi="Aptos"/>
                <w:color w:val="17324D"/>
                <w:sz w:val="14"/>
              </w:rPr>
              <w:t>SARIMAX calendar</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380.34</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216.10</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0.674</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-29.12</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4"/>
              </w:rPr>
              <w:t>94.9%</w:t>
            </w:r>
          </w:p>
        </w:tc>
      </w:tr>
      <w:tr>
        <w:trPr/>
        <w:tc>
          <w:tcPr>
            <w:tcW w:type="dxa" w:w="3240"/>
            <w:vAlign w:val="center"/>
            <w:tcMar>
              <w:top w:w="50" w:type="dxa"/>
              <w:start w:w="80" w:type="dxa"/>
              <w:bottom w:w="50" w:type="dxa"/>
              <w:end w:w="80" w:type="dxa"/>
            </w:tcMar>
          </w:tcPr>
          <w:p>
            <w:pPr>
              <w:spacing w:after="0" w:line="240" w:lineRule="auto"/>
            </w:pPr>
            <w:r>
              <w:rPr>
                <w:rFonts w:ascii="Aptos" w:hAnsi="Aptos"/>
                <w:color w:val="17324D"/>
                <w:sz w:val="14"/>
              </w:rPr>
              <w:t>SARIMAX conditional</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456.91</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326.01</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1.017</w:t>
            </w:r>
          </w:p>
        </w:tc>
        <w:tc>
          <w:tcPr>
            <w:tcW w:type="dxa" w:w="1296"/>
            <w:vAlign w:val="center"/>
            <w:tcMar>
              <w:top w:w="50" w:type="dxa"/>
              <w:start w:w="80" w:type="dxa"/>
              <w:bottom w:w="50" w:type="dxa"/>
              <w:end w:w="80" w:type="dxa"/>
            </w:tcMar>
          </w:tcPr>
          <w:p>
            <w:pPr>
              <w:spacing w:after="0" w:line="240" w:lineRule="auto"/>
              <w:jc w:val="right"/>
            </w:pPr>
            <w:r>
              <w:rPr>
                <w:rFonts w:ascii="Aptos" w:hAnsi="Aptos"/>
                <w:color w:val="17324D"/>
                <w:sz w:val="14"/>
              </w:rPr>
              <w:t>65.59</w:t>
            </w:r>
          </w:p>
        </w:tc>
        <w:tc>
          <w:tcPr>
            <w:tcW w:type="dxa" w:w="1440"/>
            <w:vAlign w:val="center"/>
            <w:tcMar>
              <w:top w:w="50" w:type="dxa"/>
              <w:start w:w="80" w:type="dxa"/>
              <w:bottom w:w="50" w:type="dxa"/>
              <w:end w:w="80" w:type="dxa"/>
            </w:tcMar>
          </w:tcPr>
          <w:p>
            <w:pPr>
              <w:spacing w:after="0" w:line="240" w:lineRule="auto"/>
              <w:jc w:val="right"/>
            </w:pPr>
            <w:r>
              <w:rPr>
                <w:rFonts w:ascii="Aptos" w:hAnsi="Aptos"/>
                <w:color w:val="17324D"/>
                <w:sz w:val="14"/>
              </w:rPr>
              <w:t>96.4%</w:t>
            </w:r>
          </w:p>
        </w:tc>
      </w:tr>
    </w:tbl>
    <w:p>
      <w:pPr>
        <w:spacing w:after="0"/>
      </w:pPr>
    </w:p>
    <w:p>
      <w:pPr>
        <w:spacing w:after="20"/>
        <w:jc w:val="center"/>
      </w:pPr>
      <w:r>
        <w:drawing>
          <wp:inline xmlns:a="http://schemas.openxmlformats.org/drawingml/2006/main" xmlns:pic="http://schemas.openxmlformats.org/drawingml/2006/picture">
            <wp:extent cx="6217920" cy="1936941"/>
            <wp:docPr id="3" name="Picture 3"/>
            <wp:cNvGraphicFramePr>
              <a:graphicFrameLocks noChangeAspect="1"/>
            </wp:cNvGraphicFramePr>
            <a:graphic>
              <a:graphicData uri="http://schemas.openxmlformats.org/drawingml/2006/picture">
                <pic:pic>
                  <pic:nvPicPr>
                    <pic:cNvPr id="0" name="05_sarimax_residuals.png"/>
                    <pic:cNvPicPr/>
                  </pic:nvPicPr>
                  <pic:blipFill>
                    <a:blip r:embed="rId13"/>
                    <a:stretch>
                      <a:fillRect/>
                    </a:stretch>
                  </pic:blipFill>
                  <pic:spPr>
                    <a:xfrm>
                      <a:off x="0" y="0"/>
                      <a:ext cx="6217920" cy="1936941"/>
                    </a:xfrm>
                    <a:prstGeom prst="rect"/>
                  </pic:spPr>
                </pic:pic>
              </a:graphicData>
            </a:graphic>
          </wp:inline>
        </w:drawing>
      </w:r>
    </w:p>
    <w:p>
      <w:pPr>
        <w:spacing w:after="40"/>
        <w:jc w:val="center"/>
      </w:pPr>
      <w:r>
        <w:rPr>
          <w:i/>
          <w:color w:val="667085"/>
          <w:sz w:val="13"/>
        </w:rPr>
        <w:t>Figure 3. Conditional SARIMAX in-sample residual path, residual ACF and Q-Q plot.</w:t>
      </w:r>
    </w:p>
    <w:p>
      <w:pPr>
        <w:keepLines w:val="0"/>
      </w:pPr>
      <w:r>
        <w:t>The calendar SARIMAX reduces RMSE by 19.9% versus weekly seasonal naive and its 95% interval coverage is 94.94%, close to nominal. Residual ACF values are individually small, but Ljung–Box tests at 24 and 48 lags give p=0.008 and 0.008: weak dependence remains. The Q-Q plot shows heavy, right-skewed tails, consistent with missed appliance bursts; Gaussian intervals can cover well overall while understating event-specific tail risk.</w:t>
      </w:r>
    </w:p>
    <w:tbl>
      <w:tblPr>
        <w:tblW w:type="auto" w:w="0"/>
        <w:jc w:val="center"/>
        <w:tblLayout w:type="fixed"/>
        <w:tblLook w:firstColumn="1" w:firstRow="1" w:lastColumn="0" w:lastRow="0" w:noHBand="0" w:noVBand="1" w:val="04A0"/>
        <w:tblLayout w:type="fixed"/>
      </w:tblPr>
      <w:tblGrid>
        <w:gridCol w:w="9936"/>
      </w:tblGrid>
      <w:tr>
        <w:tc>
          <w:tcPr>
            <w:tcW w:type="dxa" w:w="9936"/>
            <w:shd w:fill="E8EEF5"/>
            <w:tcMar>
              <w:top w:w="90" w:type="dxa"/>
              <w:start w:w="130" w:type="dxa"/>
              <w:bottom w:w="90" w:type="dxa"/>
              <w:end w:w="130" w:type="dxa"/>
            </w:tcMar>
          </w:tcPr>
          <w:p>
            <w:pPr>
              <w:spacing w:after="0"/>
            </w:pPr>
            <w:r>
              <w:rPr>
                <w:b/>
                <w:color w:val="2D6CDF"/>
                <w:sz w:val="14"/>
              </w:rPr>
              <w:t xml:space="preserve">QUESTION 2 — DOES SARIMAX IMPROVE?  </w:t>
            </w:r>
            <w:r>
              <w:rPr>
                <w:color w:val="17324D"/>
                <w:sz w:val="17"/>
              </w:rPr>
              <w:t>Yes for calendar SARIMAX, materially. Daily seasonality and autocorrelation are mostly captured, but not completely: Ljung–Box rejects white noise and tail residuals are non-Gaussian. The conditional exogenous version worsens RMSE to 456.91 Wh, so realised sensors do not add stable linear predictive information after dynamics and calendar structure.</w:t>
            </w:r>
          </w:p>
        </w:tc>
      </w:tr>
    </w:tbl>
    <w:p>
      <w:pPr>
        <w:keepLines w:val="0"/>
      </w:pPr>
      <w:r>
        <w:rPr>
          <w:b/>
        </w:rPr>
        <w:t xml:space="preserve">AIC limitation. </w:t>
      </w:r>
      <w:r>
        <w:t>Searching the latest 60 days controls computation and focuses on the contemporary regime, but it can select a different order than a full-history search. Seasonal orders were fixed parsimoniously rather than exhaustively searched; expanding P,D,Q and using time-series cross-validation are priority sensitivity checks.</w:t>
      </w:r>
    </w:p>
    <w:p>
      <w:r>
        <w:br w:type="page"/>
      </w:r>
    </w:p>
    <w:p>
      <w:pPr>
        <w:pStyle w:val="Heading1"/>
      </w:pPr>
      <w:r>
        <w:t>6. Feature-based regression and covariates</w:t>
      </w:r>
    </w:p>
    <w:p>
      <w:pPr>
        <w:keepLines w:val="0"/>
      </w:pPr>
      <w:r>
        <w:t>A histogram gradient boosting regressor predicts log(1+Wh), then forecasts recursively. Three nested specifications separate genuine information gains: (i) deployable lags, rolling summaries and calendar features; (ii) the same plus realised future airport/outdoor weather; and (iii) all weather, indoor temperature/humidity and lights. Lags are 1, 2, 3, 24, 25, 48 and 168 hours; shifted rolling mean and standard deviation windows are 3, 24 and 168 hours.</w:t>
      </w:r>
    </w:p>
    <w:tbl>
      <w:tblPr>
        <w:tblStyle w:val="TableGrid"/>
        <w:tblW w:type="auto" w:w="0"/>
        <w:jc w:val="center"/>
        <w:tblLayout w:type="fixed"/>
        <w:tblLook w:firstColumn="1" w:firstRow="1" w:lastColumn="0" w:lastRow="0" w:noHBand="0" w:noVBand="1" w:val="04A0"/>
        <w:tblLayout w:type="fixed"/>
      </w:tblPr>
      <w:tblGrid>
        <w:gridCol w:w="3168"/>
        <w:gridCol w:w="2088"/>
        <w:gridCol w:w="1368"/>
        <w:gridCol w:w="1368"/>
        <w:gridCol w:w="1655"/>
      </w:tblGrid>
      <w:tr>
        <w:trPr>
          <w:tblHeader w:val="true"/>
        </w:trPr>
        <w:tc>
          <w:tcPr>
            <w:tcW w:type="dxa" w:w="3168"/>
            <w:shd w:fill="E8EEF5"/>
            <w:vAlign w:val="center"/>
            <w:tcMar>
              <w:top w:w="50" w:type="dxa"/>
              <w:start w:w="80" w:type="dxa"/>
              <w:bottom w:w="50" w:type="dxa"/>
              <w:end w:w="80" w:type="dxa"/>
            </w:tcMar>
          </w:tcPr>
          <w:p>
            <w:pPr>
              <w:spacing w:after="0" w:line="240" w:lineRule="auto"/>
            </w:pPr>
            <w:r>
              <w:rPr>
                <w:rFonts w:ascii="Aptos" w:hAnsi="Aptos"/>
                <w:b/>
                <w:color w:val="17324D"/>
                <w:sz w:val="13"/>
              </w:rPr>
              <w:t>Feature model</w:t>
            </w:r>
          </w:p>
        </w:tc>
        <w:tc>
          <w:tcPr>
            <w:tcW w:type="dxa" w:w="2088"/>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Availability</w:t>
            </w:r>
          </w:p>
        </w:tc>
        <w:tc>
          <w:tcPr>
            <w:tcW w:type="dxa" w:w="1368"/>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RMSE</w:t>
            </w:r>
          </w:p>
        </w:tc>
        <w:tc>
          <w:tcPr>
            <w:tcW w:type="dxa" w:w="1368"/>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MAE</w:t>
            </w:r>
          </w:p>
        </w:tc>
        <w:tc>
          <w:tcPr>
            <w:tcW w:type="dxa" w:w="1655"/>
            <w:shd w:fill="E8EEF5"/>
            <w:vAlign w:val="center"/>
            <w:tcMar>
              <w:top w:w="50" w:type="dxa"/>
              <w:start w:w="80" w:type="dxa"/>
              <w:bottom w:w="50" w:type="dxa"/>
              <w:end w:w="80" w:type="dxa"/>
            </w:tcMar>
          </w:tcPr>
          <w:p>
            <w:pPr>
              <w:spacing w:after="0" w:line="240" w:lineRule="auto"/>
              <w:jc w:val="right"/>
            </w:pPr>
            <w:r>
              <w:rPr>
                <w:rFonts w:ascii="Aptos" w:hAnsi="Aptos"/>
                <w:b/>
                <w:color w:val="17324D"/>
                <w:sz w:val="13"/>
              </w:rPr>
              <w:t>Δ RMSE vs prior</w:t>
            </w:r>
          </w:p>
        </w:tc>
      </w:tr>
      <w:tr>
        <w:trPr/>
        <w:tc>
          <w:tcPr>
            <w:tcW w:type="dxa" w:w="3168"/>
            <w:vAlign w:val="center"/>
            <w:tcMar>
              <w:top w:w="50" w:type="dxa"/>
              <w:start w:w="80" w:type="dxa"/>
              <w:bottom w:w="50" w:type="dxa"/>
              <w:end w:w="80" w:type="dxa"/>
            </w:tcMar>
          </w:tcPr>
          <w:p>
            <w:pPr>
              <w:spacing w:after="0" w:line="240" w:lineRule="auto"/>
            </w:pPr>
            <w:r>
              <w:rPr>
                <w:rFonts w:ascii="Aptos" w:hAnsi="Aptos"/>
                <w:color w:val="17324D"/>
                <w:sz w:val="13"/>
              </w:rPr>
              <w:t>Lag + time</w:t>
            </w:r>
          </w:p>
        </w:tc>
        <w:tc>
          <w:tcPr>
            <w:tcW w:type="dxa" w:w="2088"/>
            <w:vAlign w:val="center"/>
            <w:tcMar>
              <w:top w:w="50" w:type="dxa"/>
              <w:start w:w="80" w:type="dxa"/>
              <w:bottom w:w="50" w:type="dxa"/>
              <w:end w:w="80" w:type="dxa"/>
            </w:tcMar>
          </w:tcPr>
          <w:p>
            <w:pPr>
              <w:spacing w:after="0" w:line="240" w:lineRule="auto"/>
              <w:jc w:val="right"/>
            </w:pPr>
            <w:r>
              <w:rPr>
                <w:rFonts w:ascii="Aptos" w:hAnsi="Aptos"/>
                <w:color w:val="17324D"/>
                <w:sz w:val="13"/>
              </w:rPr>
              <w:t>Known/recursive</w:t>
            </w:r>
          </w:p>
        </w:tc>
        <w:tc>
          <w:tcPr>
            <w:tcW w:type="dxa" w:w="1368"/>
            <w:vAlign w:val="center"/>
            <w:tcMar>
              <w:top w:w="50" w:type="dxa"/>
              <w:start w:w="80" w:type="dxa"/>
              <w:bottom w:w="50" w:type="dxa"/>
              <w:end w:w="80" w:type="dxa"/>
            </w:tcMar>
          </w:tcPr>
          <w:p>
            <w:pPr>
              <w:spacing w:after="0" w:line="240" w:lineRule="auto"/>
              <w:jc w:val="right"/>
            </w:pPr>
            <w:r>
              <w:rPr>
                <w:rFonts w:ascii="Aptos" w:hAnsi="Aptos"/>
                <w:color w:val="17324D"/>
                <w:sz w:val="13"/>
              </w:rPr>
              <w:t>389.16</w:t>
            </w:r>
          </w:p>
        </w:tc>
        <w:tc>
          <w:tcPr>
            <w:tcW w:type="dxa" w:w="1368"/>
            <w:vAlign w:val="center"/>
            <w:tcMar>
              <w:top w:w="50" w:type="dxa"/>
              <w:start w:w="80" w:type="dxa"/>
              <w:bottom w:w="50" w:type="dxa"/>
              <w:end w:w="80" w:type="dxa"/>
            </w:tcMar>
          </w:tcPr>
          <w:p>
            <w:pPr>
              <w:spacing w:after="0" w:line="240" w:lineRule="auto"/>
              <w:jc w:val="right"/>
            </w:pPr>
            <w:r>
              <w:rPr>
                <w:rFonts w:ascii="Aptos" w:hAnsi="Aptos"/>
                <w:color w:val="17324D"/>
                <w:sz w:val="13"/>
              </w:rPr>
              <w:t>210.79</w:t>
            </w:r>
          </w:p>
        </w:tc>
        <w:tc>
          <w:tcPr>
            <w:tcW w:type="dxa" w:w="1655"/>
            <w:vAlign w:val="center"/>
            <w:tcMar>
              <w:top w:w="50" w:type="dxa"/>
              <w:start w:w="80" w:type="dxa"/>
              <w:bottom w:w="50" w:type="dxa"/>
              <w:end w:w="80" w:type="dxa"/>
            </w:tcMar>
          </w:tcPr>
          <w:p>
            <w:pPr>
              <w:spacing w:after="0" w:line="240" w:lineRule="auto"/>
              <w:jc w:val="right"/>
            </w:pPr>
            <w:r>
              <w:rPr>
                <w:rFonts w:ascii="Aptos" w:hAnsi="Aptos"/>
                <w:color w:val="17324D"/>
                <w:sz w:val="13"/>
              </w:rPr>
              <w:t>—</w:t>
            </w:r>
          </w:p>
        </w:tc>
      </w:tr>
      <w:tr>
        <w:trPr/>
        <w:tc>
          <w:tcPr>
            <w:tcW w:type="dxa" w:w="3168"/>
            <w:vAlign w:val="center"/>
            <w:tcMar>
              <w:top w:w="50" w:type="dxa"/>
              <w:start w:w="80" w:type="dxa"/>
              <w:bottom w:w="50" w:type="dxa"/>
              <w:end w:w="80" w:type="dxa"/>
            </w:tcMar>
          </w:tcPr>
          <w:p>
            <w:pPr>
              <w:spacing w:after="0" w:line="240" w:lineRule="auto"/>
            </w:pPr>
            <w:r>
              <w:rPr>
                <w:rFonts w:ascii="Aptos" w:hAnsi="Aptos"/>
                <w:color w:val="17324D"/>
                <w:sz w:val="13"/>
              </w:rPr>
              <w:t>+ weather</w:t>
            </w:r>
          </w:p>
        </w:tc>
        <w:tc>
          <w:tcPr>
            <w:tcW w:type="dxa" w:w="2088"/>
            <w:vAlign w:val="center"/>
            <w:tcMar>
              <w:top w:w="50" w:type="dxa"/>
              <w:start w:w="80" w:type="dxa"/>
              <w:bottom w:w="50" w:type="dxa"/>
              <w:end w:w="80" w:type="dxa"/>
            </w:tcMar>
          </w:tcPr>
          <w:p>
            <w:pPr>
              <w:spacing w:after="0" w:line="240" w:lineRule="auto"/>
              <w:jc w:val="right"/>
            </w:pPr>
            <w:r>
              <w:rPr>
                <w:rFonts w:ascii="Aptos" w:hAnsi="Aptos"/>
                <w:color w:val="17324D"/>
                <w:sz w:val="13"/>
              </w:rPr>
              <w:t>Conditional</w:t>
            </w:r>
          </w:p>
        </w:tc>
        <w:tc>
          <w:tcPr>
            <w:tcW w:type="dxa" w:w="1368"/>
            <w:vAlign w:val="center"/>
            <w:tcMar>
              <w:top w:w="50" w:type="dxa"/>
              <w:start w:w="80" w:type="dxa"/>
              <w:bottom w:w="50" w:type="dxa"/>
              <w:end w:w="80" w:type="dxa"/>
            </w:tcMar>
          </w:tcPr>
          <w:p>
            <w:pPr>
              <w:spacing w:after="0" w:line="240" w:lineRule="auto"/>
              <w:jc w:val="right"/>
            </w:pPr>
            <w:r>
              <w:rPr>
                <w:rFonts w:ascii="Aptos" w:hAnsi="Aptos"/>
                <w:color w:val="17324D"/>
                <w:sz w:val="13"/>
              </w:rPr>
              <w:t>380.88</w:t>
            </w:r>
          </w:p>
        </w:tc>
        <w:tc>
          <w:tcPr>
            <w:tcW w:type="dxa" w:w="1368"/>
            <w:vAlign w:val="center"/>
            <w:tcMar>
              <w:top w:w="50" w:type="dxa"/>
              <w:start w:w="80" w:type="dxa"/>
              <w:bottom w:w="50" w:type="dxa"/>
              <w:end w:w="80" w:type="dxa"/>
            </w:tcMar>
          </w:tcPr>
          <w:p>
            <w:pPr>
              <w:spacing w:after="0" w:line="240" w:lineRule="auto"/>
              <w:jc w:val="right"/>
            </w:pPr>
            <w:r>
              <w:rPr>
                <w:rFonts w:ascii="Aptos" w:hAnsi="Aptos"/>
                <w:color w:val="17324D"/>
                <w:sz w:val="13"/>
              </w:rPr>
              <w:t>203.20</w:t>
            </w:r>
          </w:p>
        </w:tc>
        <w:tc>
          <w:tcPr>
            <w:tcW w:type="dxa" w:w="1655"/>
            <w:vAlign w:val="center"/>
            <w:tcMar>
              <w:top w:w="50" w:type="dxa"/>
              <w:start w:w="80" w:type="dxa"/>
              <w:bottom w:w="50" w:type="dxa"/>
              <w:end w:w="80" w:type="dxa"/>
            </w:tcMar>
          </w:tcPr>
          <w:p>
            <w:pPr>
              <w:spacing w:after="0" w:line="240" w:lineRule="auto"/>
              <w:jc w:val="right"/>
            </w:pPr>
            <w:r>
              <w:rPr>
                <w:rFonts w:ascii="Aptos" w:hAnsi="Aptos"/>
                <w:color w:val="17324D"/>
                <w:sz w:val="13"/>
              </w:rPr>
              <w:t>-8.28</w:t>
            </w:r>
          </w:p>
        </w:tc>
      </w:tr>
      <w:tr>
        <w:trPr/>
        <w:tc>
          <w:tcPr>
            <w:tcW w:type="dxa" w:w="3168"/>
            <w:vAlign w:val="center"/>
            <w:tcMar>
              <w:top w:w="50" w:type="dxa"/>
              <w:start w:w="80" w:type="dxa"/>
              <w:bottom w:w="50" w:type="dxa"/>
              <w:end w:w="80" w:type="dxa"/>
            </w:tcMar>
          </w:tcPr>
          <w:p>
            <w:pPr>
              <w:spacing w:after="0" w:line="240" w:lineRule="auto"/>
            </w:pPr>
            <w:r>
              <w:rPr>
                <w:rFonts w:ascii="Aptos" w:hAnsi="Aptos"/>
                <w:color w:val="17324D"/>
                <w:sz w:val="13"/>
              </w:rPr>
              <w:t>+ indoor sensors/lights</w:t>
            </w:r>
          </w:p>
        </w:tc>
        <w:tc>
          <w:tcPr>
            <w:tcW w:type="dxa" w:w="2088"/>
            <w:vAlign w:val="center"/>
            <w:tcMar>
              <w:top w:w="50" w:type="dxa"/>
              <w:start w:w="80" w:type="dxa"/>
              <w:bottom w:w="50" w:type="dxa"/>
              <w:end w:w="80" w:type="dxa"/>
            </w:tcMar>
          </w:tcPr>
          <w:p>
            <w:pPr>
              <w:spacing w:after="0" w:line="240" w:lineRule="auto"/>
              <w:jc w:val="right"/>
            </w:pPr>
            <w:r>
              <w:rPr>
                <w:rFonts w:ascii="Aptos" w:hAnsi="Aptos"/>
                <w:color w:val="17324D"/>
                <w:sz w:val="13"/>
              </w:rPr>
              <w:t>Conditional</w:t>
            </w:r>
          </w:p>
        </w:tc>
        <w:tc>
          <w:tcPr>
            <w:tcW w:type="dxa" w:w="1368"/>
            <w:vAlign w:val="center"/>
            <w:tcMar>
              <w:top w:w="50" w:type="dxa"/>
              <w:start w:w="80" w:type="dxa"/>
              <w:bottom w:w="50" w:type="dxa"/>
              <w:end w:w="80" w:type="dxa"/>
            </w:tcMar>
          </w:tcPr>
          <w:p>
            <w:pPr>
              <w:spacing w:after="0" w:line="240" w:lineRule="auto"/>
              <w:jc w:val="right"/>
            </w:pPr>
            <w:r>
              <w:rPr>
                <w:rFonts w:ascii="Aptos" w:hAnsi="Aptos"/>
                <w:color w:val="17324D"/>
                <w:sz w:val="13"/>
              </w:rPr>
              <w:t>378.17</w:t>
            </w:r>
          </w:p>
        </w:tc>
        <w:tc>
          <w:tcPr>
            <w:tcW w:type="dxa" w:w="1368"/>
            <w:vAlign w:val="center"/>
            <w:tcMar>
              <w:top w:w="50" w:type="dxa"/>
              <w:start w:w="80" w:type="dxa"/>
              <w:bottom w:w="50" w:type="dxa"/>
              <w:end w:w="80" w:type="dxa"/>
            </w:tcMar>
          </w:tcPr>
          <w:p>
            <w:pPr>
              <w:spacing w:after="0" w:line="240" w:lineRule="auto"/>
              <w:jc w:val="right"/>
            </w:pPr>
            <w:r>
              <w:rPr>
                <w:rFonts w:ascii="Aptos" w:hAnsi="Aptos"/>
                <w:color w:val="17324D"/>
                <w:sz w:val="13"/>
              </w:rPr>
              <w:t>203.31</w:t>
            </w:r>
          </w:p>
        </w:tc>
        <w:tc>
          <w:tcPr>
            <w:tcW w:type="dxa" w:w="1655"/>
            <w:vAlign w:val="center"/>
            <w:tcMar>
              <w:top w:w="50" w:type="dxa"/>
              <w:start w:w="80" w:type="dxa"/>
              <w:bottom w:w="50" w:type="dxa"/>
              <w:end w:w="80" w:type="dxa"/>
            </w:tcMar>
          </w:tcPr>
          <w:p>
            <w:pPr>
              <w:spacing w:after="0" w:line="240" w:lineRule="auto"/>
              <w:jc w:val="right"/>
            </w:pPr>
            <w:r>
              <w:rPr>
                <w:rFonts w:ascii="Aptos" w:hAnsi="Aptos"/>
                <w:color w:val="17324D"/>
                <w:sz w:val="13"/>
              </w:rPr>
              <w:t>-2.71</w:t>
            </w:r>
          </w:p>
        </w:tc>
      </w:tr>
    </w:tbl>
    <w:p>
      <w:pPr>
        <w:spacing w:after="0"/>
      </w:pPr>
    </w:p>
    <w:p>
      <w:pPr>
        <w:spacing w:after="20"/>
        <w:jc w:val="center"/>
      </w:pPr>
      <w:r>
        <w:drawing>
          <wp:inline xmlns:a="http://schemas.openxmlformats.org/drawingml/2006/main" xmlns:pic="http://schemas.openxmlformats.org/drawingml/2006/picture">
            <wp:extent cx="5806440" cy="3540244"/>
            <wp:docPr id="4" name="Picture 4"/>
            <wp:cNvGraphicFramePr>
              <a:graphicFrameLocks noChangeAspect="1"/>
            </wp:cNvGraphicFramePr>
            <a:graphic>
              <a:graphicData uri="http://schemas.openxmlformats.org/drawingml/2006/picture">
                <pic:pic>
                  <pic:nvPicPr>
                    <pic:cNvPr id="0" name="06_feature_importance.png"/>
                    <pic:cNvPicPr/>
                  </pic:nvPicPr>
                  <pic:blipFill>
                    <a:blip r:embed="rId14"/>
                    <a:stretch>
                      <a:fillRect/>
                    </a:stretch>
                  </pic:blipFill>
                  <pic:spPr>
                    <a:xfrm>
                      <a:off x="0" y="0"/>
                      <a:ext cx="5806440" cy="3540244"/>
                    </a:xfrm>
                    <a:prstGeom prst="rect"/>
                  </pic:spPr>
                </pic:pic>
              </a:graphicData>
            </a:graphic>
          </wp:inline>
        </w:drawing>
      </w:r>
    </w:p>
    <w:p>
      <w:pPr>
        <w:spacing w:after="40"/>
        <w:jc w:val="center"/>
      </w:pPr>
      <w:r>
        <w:rPr>
          <w:i/>
          <w:color w:val="667085"/>
          <w:sz w:val="13"/>
        </w:rPr>
        <w:t>Figure 4. Permutation importance on the conditional holdout; lag 1 and cyclic time dominate.</w:t>
      </w:r>
    </w:p>
    <w:p>
      <w:pPr>
        <w:keepLines w:val="0"/>
      </w:pPr>
      <w:r>
        <w:t>The deployable HGB already achieves 389.16 Wh RMSE. Supplying future weather lowers RMSE by 8.28 Wh and all sensors by only another 2.71 Wh, although conditional MAE is roughly 7.5 Wh lower than lag+time. Permutation importance is dominated by lag 1, hour cosine, lag 24 and hour sine; the first sensor (RH_6) is a distant fifth. Thus dynamics and time of day carry most useful signal, and the broad sensor panel has low marginal value.</w:t>
      </w:r>
    </w:p>
    <w:tbl>
      <w:tblPr>
        <w:tblW w:type="auto" w:w="0"/>
        <w:jc w:val="center"/>
        <w:tblLayout w:type="fixed"/>
        <w:tblLook w:firstColumn="1" w:firstRow="1" w:lastColumn="0" w:lastRow="0" w:noHBand="0" w:noVBand="1" w:val="04A0"/>
        <w:tblLayout w:type="fixed"/>
      </w:tblPr>
      <w:tblGrid>
        <w:gridCol w:w="9936"/>
      </w:tblGrid>
      <w:tr>
        <w:tc>
          <w:tcPr>
            <w:tcW w:type="dxa" w:w="9936"/>
            <w:shd w:fill="E8EEF5"/>
            <w:tcMar>
              <w:top w:w="90" w:type="dxa"/>
              <w:start w:w="130" w:type="dxa"/>
              <w:bottom w:w="90" w:type="dxa"/>
              <w:end w:w="130" w:type="dxa"/>
            </w:tcMar>
          </w:tcPr>
          <w:p>
            <w:pPr>
              <w:spacing w:after="0"/>
            </w:pPr>
            <w:r>
              <w:rPr>
                <w:b/>
                <w:color w:val="2D6CDF"/>
                <w:sz w:val="14"/>
              </w:rPr>
              <w:t xml:space="preserve">QUESTIONS 3 AND 5 — FEATURE VALUE AND AVAILABILITY  </w:t>
            </w:r>
            <w:r>
              <w:rPr>
                <w:color w:val="17324D"/>
                <w:sz w:val="17"/>
              </w:rPr>
              <w:t>Feature engineering improves strongly over the weekly benchmark, but most of the gain comes from lags and time. Calendar terms are known. Appliance lags are known only up to the origin and must be generated recursively thereafter. Future indoor temperature, humidity, lights and realised weather are not genuinely known; using their test values creates a conditional forecast, not a deployable one. Weather forecasts could be substituted, with their uncertainty propagated.</w:t>
            </w:r>
          </w:p>
        </w:tc>
      </w:tr>
    </w:tbl>
    <w:p>
      <w:r>
        <w:br w:type="page"/>
      </w:r>
    </w:p>
    <w:p>
      <w:pPr>
        <w:pStyle w:val="Heading1"/>
      </w:pPr>
      <w:r>
        <w:t>7. Foundation model and common evaluation</w:t>
      </w:r>
    </w:p>
    <w:p>
      <w:pPr>
        <w:keepLines w:val="0"/>
      </w:pPr>
      <w:r>
        <w:t>Chronos-T5 tiny is a pretrained probabilistic time-series transformer that scales and quantises values, then models tokens with a T5 architecture [4]. It is used zero-shot: 512 hours of context, 40 sampled paths per origin, median point forecast and 5th–95th percentile interval. No target-specific training or future covariates are used. This makes the comparison operationally honest but gives the small univariate checkpoint no household-specific adaptation.</w:t>
      </w:r>
    </w:p>
    <w:tbl>
      <w:tblPr>
        <w:tblStyle w:val="TableGrid"/>
        <w:tblW w:type="auto" w:w="0"/>
        <w:jc w:val="center"/>
        <w:tblLayout w:type="fixed"/>
        <w:tblLook w:firstColumn="1" w:firstRow="1" w:lastColumn="0" w:lastRow="0" w:noHBand="0" w:noVBand="1" w:val="04A0"/>
        <w:tblLayout w:type="fixed"/>
      </w:tblPr>
      <w:tblGrid>
        <w:gridCol w:w="3744"/>
        <w:gridCol w:w="1080"/>
        <w:gridCol w:w="1080"/>
        <w:gridCol w:w="1080"/>
        <w:gridCol w:w="1007"/>
        <w:gridCol w:w="1152"/>
        <w:gridCol w:w="1007"/>
      </w:tblGrid>
      <w:tr>
        <w:trPr>
          <w:tblHeader w:val="true"/>
        </w:trPr>
        <w:tc>
          <w:tcPr>
            <w:tcW w:type="dxa" w:w="3744"/>
            <w:shd w:fill="E8EEF5"/>
            <w:vAlign w:val="center"/>
            <w:tcMar>
              <w:top w:w="50" w:type="dxa"/>
              <w:start w:w="80" w:type="dxa"/>
              <w:bottom w:w="50" w:type="dxa"/>
              <w:end w:w="80" w:type="dxa"/>
            </w:tcMar>
          </w:tcPr>
          <w:p>
            <w:pPr>
              <w:spacing w:after="0" w:line="240" w:lineRule="auto"/>
            </w:pPr>
            <w:r>
              <w:rPr>
                <w:rFonts w:ascii="Aptos" w:hAnsi="Aptos"/>
                <w:b/>
                <w:color w:val="17324D"/>
                <w:sz w:val="12"/>
              </w:rPr>
              <w:t>Model</w:t>
            </w:r>
          </w:p>
        </w:tc>
        <w:tc>
          <w:tcPr>
            <w:tcW w:type="dxa" w:w="1080"/>
            <w:shd w:fill="E8EEF5"/>
            <w:vAlign w:val="center"/>
            <w:tcMar>
              <w:top w:w="50" w:type="dxa"/>
              <w:start w:w="80" w:type="dxa"/>
              <w:bottom w:w="50" w:type="dxa"/>
              <w:end w:w="80" w:type="dxa"/>
            </w:tcMar>
          </w:tcPr>
          <w:p>
            <w:pPr>
              <w:spacing w:after="0" w:line="240" w:lineRule="auto"/>
              <w:jc w:val="right"/>
            </w:pPr>
            <w:r>
              <w:rPr>
                <w:rFonts w:ascii="Aptos" w:hAnsi="Aptos"/>
                <w:b/>
                <w:color w:val="17324D"/>
                <w:sz w:val="12"/>
              </w:rPr>
              <w:t>RMSE</w:t>
            </w:r>
          </w:p>
        </w:tc>
        <w:tc>
          <w:tcPr>
            <w:tcW w:type="dxa" w:w="1080"/>
            <w:shd w:fill="E8EEF5"/>
            <w:vAlign w:val="center"/>
            <w:tcMar>
              <w:top w:w="50" w:type="dxa"/>
              <w:start w:w="80" w:type="dxa"/>
              <w:bottom w:w="50" w:type="dxa"/>
              <w:end w:w="80" w:type="dxa"/>
            </w:tcMar>
          </w:tcPr>
          <w:p>
            <w:pPr>
              <w:spacing w:after="0" w:line="240" w:lineRule="auto"/>
              <w:jc w:val="right"/>
            </w:pPr>
            <w:r>
              <w:rPr>
                <w:rFonts w:ascii="Aptos" w:hAnsi="Aptos"/>
                <w:b/>
                <w:color w:val="17324D"/>
                <w:sz w:val="12"/>
              </w:rPr>
              <w:t>MAE</w:t>
            </w:r>
          </w:p>
        </w:tc>
        <w:tc>
          <w:tcPr>
            <w:tcW w:type="dxa" w:w="1080"/>
            <w:shd w:fill="E8EEF5"/>
            <w:vAlign w:val="center"/>
            <w:tcMar>
              <w:top w:w="50" w:type="dxa"/>
              <w:start w:w="80" w:type="dxa"/>
              <w:bottom w:w="50" w:type="dxa"/>
              <w:end w:w="80" w:type="dxa"/>
            </w:tcMar>
          </w:tcPr>
          <w:p>
            <w:pPr>
              <w:spacing w:after="0" w:line="240" w:lineRule="auto"/>
              <w:jc w:val="right"/>
            </w:pPr>
            <w:r>
              <w:rPr>
                <w:rFonts w:ascii="Aptos" w:hAnsi="Aptos"/>
                <w:b/>
                <w:color w:val="17324D"/>
                <w:sz w:val="12"/>
              </w:rPr>
              <w:t>sMAPE</w:t>
            </w:r>
          </w:p>
        </w:tc>
        <w:tc>
          <w:tcPr>
            <w:tcW w:type="dxa" w:w="1007"/>
            <w:shd w:fill="E8EEF5"/>
            <w:vAlign w:val="center"/>
            <w:tcMar>
              <w:top w:w="50" w:type="dxa"/>
              <w:start w:w="80" w:type="dxa"/>
              <w:bottom w:w="50" w:type="dxa"/>
              <w:end w:w="80" w:type="dxa"/>
            </w:tcMar>
          </w:tcPr>
          <w:p>
            <w:pPr>
              <w:spacing w:after="0" w:line="240" w:lineRule="auto"/>
              <w:jc w:val="right"/>
            </w:pPr>
            <w:r>
              <w:rPr>
                <w:rFonts w:ascii="Aptos" w:hAnsi="Aptos"/>
                <w:b/>
                <w:color w:val="17324D"/>
                <w:sz w:val="12"/>
              </w:rPr>
              <w:t>MASE</w:t>
            </w:r>
          </w:p>
        </w:tc>
        <w:tc>
          <w:tcPr>
            <w:tcW w:type="dxa" w:w="1152"/>
            <w:shd w:fill="E8EEF5"/>
            <w:vAlign w:val="center"/>
            <w:tcMar>
              <w:top w:w="50" w:type="dxa"/>
              <w:start w:w="80" w:type="dxa"/>
              <w:bottom w:w="50" w:type="dxa"/>
              <w:end w:w="80" w:type="dxa"/>
            </w:tcMar>
          </w:tcPr>
          <w:p>
            <w:pPr>
              <w:spacing w:after="0" w:line="240" w:lineRule="auto"/>
              <w:jc w:val="right"/>
            </w:pPr>
            <w:r>
              <w:rPr>
                <w:rFonts w:ascii="Aptos" w:hAnsi="Aptos"/>
                <w:b/>
                <w:color w:val="17324D"/>
                <w:sz w:val="12"/>
              </w:rPr>
              <w:t>Bias</w:t>
            </w:r>
          </w:p>
        </w:tc>
        <w:tc>
          <w:tcPr>
            <w:tcW w:type="dxa" w:w="1007"/>
            <w:shd w:fill="E8EEF5"/>
            <w:vAlign w:val="center"/>
            <w:tcMar>
              <w:top w:w="50" w:type="dxa"/>
              <w:start w:w="80" w:type="dxa"/>
              <w:bottom w:w="50" w:type="dxa"/>
              <w:end w:w="80" w:type="dxa"/>
            </w:tcMar>
          </w:tcPr>
          <w:p>
            <w:pPr>
              <w:spacing w:after="0" w:line="240" w:lineRule="auto"/>
              <w:jc w:val="right"/>
            </w:pPr>
            <w:r>
              <w:rPr>
                <w:rFonts w:ascii="Aptos" w:hAnsi="Aptos"/>
                <w:b/>
                <w:color w:val="17324D"/>
                <w:sz w:val="12"/>
              </w:rPr>
              <w:t>Cov.%</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HGB all covariates*</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378.17</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203.31</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26.91</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0.634</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-53.19</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SARIMAX calendar</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380.34</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216.10</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29.84</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0.674</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-29.12</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94.9</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HGB + weather*</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380.88</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203.20</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27.53</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0.634</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-66.16</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HGB lag+time</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389.16</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210.79</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28.82</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0.658</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-82.94</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Mean</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436.34</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296.07</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46.00</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0.924</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-13.32</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SARIMAX conditional</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456.91</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326.01</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50.55</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1.017</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65.59</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96.4</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Chronos-T5 tiny</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460.51</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227.51</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31.07</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0.710</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-196.38</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67.0</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Weekly seasonal naive</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474.70</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254.58</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32.50</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0.794</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-72.56</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Daily seasonal naive</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510.70</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288.57</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35.55</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0.900</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16.90</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Naive</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660.26</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512.02</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65.42</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1.597</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312.26</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w:t>
            </w:r>
          </w:p>
        </w:tc>
      </w:tr>
      <w:tr>
        <w:trPr/>
        <w:tc>
          <w:tcPr>
            <w:tcW w:type="dxa" w:w="3744"/>
            <w:vAlign w:val="center"/>
            <w:tcMar>
              <w:top w:w="50" w:type="dxa"/>
              <w:start w:w="80" w:type="dxa"/>
              <w:bottom w:w="50" w:type="dxa"/>
              <w:end w:w="80" w:type="dxa"/>
            </w:tcMar>
          </w:tcPr>
          <w:p>
            <w:pPr>
              <w:spacing w:after="0" w:line="240" w:lineRule="auto"/>
            </w:pPr>
            <w:r>
              <w:rPr>
                <w:rFonts w:ascii="Aptos" w:hAnsi="Aptos"/>
                <w:color w:val="17324D"/>
                <w:sz w:val="12"/>
              </w:rPr>
              <w:t>Drift</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662.07</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513.57</w:t>
            </w:r>
          </w:p>
        </w:tc>
        <w:tc>
          <w:tcPr>
            <w:tcW w:type="dxa" w:w="1080"/>
            <w:vAlign w:val="center"/>
            <w:tcMar>
              <w:top w:w="50" w:type="dxa"/>
              <w:start w:w="80" w:type="dxa"/>
              <w:bottom w:w="50" w:type="dxa"/>
              <w:end w:w="80" w:type="dxa"/>
            </w:tcMar>
          </w:tcPr>
          <w:p>
            <w:pPr>
              <w:spacing w:after="0" w:line="240" w:lineRule="auto"/>
              <w:jc w:val="right"/>
            </w:pPr>
            <w:r>
              <w:rPr>
                <w:rFonts w:ascii="Aptos" w:hAnsi="Aptos"/>
                <w:color w:val="17324D"/>
                <w:sz w:val="12"/>
              </w:rPr>
              <w:t>65.53</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1.602</w:t>
            </w:r>
          </w:p>
        </w:tc>
        <w:tc>
          <w:tcPr>
            <w:tcW w:type="dxa" w:w="1152"/>
            <w:vAlign w:val="center"/>
            <w:tcMar>
              <w:top w:w="50" w:type="dxa"/>
              <w:start w:w="80" w:type="dxa"/>
              <w:bottom w:w="50" w:type="dxa"/>
              <w:end w:w="80" w:type="dxa"/>
            </w:tcMar>
          </w:tcPr>
          <w:p>
            <w:pPr>
              <w:spacing w:after="0" w:line="240" w:lineRule="auto"/>
              <w:jc w:val="right"/>
            </w:pPr>
            <w:r>
              <w:rPr>
                <w:rFonts w:ascii="Aptos" w:hAnsi="Aptos"/>
                <w:color w:val="17324D"/>
                <w:sz w:val="12"/>
              </w:rPr>
              <w:t>314.61</w:t>
            </w:r>
          </w:p>
        </w:tc>
        <w:tc>
          <w:tcPr>
            <w:tcW w:type="dxa" w:w="1007"/>
            <w:vAlign w:val="center"/>
            <w:tcMar>
              <w:top w:w="50" w:type="dxa"/>
              <w:start w:w="80" w:type="dxa"/>
              <w:bottom w:w="50" w:type="dxa"/>
              <w:end w:w="80" w:type="dxa"/>
            </w:tcMar>
          </w:tcPr>
          <w:p>
            <w:pPr>
              <w:spacing w:after="0" w:line="240" w:lineRule="auto"/>
              <w:jc w:val="right"/>
            </w:pPr>
            <w:r>
              <w:rPr>
                <w:rFonts w:ascii="Aptos" w:hAnsi="Aptos"/>
                <w:color w:val="17324D"/>
                <w:sz w:val="12"/>
              </w:rPr>
              <w:t>—</w:t>
            </w:r>
          </w:p>
        </w:tc>
      </w:tr>
    </w:tbl>
    <w:p>
      <w:pPr>
        <w:spacing w:after="0"/>
      </w:pPr>
    </w:p>
    <w:p>
      <w:pPr>
        <w:keepLines w:val="0"/>
      </w:pPr>
      <w:r>
        <w:rPr>
          <w:color w:val="667085"/>
          <w:sz w:val="12"/>
        </w:rPr>
        <w:t>*Conditional forecast. Coverage corresponds to each model’s stated interval (95% SARIMAX; 90% Chronos).</w:t>
      </w:r>
    </w:p>
    <w:p>
      <w:pPr>
        <w:spacing w:after="20"/>
        <w:jc w:val="center"/>
      </w:pPr>
      <w:r>
        <w:drawing>
          <wp:inline xmlns:a="http://schemas.openxmlformats.org/drawingml/2006/main" xmlns:pic="http://schemas.openxmlformats.org/drawingml/2006/picture">
            <wp:extent cx="6080760" cy="2283770"/>
            <wp:docPr id="5" name="Picture 5"/>
            <wp:cNvGraphicFramePr>
              <a:graphicFrameLocks noChangeAspect="1"/>
            </wp:cNvGraphicFramePr>
            <a:graphic>
              <a:graphicData uri="http://schemas.openxmlformats.org/drawingml/2006/picture">
                <pic:pic>
                  <pic:nvPicPr>
                    <pic:cNvPr id="0" name="07_model_comparison.png"/>
                    <pic:cNvPicPr/>
                  </pic:nvPicPr>
                  <pic:blipFill>
                    <a:blip r:embed="rId15"/>
                    <a:stretch>
                      <a:fillRect/>
                    </a:stretch>
                  </pic:blipFill>
                  <pic:spPr>
                    <a:xfrm>
                      <a:off x="0" y="0"/>
                      <a:ext cx="6080760" cy="2283770"/>
                    </a:xfrm>
                    <a:prstGeom prst="rect"/>
                  </pic:spPr>
                </pic:pic>
              </a:graphicData>
            </a:graphic>
          </wp:inline>
        </w:drawing>
      </w:r>
    </w:p>
    <w:p>
      <w:pPr>
        <w:spacing w:after="40"/>
        <w:jc w:val="center"/>
      </w:pPr>
      <w:r>
        <w:rPr>
          <w:i/>
          <w:color w:val="667085"/>
          <w:sz w:val="13"/>
        </w:rPr>
        <w:t>Figure 5. Common RMSE and MASE comparison; all learned models beat the strongest seasonal benchmark except conditional SARIMAX.</w:t>
      </w:r>
    </w:p>
    <w:tbl>
      <w:tblPr>
        <w:tblW w:type="auto" w:w="0"/>
        <w:jc w:val="center"/>
        <w:tblLayout w:type="fixed"/>
        <w:tblLook w:firstColumn="1" w:firstRow="1" w:lastColumn="0" w:lastRow="0" w:noHBand="0" w:noVBand="1" w:val="04A0"/>
        <w:tblLayout w:type="fixed"/>
      </w:tblPr>
      <w:tblGrid>
        <w:gridCol w:w="9936"/>
      </w:tblGrid>
      <w:tr>
        <w:tc>
          <w:tcPr>
            <w:tcW w:type="dxa" w:w="9936"/>
            <w:shd w:fill="E8EEF5"/>
            <w:tcMar>
              <w:top w:w="90" w:type="dxa"/>
              <w:start w:w="130" w:type="dxa"/>
              <w:bottom w:w="90" w:type="dxa"/>
              <w:end w:w="130" w:type="dxa"/>
            </w:tcMar>
          </w:tcPr>
          <w:p>
            <w:pPr>
              <w:spacing w:after="0"/>
            </w:pPr>
            <w:r>
              <w:rPr>
                <w:b/>
                <w:color w:val="2D6CDF"/>
                <w:sz w:val="14"/>
              </w:rPr>
              <w:t xml:space="preserve">QUESTION 4 — DOES THE FOUNDATION MODEL JUSTIFY ITSELF?  </w:t>
            </w:r>
            <w:r>
              <w:rPr>
                <w:color w:val="17324D"/>
                <w:sz w:val="17"/>
              </w:rPr>
              <w:t>No. Chronos RMSE is 460.51 Wh: better than weekly seasonal naive but worse than SARIMAX and HGB. Its low sMAPE reflects conservative forecasts, yet bias is -196.38 Wh and 90% coverage is only 67.0%. The tiny checkpoint under-predicts bursts; larger/contextual foundation models or fine-tuning might help, but the observed result does not justify extra dependencies or latency.</w:t>
            </w:r>
          </w:p>
        </w:tc>
      </w:tr>
    </w:tbl>
    <w:p>
      <w:r>
        <w:br w:type="page"/>
      </w:r>
    </w:p>
    <w:p>
      <w:pPr>
        <w:pStyle w:val="Heading1"/>
      </w:pPr>
      <w:r>
        <w:t>8. Final 24-hour forecasts, recommendation and limitations</w:t>
      </w:r>
    </w:p>
    <w:p>
      <w:pPr>
        <w:spacing w:after="20"/>
        <w:jc w:val="center"/>
      </w:pPr>
      <w:r>
        <w:drawing>
          <wp:inline xmlns:a="http://schemas.openxmlformats.org/drawingml/2006/main" xmlns:pic="http://schemas.openxmlformats.org/drawingml/2006/picture">
            <wp:extent cx="4892040" cy="6334355"/>
            <wp:docPr id="6" name="Picture 6"/>
            <wp:cNvGraphicFramePr>
              <a:graphicFrameLocks noChangeAspect="1"/>
            </wp:cNvGraphicFramePr>
            <a:graphic>
              <a:graphicData uri="http://schemas.openxmlformats.org/drawingml/2006/picture">
                <pic:pic>
                  <pic:nvPicPr>
                    <pic:cNvPr id="0" name="04_final_forecasts.png"/>
                    <pic:cNvPicPr/>
                  </pic:nvPicPr>
                  <pic:blipFill>
                    <a:blip r:embed="rId16"/>
                    <a:stretch>
                      <a:fillRect/>
                    </a:stretch>
                  </pic:blipFill>
                  <pic:spPr>
                    <a:xfrm>
                      <a:off x="0" y="0"/>
                      <a:ext cx="4892040" cy="6334355"/>
                    </a:xfrm>
                    <a:prstGeom prst="rect"/>
                  </pic:spPr>
                </pic:pic>
              </a:graphicData>
            </a:graphic>
          </wp:inline>
        </w:drawing>
      </w:r>
    </w:p>
    <w:p>
      <w:pPr>
        <w:spacing w:after="40"/>
        <w:jc w:val="center"/>
      </w:pPr>
      <w:r>
        <w:rPr>
          <w:i/>
          <w:color w:val="667085"/>
          <w:sz w:val="13"/>
        </w:rPr>
        <w:t>Figure 6. Every model at the final rolling origin versus the subsequent observed 24 hours; shaded bands are available prediction intervals.</w:t>
      </w:r>
    </w:p>
    <w:p>
      <w:pPr>
        <w:keepLines w:val="0"/>
      </w:pPr>
      <w:r>
        <w:t>After the final origin, observed demand averaged 750.83 Wh and peaked at 1,860 Wh at 11:00. Calendar SARIMAX is the best of the plotted final-day forecasts (RMSE 420.16 Wh) but still smooths the midday bursts; HGB-all peaks at 1,142 Wh and Chronos at only 660 Wh. Daily seasonal naive imports a false 2,970 Wh evening peak. These errors reinforce the aggregate diagnostics: models learn routine level and timing, while discrete occupant-driven events remain the dominant uncertainty.</w:t>
      </w:r>
    </w:p>
    <w:tbl>
      <w:tblPr>
        <w:tblW w:type="auto" w:w="0"/>
        <w:jc w:val="center"/>
        <w:tblLayout w:type="fixed"/>
        <w:tblLook w:firstColumn="1" w:firstRow="1" w:lastColumn="0" w:lastRow="0" w:noHBand="0" w:noVBand="1" w:val="04A0"/>
        <w:tblLayout w:type="fixed"/>
      </w:tblPr>
      <w:tblGrid>
        <w:gridCol w:w="9936"/>
      </w:tblGrid>
      <w:tr>
        <w:tc>
          <w:tcPr>
            <w:tcW w:type="dxa" w:w="9936"/>
            <w:shd w:fill="E8EEF5"/>
            <w:tcMar>
              <w:top w:w="90" w:type="dxa"/>
              <w:start w:w="130" w:type="dxa"/>
              <w:bottom w:w="90" w:type="dxa"/>
              <w:end w:w="130" w:type="dxa"/>
            </w:tcMar>
          </w:tcPr>
          <w:p>
            <w:pPr>
              <w:spacing w:after="0"/>
            </w:pPr>
            <w:r>
              <w:rPr>
                <w:b/>
                <w:color w:val="2D6CDF"/>
                <w:sz w:val="14"/>
              </w:rPr>
              <w:t xml:space="preserve">QUESTION 6 — FINAL RECOMMENDATION  </w:t>
            </w:r>
            <w:r>
              <w:rPr>
                <w:color w:val="17324D"/>
                <w:sz w:val="17"/>
              </w:rPr>
              <w:t>Choose calendar-only SARIMAX. Its accuracy is essentially tied with conditional HGB, it is interpretable, its inputs are truly known, its uncertainty is calibrated, and CPU deployment is simple. HGB lag+time is a credible alternative when lower MAE and nonlinear effects matter; conditional HGB should be used only with honest covariate forecasts.</w:t>
            </w:r>
          </w:p>
        </w:tc>
      </w:tr>
    </w:tbl>
    <w:p>
      <w:pPr>
        <w:keepLines w:val="0"/>
      </w:pPr>
      <w:r>
        <w:rPr>
          <w:b/>
        </w:rPr>
        <w:t xml:space="preserve">Limitations and improvements. </w:t>
      </w:r>
      <w:r>
        <w:t>One house, 4.5 months and no occupancy/appliance-state labels limit external validity and peak prediction. Future work should use probabilistic peak-aware losses, conformal calibration, separate weather forecasts, occupancy/calendar events, richer seasonal-order cross-validation, tuned HGB, larger or covariate-aware foundation models, and multi-home/annual data. Operational monitoring should track bias, interval coverage and drift by hour.</w:t>
      </w:r>
    </w:p>
    <w:p>
      <w:pPr>
        <w:pStyle w:val="Heading2"/>
      </w:pPr>
      <w:r>
        <w:t>References</w:t>
      </w:r>
    </w:p>
    <w:p>
      <w:pPr>
        <w:keepLines w:val="0"/>
        <w:spacing w:after="0"/>
      </w:pPr>
      <w:r>
        <w:rPr>
          <w:color w:val="667085"/>
          <w:sz w:val="12"/>
        </w:rPr>
        <w:t>[1] Candanedo, L. (2017). Appliances Energy Prediction. UCI ML Repository. doi:10.24432/C5VC8G.   [2] Candanedo, L.M., Feldheim, V. &amp; Deramaix, D. (2017). Data driven prediction models of energy use of appliances in a low-energy house. Energy and Buildings 140, 81–97. doi:10.1016/j.enbuild.2017.01.083.   [3] Hyndman, R.J. &amp; Athanasopoulos, G. (2021). Forecasting: Principles and Practice, 3rd ed. OTexts.   [4] Ansari, A.F. et al. (2024). Chronos: Learning the language of time series. TMLR, arXiv:2403.07815.   [5] statsmodels (2026). SARIMAX documentation, v0.14.6.</w:t>
      </w:r>
    </w:p>
    <w:sectPr w:rsidR="00FC693F" w:rsidRPr="0006063C" w:rsidSect="00034616">
      <w:headerReference w:type="default" r:id="rId9"/>
      <w:footerReference w:type="default" r:id="rId10"/>
      <w:pgSz w:w="11906" w:h="16838"/>
      <w:pgMar w:top="864"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3"/>
      </w:rPr>
      <w:t xml:space="preserve">21 JULY 2026   •   </w:t>
    </w:r>
    <w:r>
      <w:rPr>
        <w:rFonts w:ascii="Aptos" w:hAnsi="Aptos"/>
        <w:color w:val="667085"/>
        <w:sz w:val="13"/>
      </w:rPr>
      <w:fldChar w:fldCharType="begin"/>
      <w:instrText xml:space="preserve">PAGE</w:instrText>
      <w:fldChar w:fldCharType="separate"/>
      <w:t>1</w:t>
      <w:fldChar w:fldCharType="end"/>
    </w:r>
    <w:r>
      <w:rPr>
        <w:rFonts w:ascii="Aptos" w:hAnsi="Aptos"/>
        <w:color w:val="667085"/>
        <w:sz w:val="13"/>
      </w:rPr>
      <w:t xml:space="preserve"> / 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D5DCE5"/>
      </w:pBdr>
    </w:pPr>
    <w:r>
      <w:rPr>
        <w:rFonts w:ascii="Aptos" w:hAnsi="Aptos"/>
        <w:b/>
        <w:color w:val="667085"/>
        <w:sz w:val="13"/>
      </w:rPr>
      <w:t>APPLIANCE ENERGY FORECASTING  /  REPRODUCIBLE MODEL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50" w:lineRule="auto"/>
    </w:pPr>
    <w:rPr>
      <w:rFonts w:ascii="Aptos" w:hAnsi="Aptos"/>
      <w:color w:val="1732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80"/>
      <w:outlineLvl w:val="0"/>
    </w:pPr>
    <w:rPr>
      <w:rFonts w:asciiTheme="majorHAnsi" w:eastAsiaTheme="majorEastAsia" w:hAnsiTheme="majorHAnsi" w:cstheme="majorBidi" w:ascii="Aptos Display" w:hAnsi="Aptos Display"/>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Display" w:hAnsi="Aptos Display"/>
      <w:b/>
      <w:bCs/>
      <w:color w:val="2D6CDF"/>
      <w:sz w:val="20"/>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ptos Display" w:hAnsi="Aptos Display"/>
      <w:b/>
      <w:bCs/>
      <w:color w:val="17324D"/>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Appliance Energy Use</dc:title>
  <dc:subject>Hourly 24-hour-ahead forecasting comparison</dc:subject>
  <dc:creator>Reproducible analysis</dc:creator>
  <cp:keywords>time series, appliance energy, SARIMAX, histogram gradient boosting, Chronos</cp:keywords>
  <dc:description>generated by python-docx</dc:description>
  <cp:lastModifiedBy/>
  <cp:revision>1</cp:revision>
  <dcterms:created xsi:type="dcterms:W3CDTF">2013-12-23T23:15:00Z</dcterms:created>
  <dcterms:modified xsi:type="dcterms:W3CDTF">2013-12-23T23:15:00Z</dcterms:modified>
  <cp:category/>
</cp:coreProperties>
</file>