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0100F"/>
          <w:sz w:val="28"/>
        </w:rPr>
        <w:t>BIRLA INSTITUTE OF TECHNOLOGY &amp; SCIENCE, PILANI</w:t>
      </w:r>
    </w:p>
    <w:p>
      <w:pPr>
        <w:jc w:val="center"/>
      </w:pPr>
      <w:r>
        <w:rPr>
          <w:b/>
          <w:color w:val="1D6A4F"/>
          <w:sz w:val="40"/>
        </w:rPr>
        <w:t>Mid-Semester Progress Report</w:t>
      </w:r>
    </w:p>
    <w:p>
      <w:pPr>
        <w:jc w:val="center"/>
      </w:pPr>
      <w:r>
        <w:rPr>
          <w:b/>
          <w:sz w:val="30"/>
        </w:rPr>
        <w:t>Green Fuel Intelligence System (GFIS): A Physics-Guided AI Digital Twin for Methane Yield Prediction and Stability Monitoring in Anaerobic Digestion</w:t>
      </w:r>
    </w:p>
    <w:p/>
    <w:tbl>
      <w:tblPr>
        <w:tblStyle w:val="TableGrid"/>
        <w:tblW w:type="auto" w:w="0"/>
        <w:tblLayout w:type="autofit"/>
        <w:tblLook w:firstColumn="1" w:firstRow="1" w:lastColumn="0" w:lastRow="0" w:noHBand="0" w:noVBand="1" w:val="04A0"/>
      </w:tblPr>
      <w:tblGrid>
        <w:gridCol w:w="4677"/>
        <w:gridCol w:w="4677"/>
      </w:tblGrid>
      <w:tr>
        <w:tc>
          <w:tcPr>
            <w:tcW w:type="dxa" w:w="4677"/>
            <w:vAlign w:val="center"/>
            <w:shd w:fill="1D6A4F"/>
          </w:tcPr>
          <w:p>
            <w:pPr>
              <w:spacing w:after="0"/>
            </w:pPr>
            <w:r>
              <w:rPr>
                <w:b/>
                <w:color w:val="FFFAF3"/>
                <w:sz w:val="18"/>
              </w:rPr>
            </w:r>
            <w:r>
              <w:rPr>
                <w:b/>
                <w:color w:val="FFFAF3"/>
                <w:sz w:val="18"/>
              </w:rPr>
              <w:t>Course</w:t>
            </w:r>
          </w:p>
        </w:tc>
        <w:tc>
          <w:tcPr>
            <w:tcW w:type="dxa" w:w="4677"/>
            <w:vAlign w:val="center"/>
            <w:shd w:fill="1D6A4F"/>
          </w:tcPr>
          <w:p>
            <w:pPr>
              <w:spacing w:after="0"/>
            </w:pPr>
            <w:r>
              <w:rPr>
                <w:b/>
                <w:color w:val="FFFAF3"/>
                <w:sz w:val="18"/>
              </w:rPr>
            </w:r>
            <w:r>
              <w:rPr>
                <w:b/>
                <w:color w:val="FFFAF3"/>
                <w:sz w:val="18"/>
              </w:rPr>
              <w:t>DISSERTATION (Tentative NSP 2)</w:t>
            </w:r>
          </w:p>
        </w:tc>
      </w:tr>
      <w:tr>
        <w:tc>
          <w:tcPr>
            <w:tcW w:type="dxa" w:w="4677"/>
            <w:vAlign w:val="center"/>
          </w:tcPr>
          <w:p>
            <w:pPr>
              <w:spacing w:after="0"/>
            </w:pPr>
            <w:r>
              <w:rPr>
                <w:sz w:val="18"/>
              </w:rPr>
            </w:r>
            <w:r>
              <w:rPr>
                <w:b/>
                <w:sz w:val="18"/>
              </w:rPr>
              <w:t>Student</w:t>
            </w:r>
          </w:p>
        </w:tc>
        <w:tc>
          <w:tcPr>
            <w:tcW w:type="dxa" w:w="4677"/>
            <w:vAlign w:val="center"/>
          </w:tcPr>
          <w:p>
            <w:pPr>
              <w:spacing w:after="0"/>
            </w:pPr>
            <w:r>
              <w:rPr>
                <w:sz w:val="18"/>
              </w:rPr>
            </w:r>
            <w:r>
              <w:rPr>
                <w:b w:val="0"/>
                <w:sz w:val="18"/>
              </w:rPr>
              <w:t>Akash Shivadas Chatake</w:t>
            </w:r>
          </w:p>
        </w:tc>
      </w:tr>
      <w:tr>
        <w:tc>
          <w:tcPr>
            <w:tcW w:type="dxa" w:w="4677"/>
            <w:vAlign w:val="center"/>
          </w:tcPr>
          <w:p>
            <w:pPr>
              <w:spacing w:after="0"/>
            </w:pPr>
            <w:r>
              <w:rPr>
                <w:sz w:val="18"/>
              </w:rPr>
            </w:r>
            <w:r>
              <w:rPr>
                <w:b/>
                <w:sz w:val="18"/>
              </w:rPr>
              <w:t>BITS ID</w:t>
            </w:r>
          </w:p>
        </w:tc>
        <w:tc>
          <w:tcPr>
            <w:tcW w:type="dxa" w:w="4677"/>
            <w:vAlign w:val="center"/>
          </w:tcPr>
          <w:p>
            <w:pPr>
              <w:spacing w:after="0"/>
            </w:pPr>
            <w:r>
              <w:rPr>
                <w:sz w:val="18"/>
              </w:rPr>
            </w:r>
            <w:r>
              <w:rPr>
                <w:b w:val="0"/>
                <w:sz w:val="18"/>
              </w:rPr>
              <w:t>2024AB05226</w:t>
            </w:r>
          </w:p>
        </w:tc>
      </w:tr>
      <w:tr>
        <w:tc>
          <w:tcPr>
            <w:tcW w:type="dxa" w:w="4677"/>
            <w:vAlign w:val="center"/>
          </w:tcPr>
          <w:p>
            <w:pPr>
              <w:spacing w:after="0"/>
            </w:pPr>
            <w:r>
              <w:rPr>
                <w:sz w:val="18"/>
              </w:rPr>
            </w:r>
            <w:r>
              <w:rPr>
                <w:b/>
                <w:sz w:val="18"/>
              </w:rPr>
              <w:t>Degree Program</w:t>
            </w:r>
          </w:p>
        </w:tc>
        <w:tc>
          <w:tcPr>
            <w:tcW w:type="dxa" w:w="4677"/>
            <w:vAlign w:val="center"/>
          </w:tcPr>
          <w:p>
            <w:pPr>
              <w:spacing w:after="0"/>
            </w:pPr>
            <w:r>
              <w:rPr>
                <w:sz w:val="18"/>
              </w:rPr>
            </w:r>
            <w:r>
              <w:rPr>
                <w:b w:val="0"/>
                <w:sz w:val="18"/>
              </w:rPr>
              <w:t>M.Tech. Artificial Intelligence and Machine Learning</w:t>
            </w:r>
          </w:p>
        </w:tc>
      </w:tr>
      <w:tr>
        <w:tc>
          <w:tcPr>
            <w:tcW w:type="dxa" w:w="4677"/>
            <w:vAlign w:val="center"/>
          </w:tcPr>
          <w:p>
            <w:pPr>
              <w:spacing w:after="0"/>
            </w:pPr>
            <w:r>
              <w:rPr>
                <w:sz w:val="18"/>
              </w:rPr>
            </w:r>
            <w:r>
              <w:rPr>
                <w:b/>
                <w:sz w:val="18"/>
              </w:rPr>
              <w:t>Supervisor</w:t>
            </w:r>
          </w:p>
        </w:tc>
        <w:tc>
          <w:tcPr>
            <w:tcW w:type="dxa" w:w="4677"/>
            <w:vAlign w:val="center"/>
          </w:tcPr>
          <w:p>
            <w:pPr>
              <w:spacing w:after="0"/>
            </w:pPr>
            <w:r>
              <w:rPr>
                <w:sz w:val="18"/>
              </w:rPr>
            </w:r>
            <w:r>
              <w:rPr>
                <w:b w:val="0"/>
                <w:sz w:val="18"/>
              </w:rPr>
              <w:t>Prof. Dipti Mane</w:t>
            </w:r>
          </w:p>
        </w:tc>
      </w:tr>
      <w:tr>
        <w:tc>
          <w:tcPr>
            <w:tcW w:type="dxa" w:w="4677"/>
            <w:vAlign w:val="center"/>
          </w:tcPr>
          <w:p>
            <w:pPr>
              <w:spacing w:after="0"/>
            </w:pPr>
            <w:r>
              <w:rPr>
                <w:sz w:val="18"/>
              </w:rPr>
            </w:r>
            <w:r>
              <w:rPr>
                <w:b/>
                <w:sz w:val="18"/>
              </w:rPr>
              <w:t>Work carried out at</w:t>
            </w:r>
          </w:p>
        </w:tc>
        <w:tc>
          <w:tcPr>
            <w:tcW w:type="dxa" w:w="4677"/>
            <w:vAlign w:val="center"/>
          </w:tcPr>
          <w:p>
            <w:pPr>
              <w:spacing w:after="0"/>
            </w:pPr>
            <w:r>
              <w:rPr>
                <w:sz w:val="18"/>
              </w:rPr>
            </w:r>
            <w:r>
              <w:rPr>
                <w:b w:val="0"/>
                <w:sz w:val="18"/>
              </w:rPr>
              <w:t>Shri Siddheshwar Women's Polytechnic, Solapur, Maharashtra, India</w:t>
            </w:r>
          </w:p>
        </w:tc>
      </w:tr>
      <w:tr>
        <w:tc>
          <w:tcPr>
            <w:tcW w:type="dxa" w:w="4677"/>
            <w:vAlign w:val="center"/>
          </w:tcPr>
          <w:p>
            <w:pPr>
              <w:spacing w:after="0"/>
            </w:pPr>
            <w:r>
              <w:rPr>
                <w:sz w:val="18"/>
              </w:rPr>
            </w:r>
            <w:r>
              <w:rPr>
                <w:b/>
                <w:sz w:val="18"/>
              </w:rPr>
              <w:t>Submission month</w:t>
            </w:r>
          </w:p>
        </w:tc>
        <w:tc>
          <w:tcPr>
            <w:tcW w:type="dxa" w:w="4677"/>
            <w:vAlign w:val="center"/>
          </w:tcPr>
          <w:p>
            <w:pPr>
              <w:spacing w:after="0"/>
            </w:pPr>
            <w:r>
              <w:rPr>
                <w:sz w:val="18"/>
              </w:rPr>
            </w:r>
            <w:r>
              <w:rPr>
                <w:b w:val="0"/>
                <w:sz w:val="18"/>
              </w:rPr>
              <w:t>June 2026</w:t>
            </w:r>
          </w:p>
        </w:tc>
      </w:tr>
    </w:tbl>
    <w:p/>
    <w:p>
      <w:pPr>
        <w:jc w:val="center"/>
      </w:pPr>
      <w:r>
        <w:rPr>
          <w:i/>
        </w:rPr>
        <w:t>Submitted in partial fulfilment of the M.Tech. Artificial Intelligence and Machine Learning dissertation requirements.</w:t>
      </w:r>
    </w:p>
    <w:p>
      <w:r>
        <w:br w:type="page"/>
      </w:r>
    </w:p>
    <w:p>
      <w:pPr>
        <w:pStyle w:val="Heading1"/>
      </w:pPr>
      <w:r>
        <w:rPr>
          <w:color w:val="10100F"/>
        </w:rPr>
        <w:t>Abstract</w:t>
      </w:r>
    </w:p>
    <w:p>
      <w:pPr>
        <w:spacing w:after="160" w:line="269" w:lineRule="auto"/>
      </w:pPr>
      <w:r>
        <w:t>This mid-semester report presents the progress of the Green Fuel Intelligence System (GFIS), a physics-guided AI digital twin for methane-yield prediction and stability monitoring in anaerobic digestion. The abstract presentation was accepted by faculty with an Excellent remark. The evaluator specifically recognized the work as moving beyond black-box machine learning toward physics-informed machine learning, soft sensing, and digital-twin simulation, and the evaluator's PIML framing has been adopted as a key positioning guide for the mid-semester prototype. Here, PIML is used in its established meaning of Physics-Informed Machine Learning while acknowledging that the evaluator's feedback sharpened the terminology and research direction. In response, the current implementation has been organized as a working research prototype with a data pipeline, XGBoost tabular model, PyTorch LSTM branch, ensemble prediction, volatile-solids-based physics feasibility check, VFA/ALK soft sensor, FastAPI backend, Streamlit dashboard, browser-based control room, industrial simulation page, SQLite logging, Docker/AWS deployment preparation, and ROS2/Gazebo extension planning. The current evaluation on the synthetic anaerobic digestion dataset gives a tabular model R2 of 0.7556, RMSE of 6.7933, and MAE of 5.5517, with zero physics-bound violations in the physics-guided ensemble. Controlled 48-hour scenario experiments demonstrate nominal operation, organic overload warning, pH shock, low-temperature disturbance, reduced HRT washout risk, high-solids feedstock, and corrective recovery operation. The remaining work will focus on strengthening the digital twin with higher-quality data, uncertainty estimation, additional benchmark models, richer explainability, and final dissertation-grade validation.</w:t>
      </w:r>
    </w:p>
    <w:p>
      <w:r>
        <w:br/>
        <w:t>Signature of Student: ___________________________        Signature of Supervisor: ___________________________</w:t>
      </w:r>
    </w:p>
    <w:p>
      <w:r>
        <w:t>Name: Akash Shivadas Chatake                                      Name: Prof. Dipti Mane</w:t>
      </w:r>
    </w:p>
    <w:p>
      <w:r>
        <w:br w:type="page"/>
      </w:r>
    </w:p>
    <w:p>
      <w:pPr>
        <w:pStyle w:val="Heading1"/>
      </w:pPr>
      <w:r>
        <w:rPr>
          <w:color w:val="10100F"/>
        </w:rPr>
        <w:t>Contents</w:t>
      </w:r>
    </w:p>
    <w:p>
      <w:r>
        <w:t>1. Background and Accepted Abstract Status</w:t>
      </w:r>
    </w:p>
    <w:p>
      <w:r>
        <w:t>2. Evaluator Feedback and Response Plan</w:t>
      </w:r>
    </w:p>
    <w:p>
      <w:r>
        <w:t>3. Work Completed up to Mid-Semester</w:t>
      </w:r>
    </w:p>
    <w:p>
      <w:r>
        <w:t>4. Current System Architecture</w:t>
      </w:r>
    </w:p>
    <w:p>
      <w:r>
        <w:t>5. Model Evaluation and Research Evidence</w:t>
      </w:r>
    </w:p>
    <w:p>
      <w:r>
        <w:t>6. Digital Twin and Local Demonstration</w:t>
      </w:r>
    </w:p>
    <w:p>
      <w:r>
        <w:t>7. Limitations, Risk Controls, and Ethics</w:t>
      </w:r>
    </w:p>
    <w:p>
      <w:r>
        <w:t>8. Remaining Work Plan</w:t>
      </w:r>
    </w:p>
    <w:p>
      <w:r>
        <w:t>9. Conclusion</w:t>
      </w:r>
    </w:p>
    <w:p>
      <w:r>
        <w:t>Appendix A. Evidence and Demo Links</w:t>
      </w:r>
    </w:p>
    <w:p>
      <w:r>
        <w:br w:type="page"/>
      </w:r>
    </w:p>
    <w:p>
      <w:pPr>
        <w:pStyle w:val="Heading1"/>
      </w:pPr>
      <w:r>
        <w:rPr>
          <w:color w:val="10100F"/>
        </w:rPr>
        <w:t>1. Background and Accepted Abstract Status</w:t>
      </w:r>
    </w:p>
    <w:p>
      <w:pPr>
        <w:spacing w:after="160" w:line="269" w:lineRule="auto"/>
      </w:pPr>
      <w:r>
        <w:t>Anaerobic digestion converts organic waste into methane-rich biogas, but methane yield depends on interacting biological, chemical, and operational variables such as temperature, pH, organic loading rate, hydraulic retention time, total solids, volatile solids, carbon-to-nitrogen ratio, moisture, and prior reactor state. GFIS is designed to support this process through predictive modeling, process stability estimation, and digital-twin simulation rather than by returning only a single black-box prediction.</w:t>
      </w:r>
    </w:p>
    <w:p>
      <w:pPr>
        <w:spacing w:after="160" w:line="269" w:lineRule="auto"/>
      </w:pPr>
      <w:r>
        <w:t>The abstract/outline presentation was accepted in the BITS abstract evaluation stage. The evaluator marked the work as Excellent and appreciated the shift from black-box machine learning to physics-informed machine learning. The evaluator also emphasized the PIML framing, which this report uses as a project-positioning term for Physics-Informed Machine Learning rather than as a claim of inventing the acronym. The same feedback suggested using high-quality industrial data, responding to current discussion on digital twins, and strengthening the project as a simulation dashboard rather than a simple web prediction tool. This mid-semester report is therefore positioned as the technical response to that feedback.</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10100F"/>
          </w:tcPr>
          <w:p>
            <w:pPr>
              <w:spacing w:after="0"/>
            </w:pPr>
            <w:r>
              <w:rPr>
                <w:b/>
                <w:color w:val="FFFAF3"/>
                <w:sz w:val="18"/>
              </w:rPr>
            </w:r>
            <w:r>
              <w:rPr>
                <w:b/>
                <w:color w:val="FFFAF3"/>
                <w:sz w:val="18"/>
              </w:rPr>
              <w:t>Evaluator point</w:t>
            </w:r>
          </w:p>
        </w:tc>
        <w:tc>
          <w:tcPr>
            <w:tcW w:type="dxa" w:w="3118"/>
            <w:vAlign w:val="center"/>
            <w:shd w:fill="10100F"/>
          </w:tcPr>
          <w:p>
            <w:pPr>
              <w:spacing w:after="0"/>
            </w:pPr>
            <w:r>
              <w:rPr>
                <w:b/>
                <w:color w:val="FFFAF3"/>
                <w:sz w:val="18"/>
              </w:rPr>
            </w:r>
            <w:r>
              <w:rPr>
                <w:b/>
                <w:color w:val="FFFAF3"/>
                <w:sz w:val="18"/>
              </w:rPr>
              <w:t>GFIS response</w:t>
            </w:r>
          </w:p>
        </w:tc>
        <w:tc>
          <w:tcPr>
            <w:tcW w:type="dxa" w:w="3118"/>
            <w:vAlign w:val="center"/>
            <w:shd w:fill="10100F"/>
          </w:tcPr>
          <w:p>
            <w:pPr>
              <w:spacing w:after="0"/>
            </w:pPr>
            <w:r>
              <w:rPr>
                <w:b/>
                <w:color w:val="FFFAF3"/>
                <w:sz w:val="18"/>
              </w:rPr>
            </w:r>
            <w:r>
              <w:rPr>
                <w:b/>
                <w:color w:val="FFFAF3"/>
                <w:sz w:val="18"/>
              </w:rPr>
              <w:t>Mid-sem evidence</w:t>
            </w:r>
          </w:p>
        </w:tc>
      </w:tr>
      <w:tr>
        <w:tc>
          <w:tcPr>
            <w:tcW w:type="dxa" w:w="3118"/>
            <w:vAlign w:val="center"/>
          </w:tcPr>
          <w:p>
            <w:pPr>
              <w:spacing w:after="0"/>
            </w:pPr>
            <w:r>
              <w:rPr>
                <w:sz w:val="18"/>
              </w:rPr>
            </w:r>
            <w:r>
              <w:rPr>
                <w:b w:val="0"/>
                <w:sz w:val="18"/>
              </w:rPr>
              <w:t>Move beyond black-box ML</w:t>
            </w:r>
          </w:p>
        </w:tc>
        <w:tc>
          <w:tcPr>
            <w:tcW w:type="dxa" w:w="3118"/>
            <w:vAlign w:val="center"/>
          </w:tcPr>
          <w:p>
            <w:pPr>
              <w:spacing w:after="0"/>
            </w:pPr>
            <w:r>
              <w:rPr>
                <w:sz w:val="18"/>
              </w:rPr>
            </w:r>
            <w:r>
              <w:rPr>
                <w:b w:val="0"/>
                <w:sz w:val="18"/>
              </w:rPr>
              <w:t>Use physics-guided feasibility checking and explicit violation reporting.</w:t>
            </w:r>
          </w:p>
        </w:tc>
        <w:tc>
          <w:tcPr>
            <w:tcW w:type="dxa" w:w="3118"/>
            <w:vAlign w:val="center"/>
          </w:tcPr>
          <w:p>
            <w:pPr>
              <w:spacing w:after="0"/>
            </w:pPr>
            <w:r>
              <w:rPr>
                <w:sz w:val="18"/>
              </w:rPr>
            </w:r>
            <w:r>
              <w:rPr>
                <w:b w:val="0"/>
                <w:sz w:val="18"/>
              </w:rPr>
              <w:t>Physics violation count is zero in current evaluation.</w:t>
            </w:r>
          </w:p>
        </w:tc>
      </w:tr>
      <w:tr>
        <w:tc>
          <w:tcPr>
            <w:tcW w:type="dxa" w:w="3118"/>
            <w:vAlign w:val="center"/>
          </w:tcPr>
          <w:p>
            <w:pPr>
              <w:spacing w:after="0"/>
            </w:pPr>
            <w:r>
              <w:rPr>
                <w:sz w:val="18"/>
              </w:rPr>
            </w:r>
            <w:r>
              <w:rPr>
                <w:b w:val="0"/>
                <w:sz w:val="18"/>
              </w:rPr>
              <w:t>PIML terminology and research framing</w:t>
            </w:r>
          </w:p>
        </w:tc>
        <w:tc>
          <w:tcPr>
            <w:tcW w:type="dxa" w:w="3118"/>
            <w:vAlign w:val="center"/>
          </w:tcPr>
          <w:p>
            <w:pPr>
              <w:spacing w:after="0"/>
            </w:pPr>
            <w:r>
              <w:rPr>
                <w:sz w:val="18"/>
              </w:rPr>
            </w:r>
            <w:r>
              <w:rPr>
                <w:b w:val="0"/>
                <w:sz w:val="18"/>
              </w:rPr>
              <w:t>Adopt the evaluator's PIML framing as the mid-sem positioning for Physics-Informed Machine Learning.</w:t>
            </w:r>
          </w:p>
        </w:tc>
        <w:tc>
          <w:tcPr>
            <w:tcW w:type="dxa" w:w="3118"/>
            <w:vAlign w:val="center"/>
          </w:tcPr>
          <w:p>
            <w:pPr>
              <w:spacing w:after="0"/>
            </w:pPr>
            <w:r>
              <w:rPr>
                <w:sz w:val="18"/>
              </w:rPr>
            </w:r>
            <w:r>
              <w:rPr>
                <w:b w:val="0"/>
                <w:sz w:val="18"/>
              </w:rPr>
              <w:t>Report, portal, and simulator now present GFIS as a PIML-guided digital-twin prototype.</w:t>
            </w:r>
          </w:p>
        </w:tc>
      </w:tr>
      <w:tr>
        <w:tc>
          <w:tcPr>
            <w:tcW w:type="dxa" w:w="3118"/>
            <w:vAlign w:val="center"/>
          </w:tcPr>
          <w:p>
            <w:pPr>
              <w:spacing w:after="0"/>
            </w:pPr>
            <w:r>
              <w:rPr>
                <w:sz w:val="18"/>
              </w:rPr>
            </w:r>
            <w:r>
              <w:rPr>
                <w:b w:val="0"/>
                <w:sz w:val="18"/>
              </w:rPr>
              <w:t>Predict hard-to-measure chemical state</w:t>
            </w:r>
          </w:p>
        </w:tc>
        <w:tc>
          <w:tcPr>
            <w:tcW w:type="dxa" w:w="3118"/>
            <w:vAlign w:val="center"/>
          </w:tcPr>
          <w:p>
            <w:pPr>
              <w:spacing w:after="0"/>
            </w:pPr>
            <w:r>
              <w:rPr>
                <w:sz w:val="18"/>
              </w:rPr>
            </w:r>
            <w:r>
              <w:rPr>
                <w:b w:val="0"/>
                <w:sz w:val="18"/>
              </w:rPr>
              <w:t>Implement VFA/ALK soft sensor and stability label output.</w:t>
            </w:r>
          </w:p>
        </w:tc>
        <w:tc>
          <w:tcPr>
            <w:tcW w:type="dxa" w:w="3118"/>
            <w:vAlign w:val="center"/>
          </w:tcPr>
          <w:p>
            <w:pPr>
              <w:spacing w:after="0"/>
            </w:pPr>
            <w:r>
              <w:rPr>
                <w:sz w:val="18"/>
              </w:rPr>
            </w:r>
            <w:r>
              <w:rPr>
                <w:b w:val="0"/>
                <w:sz w:val="18"/>
              </w:rPr>
              <w:t>Stable/Warning/Critical outputs are generated by API and dashboards.</w:t>
            </w:r>
          </w:p>
        </w:tc>
      </w:tr>
      <w:tr>
        <w:tc>
          <w:tcPr>
            <w:tcW w:type="dxa" w:w="3118"/>
            <w:vAlign w:val="center"/>
          </w:tcPr>
          <w:p>
            <w:pPr>
              <w:spacing w:after="0"/>
            </w:pPr>
            <w:r>
              <w:rPr>
                <w:sz w:val="18"/>
              </w:rPr>
            </w:r>
            <w:r>
              <w:rPr>
                <w:b w:val="0"/>
                <w:sz w:val="18"/>
              </w:rPr>
              <w:t>Use real/high-quality industrial data</w:t>
            </w:r>
          </w:p>
        </w:tc>
        <w:tc>
          <w:tcPr>
            <w:tcW w:type="dxa" w:w="3118"/>
            <w:vAlign w:val="center"/>
          </w:tcPr>
          <w:p>
            <w:pPr>
              <w:spacing w:after="0"/>
            </w:pPr>
            <w:r>
              <w:rPr>
                <w:sz w:val="18"/>
              </w:rPr>
            </w:r>
            <w:r>
              <w:rPr>
                <w:b w:val="0"/>
                <w:sz w:val="18"/>
              </w:rPr>
              <w:t>Keep current synthetic data as controlled prototype and plan real data ingestion pipeline.</w:t>
            </w:r>
          </w:p>
        </w:tc>
        <w:tc>
          <w:tcPr>
            <w:tcW w:type="dxa" w:w="3118"/>
            <w:vAlign w:val="center"/>
          </w:tcPr>
          <w:p>
            <w:pPr>
              <w:spacing w:after="0"/>
            </w:pPr>
            <w:r>
              <w:rPr>
                <w:sz w:val="18"/>
              </w:rPr>
            </w:r>
            <w:r>
              <w:rPr>
                <w:b w:val="0"/>
                <w:sz w:val="18"/>
              </w:rPr>
              <w:t>Remaining work includes public/lab/IoT/SCADA data calibration.</w:t>
            </w:r>
          </w:p>
        </w:tc>
      </w:tr>
      <w:tr>
        <w:tc>
          <w:tcPr>
            <w:tcW w:type="dxa" w:w="3118"/>
            <w:vAlign w:val="center"/>
          </w:tcPr>
          <w:p>
            <w:pPr>
              <w:spacing w:after="0"/>
            </w:pPr>
            <w:r>
              <w:rPr>
                <w:sz w:val="18"/>
              </w:rPr>
            </w:r>
            <w:r>
              <w:rPr>
                <w:b w:val="0"/>
                <w:sz w:val="18"/>
              </w:rPr>
              <w:t>Build digital twin, not only web prediction</w:t>
            </w:r>
          </w:p>
        </w:tc>
        <w:tc>
          <w:tcPr>
            <w:tcW w:type="dxa" w:w="3118"/>
            <w:vAlign w:val="center"/>
          </w:tcPr>
          <w:p>
            <w:pPr>
              <w:spacing w:after="0"/>
            </w:pPr>
            <w:r>
              <w:rPr>
                <w:sz w:val="18"/>
              </w:rPr>
            </w:r>
            <w:r>
              <w:rPr>
                <w:b w:val="0"/>
                <w:sz w:val="18"/>
              </w:rPr>
              <w:t>Expose plant-run traces, what-if simulation, optimization, and industrial simulator.</w:t>
            </w:r>
          </w:p>
        </w:tc>
        <w:tc>
          <w:tcPr>
            <w:tcW w:type="dxa" w:w="3118"/>
            <w:vAlign w:val="center"/>
          </w:tcPr>
          <w:p>
            <w:pPr>
              <w:spacing w:after="0"/>
            </w:pPr>
            <w:r>
              <w:rPr>
                <w:sz w:val="18"/>
              </w:rPr>
            </w:r>
            <w:r>
              <w:rPr>
                <w:b w:val="0"/>
                <w:sz w:val="18"/>
              </w:rPr>
              <w:t>48-hour scenario experiments and local demo surfaces are live.</w:t>
            </w:r>
          </w:p>
        </w:tc>
      </w:tr>
    </w:tbl>
    <w:p>
      <w:pPr>
        <w:pStyle w:val="Heading1"/>
      </w:pPr>
      <w:r>
        <w:rPr>
          <w:color w:val="10100F"/>
        </w:rPr>
        <w:t>2. Work Completed up to Mid-Semester</w:t>
      </w:r>
    </w:p>
    <w:p>
      <w:pPr>
        <w:pStyle w:val="ListBullet"/>
        <w:spacing w:after="80"/>
      </w:pPr>
      <w:r>
        <w:t>Created a structured GFIS codebase with `gfis/`, `backend/`, `dashboard/`, `frontend/`, `data/`, `models/`, `reports/`, `deployment/`, and `tests/` folders.</w:t>
      </w:r>
    </w:p>
    <w:p>
      <w:pPr>
        <w:pStyle w:val="ListBullet"/>
        <w:spacing w:after="80"/>
      </w:pPr>
      <w:r>
        <w:t>Generated synthetic anaerobic digestion dataset with process variables, methane yield, VFA/ALK ratio, and stability labels.</w:t>
      </w:r>
    </w:p>
    <w:p>
      <w:pPr>
        <w:pStyle w:val="ListBullet"/>
        <w:spacing w:after="80"/>
      </w:pPr>
      <w:r>
        <w:t>Implemented preprocessing with missing-value handling, scaling, lag features, rolling means, process ratios, and interaction variables.</w:t>
      </w:r>
    </w:p>
    <w:p>
      <w:pPr>
        <w:pStyle w:val="ListBullet"/>
        <w:spacing w:after="80"/>
      </w:pPr>
      <w:r>
        <w:t>Implemented XGBoost tabular methane-yield prediction with fallback model support.</w:t>
      </w:r>
    </w:p>
    <w:p>
      <w:pPr>
        <w:pStyle w:val="ListBullet"/>
        <w:spacing w:after="80"/>
      </w:pPr>
      <w:r>
        <w:t>Implemented PyTorch LSTM training pipeline for future time-series plant data.</w:t>
      </w:r>
    </w:p>
    <w:p>
      <w:pPr>
        <w:pStyle w:val="ListBullet"/>
        <w:spacing w:after="80"/>
      </w:pPr>
      <w:r>
        <w:t>Implemented ensemble prediction and physics-guided feasible-bound checking.</w:t>
      </w:r>
    </w:p>
    <w:p>
      <w:pPr>
        <w:pStyle w:val="ListBullet"/>
        <w:spacing w:after="80"/>
      </w:pPr>
      <w:r>
        <w:t>Implemented VFA/ALK soft sensor and stability classification.</w:t>
      </w:r>
    </w:p>
    <w:p>
      <w:pPr>
        <w:pStyle w:val="ListBullet"/>
        <w:spacing w:after="80"/>
      </w:pPr>
      <w:r>
        <w:t>Exposed FastAPI endpoints for prediction, simulation, plant run, soft sensor, optimization, evaluation, stress tests, and training.</w:t>
      </w:r>
    </w:p>
    <w:p>
      <w:pPr>
        <w:pStyle w:val="ListBullet"/>
        <w:spacing w:after="80"/>
      </w:pPr>
      <w:r>
        <w:t>Built Streamlit dashboard, HTML model control room, and industrial simulation page.</w:t>
      </w:r>
    </w:p>
    <w:p>
      <w:pPr>
        <w:pStyle w:val="ListBullet"/>
        <w:spacing w:after="80"/>
      </w:pPr>
      <w:r>
        <w:t>Generated evaluation report, demo evidence, and controlled scenario experiments.</w:t>
      </w:r>
    </w:p>
    <w:p>
      <w:pPr>
        <w:pStyle w:val="ListBullet"/>
        <w:spacing w:after="80"/>
      </w:pPr>
      <w:r>
        <w:t>Prepared Docker, AWS App Runner, Ubuntu VM, and ROS2/Gazebo extension notes.</w:t>
      </w:r>
    </w:p>
    <w:p>
      <w:r>
        <w:br w:type="page"/>
      </w:r>
    </w:p>
    <w:p>
      <w:pPr>
        <w:pStyle w:val="Heading1"/>
      </w:pPr>
      <w:r>
        <w:rPr>
          <w:color w:val="10100F"/>
        </w:rPr>
        <w:t>3. Current System Architecture</w:t>
      </w:r>
    </w:p>
    <w:p>
      <w:pPr>
        <w:spacing w:after="160" w:line="269" w:lineRule="auto"/>
      </w:pPr>
      <w:r>
        <w:t>GFIS is organized as a layered digital-twin system. The current architecture deliberately separates data, models, physics rules, soft sensing, simulation, interfaces, and deployment so that future plant data can be attached without rewriting the full system.</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10100F"/>
          </w:tcPr>
          <w:p>
            <w:pPr>
              <w:spacing w:after="0"/>
            </w:pPr>
            <w:r>
              <w:rPr>
                <w:b/>
                <w:color w:val="FFFAF3"/>
                <w:sz w:val="18"/>
              </w:rPr>
            </w:r>
            <w:r>
              <w:rPr>
                <w:b/>
                <w:color w:val="FFFAF3"/>
                <w:sz w:val="18"/>
              </w:rPr>
              <w:t>Layer</w:t>
            </w:r>
          </w:p>
        </w:tc>
        <w:tc>
          <w:tcPr>
            <w:tcW w:type="dxa" w:w="3118"/>
            <w:vAlign w:val="center"/>
            <w:shd w:fill="10100F"/>
          </w:tcPr>
          <w:p>
            <w:pPr>
              <w:spacing w:after="0"/>
            </w:pPr>
            <w:r>
              <w:rPr>
                <w:b/>
                <w:color w:val="FFFAF3"/>
                <w:sz w:val="18"/>
              </w:rPr>
            </w:r>
            <w:r>
              <w:rPr>
                <w:b/>
                <w:color w:val="FFFAF3"/>
                <w:sz w:val="18"/>
              </w:rPr>
              <w:t>Implemented function</w:t>
            </w:r>
          </w:p>
        </w:tc>
        <w:tc>
          <w:tcPr>
            <w:tcW w:type="dxa" w:w="3118"/>
            <w:vAlign w:val="center"/>
            <w:shd w:fill="10100F"/>
          </w:tcPr>
          <w:p>
            <w:pPr>
              <w:spacing w:after="0"/>
            </w:pPr>
            <w:r>
              <w:rPr>
                <w:b/>
                <w:color w:val="FFFAF3"/>
                <w:sz w:val="18"/>
              </w:rPr>
            </w:r>
            <w:r>
              <w:rPr>
                <w:b/>
                <w:color w:val="FFFAF3"/>
                <w:sz w:val="18"/>
              </w:rPr>
              <w:t>Status</w:t>
            </w:r>
          </w:p>
        </w:tc>
      </w:tr>
      <w:tr>
        <w:tc>
          <w:tcPr>
            <w:tcW w:type="dxa" w:w="3118"/>
            <w:vAlign w:val="center"/>
          </w:tcPr>
          <w:p>
            <w:pPr>
              <w:spacing w:after="0"/>
            </w:pPr>
            <w:r>
              <w:rPr>
                <w:sz w:val="18"/>
              </w:rPr>
            </w:r>
            <w:r>
              <w:rPr>
                <w:b w:val="0"/>
                <w:sz w:val="18"/>
              </w:rPr>
              <w:t>Data layer</w:t>
            </w:r>
          </w:p>
        </w:tc>
        <w:tc>
          <w:tcPr>
            <w:tcW w:type="dxa" w:w="3118"/>
            <w:vAlign w:val="center"/>
          </w:tcPr>
          <w:p>
            <w:pPr>
              <w:spacing w:after="0"/>
            </w:pPr>
            <w:r>
              <w:rPr>
                <w:sz w:val="18"/>
              </w:rPr>
            </w:r>
            <w:r>
              <w:rPr>
                <w:b w:val="0"/>
                <w:sz w:val="18"/>
              </w:rPr>
              <w:t>Synthetic AD data, raw/processed CSV, SQLite logging</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Preprocessing layer</w:t>
            </w:r>
          </w:p>
        </w:tc>
        <w:tc>
          <w:tcPr>
            <w:tcW w:type="dxa" w:w="3118"/>
            <w:vAlign w:val="center"/>
          </w:tcPr>
          <w:p>
            <w:pPr>
              <w:spacing w:after="0"/>
            </w:pPr>
            <w:r>
              <w:rPr>
                <w:sz w:val="18"/>
              </w:rPr>
            </w:r>
            <w:r>
              <w:rPr>
                <w:b w:val="0"/>
                <w:sz w:val="18"/>
              </w:rPr>
              <w:t>Scaling, lag features, rolling means, ratios, interactions</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AI layer</w:t>
            </w:r>
          </w:p>
        </w:tc>
        <w:tc>
          <w:tcPr>
            <w:tcW w:type="dxa" w:w="3118"/>
            <w:vAlign w:val="center"/>
          </w:tcPr>
          <w:p>
            <w:pPr>
              <w:spacing w:after="0"/>
            </w:pPr>
            <w:r>
              <w:rPr>
                <w:sz w:val="18"/>
              </w:rPr>
            </w:r>
            <w:r>
              <w:rPr>
                <w:b w:val="0"/>
                <w:sz w:val="18"/>
              </w:rPr>
              <w:t>XGBoost tabular model, PyTorch LSTM branch, ensemble</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Physics layer</w:t>
            </w:r>
          </w:p>
        </w:tc>
        <w:tc>
          <w:tcPr>
            <w:tcW w:type="dxa" w:w="3118"/>
            <w:vAlign w:val="center"/>
          </w:tcPr>
          <w:p>
            <w:pPr>
              <w:spacing w:after="0"/>
            </w:pPr>
            <w:r>
              <w:rPr>
                <w:sz w:val="18"/>
              </w:rPr>
            </w:r>
            <w:r>
              <w:rPr>
                <w:b w:val="0"/>
                <w:sz w:val="18"/>
              </w:rPr>
              <w:t>VS-based methane upper-bound and violation reporting</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Soft sensor layer</w:t>
            </w:r>
          </w:p>
        </w:tc>
        <w:tc>
          <w:tcPr>
            <w:tcW w:type="dxa" w:w="3118"/>
            <w:vAlign w:val="center"/>
          </w:tcPr>
          <w:p>
            <w:pPr>
              <w:spacing w:after="0"/>
            </w:pPr>
            <w:r>
              <w:rPr>
                <w:sz w:val="18"/>
              </w:rPr>
            </w:r>
            <w:r>
              <w:rPr>
                <w:b w:val="0"/>
                <w:sz w:val="18"/>
              </w:rPr>
              <w:t>VFA/ALK estimation and stability classification</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Digital twin layer</w:t>
            </w:r>
          </w:p>
        </w:tc>
        <w:tc>
          <w:tcPr>
            <w:tcW w:type="dxa" w:w="3118"/>
            <w:vAlign w:val="center"/>
          </w:tcPr>
          <w:p>
            <w:pPr>
              <w:spacing w:after="0"/>
            </w:pPr>
            <w:r>
              <w:rPr>
                <w:sz w:val="18"/>
              </w:rPr>
            </w:r>
            <w:r>
              <w:rPr>
                <w:b w:val="0"/>
                <w:sz w:val="18"/>
              </w:rPr>
              <w:t>What-if simulation, 48-hour plant run, optimization</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Interface layer</w:t>
            </w:r>
          </w:p>
        </w:tc>
        <w:tc>
          <w:tcPr>
            <w:tcW w:type="dxa" w:w="3118"/>
            <w:vAlign w:val="center"/>
          </w:tcPr>
          <w:p>
            <w:pPr>
              <w:spacing w:after="0"/>
            </w:pPr>
            <w:r>
              <w:rPr>
                <w:sz w:val="18"/>
              </w:rPr>
            </w:r>
            <w:r>
              <w:rPr>
                <w:b w:val="0"/>
                <w:sz w:val="18"/>
              </w:rPr>
              <w:t>FastAPI, Streamlit, browser control room, industrial simulator</w:t>
            </w:r>
          </w:p>
        </w:tc>
        <w:tc>
          <w:tcPr>
            <w:tcW w:type="dxa" w:w="3118"/>
            <w:vAlign w:val="center"/>
          </w:tcPr>
          <w:p>
            <w:pPr>
              <w:spacing w:after="0"/>
            </w:pPr>
            <w:r>
              <w:rPr>
                <w:sz w:val="18"/>
              </w:rPr>
            </w:r>
            <w:r>
              <w:rPr>
                <w:b w:val="0"/>
                <w:sz w:val="18"/>
              </w:rPr>
              <w:t>Working</w:t>
            </w:r>
          </w:p>
        </w:tc>
      </w:tr>
      <w:tr>
        <w:tc>
          <w:tcPr>
            <w:tcW w:type="dxa" w:w="3118"/>
            <w:vAlign w:val="center"/>
          </w:tcPr>
          <w:p>
            <w:pPr>
              <w:spacing w:after="0"/>
            </w:pPr>
            <w:r>
              <w:rPr>
                <w:sz w:val="18"/>
              </w:rPr>
            </w:r>
            <w:r>
              <w:rPr>
                <w:b w:val="0"/>
                <w:sz w:val="18"/>
              </w:rPr>
              <w:t>Deployment layer</w:t>
            </w:r>
          </w:p>
        </w:tc>
        <w:tc>
          <w:tcPr>
            <w:tcW w:type="dxa" w:w="3118"/>
            <w:vAlign w:val="center"/>
          </w:tcPr>
          <w:p>
            <w:pPr>
              <w:spacing w:after="0"/>
            </w:pPr>
            <w:r>
              <w:rPr>
                <w:sz w:val="18"/>
              </w:rPr>
            </w:r>
            <w:r>
              <w:rPr>
                <w:b w:val="0"/>
                <w:sz w:val="18"/>
              </w:rPr>
              <w:t>Docker, AWS App Runner notes, Ubuntu/ROS2/Gazebo plan</w:t>
            </w:r>
          </w:p>
        </w:tc>
        <w:tc>
          <w:tcPr>
            <w:tcW w:type="dxa" w:w="3118"/>
            <w:vAlign w:val="center"/>
          </w:tcPr>
          <w:p>
            <w:pPr>
              <w:spacing w:after="0"/>
            </w:pPr>
            <w:r>
              <w:rPr>
                <w:sz w:val="18"/>
              </w:rPr>
            </w:r>
            <w:r>
              <w:rPr>
                <w:b w:val="0"/>
                <w:sz w:val="18"/>
              </w:rPr>
              <w:t>In progress</w:t>
            </w:r>
          </w:p>
        </w:tc>
      </w:tr>
    </w:tbl>
    <w:p>
      <w:r>
        <w:br w:type="page"/>
      </w:r>
    </w:p>
    <w:p>
      <w:pPr>
        <w:pStyle w:val="Heading1"/>
      </w:pPr>
      <w:r>
        <w:rPr>
          <w:color w:val="10100F"/>
        </w:rPr>
        <w:t>4. Model Evaluation and Research Evidence</w:t>
      </w:r>
    </w:p>
    <w:p>
      <w:pPr>
        <w:spacing w:after="160" w:line="269" w:lineRule="auto"/>
      </w:pPr>
      <w:r>
        <w:t>The current model evaluation uses a synthetic anaerobic digestion dataset with 2400 samples and 24 training epochs for the LSTM branch. The tabular model currently performs strongest, while the LSTM branch is retained for future time-series plant data where temporal retention effects are expected to become more important.</w:t>
      </w:r>
    </w:p>
    <w:tbl>
      <w:tblPr>
        <w:tblStyle w:val="TableGrid"/>
        <w:tblW w:type="auto" w:w="0"/>
        <w:tblLook w:firstColumn="1" w:firstRow="1" w:lastColumn="0" w:lastRow="0" w:noHBand="0" w:noVBand="1" w:val="04A0"/>
      </w:tblPr>
      <w:tblGrid>
        <w:gridCol w:w="2338"/>
        <w:gridCol w:w="2338"/>
        <w:gridCol w:w="2338"/>
        <w:gridCol w:w="2338"/>
      </w:tblGrid>
      <w:tr>
        <w:tc>
          <w:tcPr>
            <w:tcW w:type="dxa" w:w="2338"/>
            <w:vAlign w:val="center"/>
            <w:shd w:fill="10100F"/>
          </w:tcPr>
          <w:p>
            <w:pPr>
              <w:spacing w:after="0"/>
            </w:pPr>
            <w:r>
              <w:rPr>
                <w:b/>
                <w:color w:val="FFFAF3"/>
                <w:sz w:val="18"/>
              </w:rPr>
            </w:r>
            <w:r>
              <w:rPr>
                <w:b/>
                <w:color w:val="FFFAF3"/>
                <w:sz w:val="18"/>
              </w:rPr>
              <w:t>Model</w:t>
            </w:r>
          </w:p>
        </w:tc>
        <w:tc>
          <w:tcPr>
            <w:tcW w:type="dxa" w:w="2338"/>
            <w:vAlign w:val="center"/>
            <w:shd w:fill="10100F"/>
          </w:tcPr>
          <w:p>
            <w:pPr>
              <w:spacing w:after="0"/>
            </w:pPr>
            <w:r>
              <w:rPr>
                <w:b/>
                <w:color w:val="FFFAF3"/>
                <w:sz w:val="18"/>
              </w:rPr>
            </w:r>
            <w:r>
              <w:rPr>
                <w:b/>
                <w:color w:val="FFFAF3"/>
                <w:sz w:val="18"/>
              </w:rPr>
              <w:t>R2</w:t>
            </w:r>
          </w:p>
        </w:tc>
        <w:tc>
          <w:tcPr>
            <w:tcW w:type="dxa" w:w="2338"/>
            <w:vAlign w:val="center"/>
            <w:shd w:fill="10100F"/>
          </w:tcPr>
          <w:p>
            <w:pPr>
              <w:spacing w:after="0"/>
            </w:pPr>
            <w:r>
              <w:rPr>
                <w:b/>
                <w:color w:val="FFFAF3"/>
                <w:sz w:val="18"/>
              </w:rPr>
            </w:r>
            <w:r>
              <w:rPr>
                <w:b/>
                <w:color w:val="FFFAF3"/>
                <w:sz w:val="18"/>
              </w:rPr>
              <w:t>RMSE</w:t>
            </w:r>
          </w:p>
        </w:tc>
        <w:tc>
          <w:tcPr>
            <w:tcW w:type="dxa" w:w="2338"/>
            <w:vAlign w:val="center"/>
            <w:shd w:fill="10100F"/>
          </w:tcPr>
          <w:p>
            <w:pPr>
              <w:spacing w:after="0"/>
            </w:pPr>
            <w:r>
              <w:rPr>
                <w:b/>
                <w:color w:val="FFFAF3"/>
                <w:sz w:val="18"/>
              </w:rPr>
            </w:r>
            <w:r>
              <w:rPr>
                <w:b/>
                <w:color w:val="FFFAF3"/>
                <w:sz w:val="18"/>
              </w:rPr>
              <w:t>MAE</w:t>
            </w:r>
          </w:p>
        </w:tc>
      </w:tr>
      <w:tr>
        <w:tc>
          <w:tcPr>
            <w:tcW w:type="dxa" w:w="2338"/>
            <w:vAlign w:val="center"/>
          </w:tcPr>
          <w:p>
            <w:pPr>
              <w:spacing w:after="0"/>
            </w:pPr>
            <w:r>
              <w:rPr>
                <w:sz w:val="18"/>
              </w:rPr>
            </w:r>
            <w:r>
              <w:rPr>
                <w:b w:val="0"/>
                <w:sz w:val="18"/>
              </w:rPr>
              <w:t>LSTM</w:t>
            </w:r>
          </w:p>
        </w:tc>
        <w:tc>
          <w:tcPr>
            <w:tcW w:type="dxa" w:w="2338"/>
            <w:vAlign w:val="center"/>
          </w:tcPr>
          <w:p>
            <w:pPr>
              <w:spacing w:after="0"/>
            </w:pPr>
            <w:r>
              <w:rPr>
                <w:sz w:val="18"/>
              </w:rPr>
            </w:r>
            <w:r>
              <w:rPr>
                <w:b w:val="0"/>
                <w:sz w:val="18"/>
              </w:rPr>
              <w:t>0.2942</w:t>
            </w:r>
          </w:p>
        </w:tc>
        <w:tc>
          <w:tcPr>
            <w:tcW w:type="dxa" w:w="2338"/>
            <w:vAlign w:val="center"/>
          </w:tcPr>
          <w:p>
            <w:pPr>
              <w:spacing w:after="0"/>
            </w:pPr>
            <w:r>
              <w:rPr>
                <w:sz w:val="18"/>
              </w:rPr>
            </w:r>
            <w:r>
              <w:rPr>
                <w:b w:val="0"/>
                <w:sz w:val="18"/>
              </w:rPr>
              <w:t>11.5712</w:t>
            </w:r>
          </w:p>
        </w:tc>
        <w:tc>
          <w:tcPr>
            <w:tcW w:type="dxa" w:w="2338"/>
            <w:vAlign w:val="center"/>
          </w:tcPr>
          <w:p>
            <w:pPr>
              <w:spacing w:after="0"/>
            </w:pPr>
            <w:r>
              <w:rPr>
                <w:sz w:val="18"/>
              </w:rPr>
            </w:r>
            <w:r>
              <w:rPr>
                <w:b w:val="0"/>
                <w:sz w:val="18"/>
              </w:rPr>
              <w:t>9.0685</w:t>
            </w:r>
          </w:p>
        </w:tc>
      </w:tr>
      <w:tr>
        <w:tc>
          <w:tcPr>
            <w:tcW w:type="dxa" w:w="2338"/>
            <w:vAlign w:val="center"/>
          </w:tcPr>
          <w:p>
            <w:pPr>
              <w:spacing w:after="0"/>
            </w:pPr>
            <w:r>
              <w:rPr>
                <w:sz w:val="18"/>
              </w:rPr>
            </w:r>
            <w:r>
              <w:rPr>
                <w:b w:val="0"/>
                <w:sz w:val="18"/>
              </w:rPr>
              <w:t>XGBRegressor</w:t>
            </w:r>
          </w:p>
        </w:tc>
        <w:tc>
          <w:tcPr>
            <w:tcW w:type="dxa" w:w="2338"/>
            <w:vAlign w:val="center"/>
          </w:tcPr>
          <w:p>
            <w:pPr>
              <w:spacing w:after="0"/>
            </w:pPr>
            <w:r>
              <w:rPr>
                <w:sz w:val="18"/>
              </w:rPr>
            </w:r>
            <w:r>
              <w:rPr>
                <w:b w:val="0"/>
                <w:sz w:val="18"/>
              </w:rPr>
              <w:t>0.7556</w:t>
            </w:r>
          </w:p>
        </w:tc>
        <w:tc>
          <w:tcPr>
            <w:tcW w:type="dxa" w:w="2338"/>
            <w:vAlign w:val="center"/>
          </w:tcPr>
          <w:p>
            <w:pPr>
              <w:spacing w:after="0"/>
            </w:pPr>
            <w:r>
              <w:rPr>
                <w:sz w:val="18"/>
              </w:rPr>
            </w:r>
            <w:r>
              <w:rPr>
                <w:b w:val="0"/>
                <w:sz w:val="18"/>
              </w:rPr>
              <w:t>6.7933</w:t>
            </w:r>
          </w:p>
        </w:tc>
        <w:tc>
          <w:tcPr>
            <w:tcW w:type="dxa" w:w="2338"/>
            <w:vAlign w:val="center"/>
          </w:tcPr>
          <w:p>
            <w:pPr>
              <w:spacing w:after="0"/>
            </w:pPr>
            <w:r>
              <w:rPr>
                <w:sz w:val="18"/>
              </w:rPr>
            </w:r>
            <w:r>
              <w:rPr>
                <w:b w:val="0"/>
                <w:sz w:val="18"/>
              </w:rPr>
              <w:t>5.5517</w:t>
            </w:r>
          </w:p>
        </w:tc>
      </w:tr>
      <w:tr>
        <w:tc>
          <w:tcPr>
            <w:tcW w:type="dxa" w:w="2338"/>
            <w:vAlign w:val="center"/>
          </w:tcPr>
          <w:p>
            <w:pPr>
              <w:spacing w:after="0"/>
            </w:pPr>
            <w:r>
              <w:rPr>
                <w:sz w:val="18"/>
              </w:rPr>
            </w:r>
            <w:r>
              <w:rPr>
                <w:b w:val="0"/>
                <w:sz w:val="18"/>
              </w:rPr>
              <w:t>Validation-weighted ensemble</w:t>
            </w:r>
          </w:p>
        </w:tc>
        <w:tc>
          <w:tcPr>
            <w:tcW w:type="dxa" w:w="2338"/>
            <w:vAlign w:val="center"/>
          </w:tcPr>
          <w:p>
            <w:pPr>
              <w:spacing w:after="0"/>
            </w:pPr>
            <w:r>
              <w:rPr>
                <w:sz w:val="18"/>
              </w:rPr>
            </w:r>
            <w:r>
              <w:rPr>
                <w:b w:val="0"/>
                <w:sz w:val="18"/>
              </w:rPr>
              <w:t>0.7554</w:t>
            </w:r>
          </w:p>
        </w:tc>
        <w:tc>
          <w:tcPr>
            <w:tcW w:type="dxa" w:w="2338"/>
            <w:vAlign w:val="center"/>
          </w:tcPr>
          <w:p>
            <w:pPr>
              <w:spacing w:after="0"/>
            </w:pPr>
            <w:r>
              <w:rPr>
                <w:sz w:val="18"/>
              </w:rPr>
            </w:r>
            <w:r>
              <w:rPr>
                <w:b w:val="0"/>
                <w:sz w:val="18"/>
              </w:rPr>
              <w:t>6.8114</w:t>
            </w:r>
          </w:p>
        </w:tc>
        <w:tc>
          <w:tcPr>
            <w:tcW w:type="dxa" w:w="2338"/>
            <w:vAlign w:val="center"/>
          </w:tcPr>
          <w:p>
            <w:pPr>
              <w:spacing w:after="0"/>
            </w:pPr>
            <w:r>
              <w:rPr>
                <w:sz w:val="18"/>
              </w:rPr>
            </w:r>
            <w:r>
              <w:rPr>
                <w:b w:val="0"/>
                <w:sz w:val="18"/>
              </w:rPr>
              <w:t>5.5699</w:t>
            </w:r>
          </w:p>
        </w:tc>
      </w:tr>
      <w:tr>
        <w:tc>
          <w:tcPr>
            <w:tcW w:type="dxa" w:w="2338"/>
            <w:vAlign w:val="center"/>
          </w:tcPr>
          <w:p>
            <w:pPr>
              <w:spacing w:after="0"/>
            </w:pPr>
            <w:r>
              <w:rPr>
                <w:sz w:val="18"/>
              </w:rPr>
            </w:r>
            <w:r>
              <w:rPr>
                <w:b w:val="0"/>
                <w:sz w:val="18"/>
              </w:rPr>
              <w:t>Physics-guided ensemble</w:t>
            </w:r>
          </w:p>
        </w:tc>
        <w:tc>
          <w:tcPr>
            <w:tcW w:type="dxa" w:w="2338"/>
            <w:vAlign w:val="center"/>
          </w:tcPr>
          <w:p>
            <w:pPr>
              <w:spacing w:after="0"/>
            </w:pPr>
            <w:r>
              <w:rPr>
                <w:sz w:val="18"/>
              </w:rPr>
            </w:r>
            <w:r>
              <w:rPr>
                <w:b w:val="0"/>
                <w:sz w:val="18"/>
              </w:rPr>
              <w:t>0.7554</w:t>
            </w:r>
          </w:p>
        </w:tc>
        <w:tc>
          <w:tcPr>
            <w:tcW w:type="dxa" w:w="2338"/>
            <w:vAlign w:val="center"/>
          </w:tcPr>
          <w:p>
            <w:pPr>
              <w:spacing w:after="0"/>
            </w:pPr>
            <w:r>
              <w:rPr>
                <w:sz w:val="18"/>
              </w:rPr>
            </w:r>
            <w:r>
              <w:rPr>
                <w:b w:val="0"/>
                <w:sz w:val="18"/>
              </w:rPr>
              <w:t>6.8114</w:t>
            </w:r>
          </w:p>
        </w:tc>
        <w:tc>
          <w:tcPr>
            <w:tcW w:type="dxa" w:w="2338"/>
            <w:vAlign w:val="center"/>
          </w:tcPr>
          <w:p>
            <w:pPr>
              <w:spacing w:after="0"/>
            </w:pPr>
            <w:r>
              <w:rPr>
                <w:sz w:val="18"/>
              </w:rPr>
            </w:r>
            <w:r>
              <w:rPr>
                <w:b w:val="0"/>
                <w:sz w:val="18"/>
              </w:rPr>
              <w:t>5.5699</w:t>
            </w:r>
          </w:p>
        </w:tc>
      </w:tr>
    </w:tbl>
    <w:p>
      <w:pPr>
        <w:spacing w:after="160" w:line="269" w:lineRule="auto"/>
      </w:pPr>
      <w:r>
        <w:t>Physics violation count during evaluation: 0. This is important because the physics-guided layer does not simply improve numerical metrics; it audits whether predictions remain feasible under the volatile-solids methane bound.</w:t>
      </w:r>
    </w:p>
    <w:p>
      <w:pPr>
        <w:jc w:val="center"/>
      </w:pPr>
      <w:r>
        <w:drawing>
          <wp:inline xmlns:a="http://schemas.openxmlformats.org/drawingml/2006/main" xmlns:pic="http://schemas.openxmlformats.org/drawingml/2006/picture">
            <wp:extent cx="5760720" cy="3040380"/>
            <wp:docPr id="1" name="Picture 1"/>
            <wp:cNvGraphicFramePr>
              <a:graphicFrameLocks noChangeAspect="1"/>
            </wp:cNvGraphicFramePr>
            <a:graphic>
              <a:graphicData uri="http://schemas.openxmlformats.org/drawingml/2006/picture">
                <pic:pic>
                  <pic:nvPicPr>
                    <pic:cNvPr id="0" name="gfis_midsem_model_comparison.png"/>
                    <pic:cNvPicPr/>
                  </pic:nvPicPr>
                  <pic:blipFill>
                    <a:blip r:embed="rId10"/>
                    <a:stretch>
                      <a:fillRect/>
                    </a:stretch>
                  </pic:blipFill>
                  <pic:spPr>
                    <a:xfrm>
                      <a:off x="0" y="0"/>
                      <a:ext cx="5760720" cy="3040380"/>
                    </a:xfrm>
                    <a:prstGeom prst="rect"/>
                  </pic:spPr>
                </pic:pic>
              </a:graphicData>
            </a:graphic>
          </wp:inline>
        </w:drawing>
      </w:r>
    </w:p>
    <w:p>
      <w:pPr>
        <w:jc w:val="center"/>
      </w:pPr>
      <w:r>
        <w:rPr>
          <w:i/>
        </w:rPr>
        <w:t>Figure 1. Current GFIS model comparison.</w:t>
      </w:r>
    </w:p>
    <w:p>
      <w:r>
        <w:br w:type="page"/>
      </w:r>
    </w:p>
    <w:p>
      <w:pPr>
        <w:pStyle w:val="Heading1"/>
      </w:pPr>
      <w:r>
        <w:rPr>
          <w:color w:val="10100F"/>
        </w:rPr>
        <w:t>5. Digital Twin Scenario Experiments</w:t>
      </w:r>
    </w:p>
    <w:p>
      <w:pPr>
        <w:spacing w:after="160" w:line="269" w:lineRule="auto"/>
      </w:pPr>
      <w:r>
        <w:t>The digital-twin experiments evaluate plant behavior over controlled 48-hour windows. These scenarios demonstrate that GFIS can support operating decision analysis rather than only return point predictions.</w:t>
      </w:r>
    </w:p>
    <w:tbl>
      <w:tblPr>
        <w:tblStyle w:val="TableGrid"/>
        <w:tblW w:type="auto" w:w="0"/>
        <w:tblLook w:firstColumn="1" w:firstRow="1" w:lastColumn="0" w:lastRow="0" w:noHBand="0" w:noVBand="1" w:val="04A0"/>
      </w:tblPr>
      <w:tblGrid>
        <w:gridCol w:w="1871"/>
        <w:gridCol w:w="1871"/>
        <w:gridCol w:w="1871"/>
        <w:gridCol w:w="1871"/>
        <w:gridCol w:w="1871"/>
      </w:tblGrid>
      <w:tr>
        <w:tc>
          <w:tcPr>
            <w:tcW w:type="dxa" w:w="1871"/>
            <w:vAlign w:val="center"/>
            <w:shd w:fill="10100F"/>
          </w:tcPr>
          <w:p>
            <w:pPr>
              <w:spacing w:after="0"/>
            </w:pPr>
            <w:r>
              <w:rPr>
                <w:b/>
                <w:color w:val="FFFAF3"/>
                <w:sz w:val="18"/>
              </w:rPr>
            </w:r>
            <w:r>
              <w:rPr>
                <w:b/>
                <w:color w:val="FFFAF3"/>
                <w:sz w:val="18"/>
              </w:rPr>
              <w:t>Scenario</w:t>
            </w:r>
          </w:p>
        </w:tc>
        <w:tc>
          <w:tcPr>
            <w:tcW w:type="dxa" w:w="1871"/>
            <w:vAlign w:val="center"/>
            <w:shd w:fill="10100F"/>
          </w:tcPr>
          <w:p>
            <w:pPr>
              <w:spacing w:after="0"/>
            </w:pPr>
            <w:r>
              <w:rPr>
                <w:b/>
                <w:color w:val="FFFAF3"/>
                <w:sz w:val="18"/>
              </w:rPr>
            </w:r>
            <w:r>
              <w:rPr>
                <w:b/>
                <w:color w:val="FFFAF3"/>
                <w:sz w:val="18"/>
              </w:rPr>
              <w:t>Mean methane</w:t>
            </w:r>
          </w:p>
        </w:tc>
        <w:tc>
          <w:tcPr>
            <w:tcW w:type="dxa" w:w="1871"/>
            <w:vAlign w:val="center"/>
            <w:shd w:fill="10100F"/>
          </w:tcPr>
          <w:p>
            <w:pPr>
              <w:spacing w:after="0"/>
            </w:pPr>
            <w:r>
              <w:rPr>
                <w:b/>
                <w:color w:val="FFFAF3"/>
                <w:sz w:val="18"/>
              </w:rPr>
            </w:r>
            <w:r>
              <w:rPr>
                <w:b/>
                <w:color w:val="FFFAF3"/>
                <w:sz w:val="18"/>
              </w:rPr>
              <w:t>Max VFA/ALK</w:t>
            </w:r>
          </w:p>
        </w:tc>
        <w:tc>
          <w:tcPr>
            <w:tcW w:type="dxa" w:w="1871"/>
            <w:vAlign w:val="center"/>
            <w:shd w:fill="10100F"/>
          </w:tcPr>
          <w:p>
            <w:pPr>
              <w:spacing w:after="0"/>
            </w:pPr>
            <w:r>
              <w:rPr>
                <w:b/>
                <w:color w:val="FFFAF3"/>
                <w:sz w:val="18"/>
              </w:rPr>
            </w:r>
            <w:r>
              <w:rPr>
                <w:b/>
                <w:color w:val="FFFAF3"/>
                <w:sz w:val="18"/>
              </w:rPr>
              <w:t>Final stability</w:t>
            </w:r>
          </w:p>
        </w:tc>
        <w:tc>
          <w:tcPr>
            <w:tcW w:type="dxa" w:w="1871"/>
            <w:vAlign w:val="center"/>
            <w:shd w:fill="10100F"/>
          </w:tcPr>
          <w:p>
            <w:pPr>
              <w:spacing w:after="0"/>
            </w:pPr>
            <w:r>
              <w:rPr>
                <w:b/>
                <w:color w:val="FFFAF3"/>
                <w:sz w:val="18"/>
              </w:rPr>
            </w:r>
            <w:r>
              <w:rPr>
                <w:b/>
                <w:color w:val="FFFAF3"/>
                <w:sz w:val="18"/>
              </w:rPr>
              <w:t>Warning/Critical hours</w:t>
            </w:r>
          </w:p>
        </w:tc>
      </w:tr>
      <w:tr>
        <w:tc>
          <w:tcPr>
            <w:tcW w:type="dxa" w:w="1871"/>
            <w:vAlign w:val="center"/>
          </w:tcPr>
          <w:p>
            <w:pPr>
              <w:spacing w:after="0"/>
            </w:pPr>
            <w:r>
              <w:rPr>
                <w:sz w:val="18"/>
              </w:rPr>
            </w:r>
            <w:r>
              <w:rPr>
                <w:b w:val="0"/>
                <w:sz w:val="18"/>
              </w:rPr>
              <w:t>Nominal mesophilic operation</w:t>
            </w:r>
          </w:p>
        </w:tc>
        <w:tc>
          <w:tcPr>
            <w:tcW w:type="dxa" w:w="1871"/>
            <w:vAlign w:val="center"/>
          </w:tcPr>
          <w:p>
            <w:pPr>
              <w:spacing w:after="0"/>
            </w:pPr>
            <w:r>
              <w:rPr>
                <w:sz w:val="18"/>
              </w:rPr>
            </w:r>
            <w:r>
              <w:rPr>
                <w:b w:val="0"/>
                <w:sz w:val="18"/>
              </w:rPr>
              <w:t>199.342</w:t>
            </w:r>
          </w:p>
        </w:tc>
        <w:tc>
          <w:tcPr>
            <w:tcW w:type="dxa" w:w="1871"/>
            <w:vAlign w:val="center"/>
          </w:tcPr>
          <w:p>
            <w:pPr>
              <w:spacing w:after="0"/>
            </w:pPr>
            <w:r>
              <w:rPr>
                <w:sz w:val="18"/>
              </w:rPr>
            </w:r>
            <w:r>
              <w:rPr>
                <w:b w:val="0"/>
                <w:sz w:val="18"/>
              </w:rPr>
              <w:t>0.197</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Organic overload</w:t>
            </w:r>
          </w:p>
        </w:tc>
        <w:tc>
          <w:tcPr>
            <w:tcW w:type="dxa" w:w="1871"/>
            <w:vAlign w:val="center"/>
          </w:tcPr>
          <w:p>
            <w:pPr>
              <w:spacing w:after="0"/>
            </w:pPr>
            <w:r>
              <w:rPr>
                <w:sz w:val="18"/>
              </w:rPr>
            </w:r>
            <w:r>
              <w:rPr>
                <w:b w:val="0"/>
                <w:sz w:val="18"/>
              </w:rPr>
              <w:t>200.932</w:t>
            </w:r>
          </w:p>
        </w:tc>
        <w:tc>
          <w:tcPr>
            <w:tcW w:type="dxa" w:w="1871"/>
            <w:vAlign w:val="center"/>
          </w:tcPr>
          <w:p>
            <w:pPr>
              <w:spacing w:after="0"/>
            </w:pPr>
            <w:r>
              <w:rPr>
                <w:sz w:val="18"/>
              </w:rPr>
            </w:r>
            <w:r>
              <w:rPr>
                <w:b w:val="0"/>
                <w:sz w:val="18"/>
              </w:rPr>
              <w:t>0.335</w:t>
            </w:r>
          </w:p>
        </w:tc>
        <w:tc>
          <w:tcPr>
            <w:tcW w:type="dxa" w:w="1871"/>
            <w:vAlign w:val="center"/>
          </w:tcPr>
          <w:p>
            <w:pPr>
              <w:spacing w:after="0"/>
            </w:pPr>
            <w:r>
              <w:rPr>
                <w:sz w:val="18"/>
              </w:rPr>
            </w:r>
            <w:r>
              <w:rPr>
                <w:b w:val="0"/>
                <w:sz w:val="18"/>
              </w:rPr>
              <w:t>Warning</w:t>
            </w:r>
          </w:p>
        </w:tc>
        <w:tc>
          <w:tcPr>
            <w:tcW w:type="dxa" w:w="1871"/>
            <w:vAlign w:val="center"/>
          </w:tcPr>
          <w:p>
            <w:pPr>
              <w:spacing w:after="0"/>
            </w:pPr>
            <w:r>
              <w:rPr>
                <w:sz w:val="18"/>
              </w:rPr>
            </w:r>
            <w:r>
              <w:rPr>
                <w:b w:val="0"/>
                <w:sz w:val="18"/>
              </w:rPr>
              <w:t>48</w:t>
            </w:r>
          </w:p>
        </w:tc>
      </w:tr>
      <w:tr>
        <w:tc>
          <w:tcPr>
            <w:tcW w:type="dxa" w:w="1871"/>
            <w:vAlign w:val="center"/>
          </w:tcPr>
          <w:p>
            <w:pPr>
              <w:spacing w:after="0"/>
            </w:pPr>
            <w:r>
              <w:rPr>
                <w:sz w:val="18"/>
              </w:rPr>
            </w:r>
            <w:r>
              <w:rPr>
                <w:b w:val="0"/>
                <w:sz w:val="18"/>
              </w:rPr>
              <w:t>pH acidification shock</w:t>
            </w:r>
          </w:p>
        </w:tc>
        <w:tc>
          <w:tcPr>
            <w:tcW w:type="dxa" w:w="1871"/>
            <w:vAlign w:val="center"/>
          </w:tcPr>
          <w:p>
            <w:pPr>
              <w:spacing w:after="0"/>
            </w:pPr>
            <w:r>
              <w:rPr>
                <w:sz w:val="18"/>
              </w:rPr>
            </w:r>
            <w:r>
              <w:rPr>
                <w:b w:val="0"/>
                <w:sz w:val="18"/>
              </w:rPr>
              <w:t>152.935</w:t>
            </w:r>
          </w:p>
        </w:tc>
        <w:tc>
          <w:tcPr>
            <w:tcW w:type="dxa" w:w="1871"/>
            <w:vAlign w:val="center"/>
          </w:tcPr>
          <w:p>
            <w:pPr>
              <w:spacing w:after="0"/>
            </w:pPr>
            <w:r>
              <w:rPr>
                <w:sz w:val="18"/>
              </w:rPr>
            </w:r>
            <w:r>
              <w:rPr>
                <w:b w:val="0"/>
                <w:sz w:val="18"/>
              </w:rPr>
              <w:t>0.284</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Low-temperature disturbance</w:t>
            </w:r>
          </w:p>
        </w:tc>
        <w:tc>
          <w:tcPr>
            <w:tcW w:type="dxa" w:w="1871"/>
            <w:vAlign w:val="center"/>
          </w:tcPr>
          <w:p>
            <w:pPr>
              <w:spacing w:after="0"/>
            </w:pPr>
            <w:r>
              <w:rPr>
                <w:sz w:val="18"/>
              </w:rPr>
            </w:r>
            <w:r>
              <w:rPr>
                <w:b w:val="0"/>
                <w:sz w:val="18"/>
              </w:rPr>
              <w:t>183.397</w:t>
            </w:r>
          </w:p>
        </w:tc>
        <w:tc>
          <w:tcPr>
            <w:tcW w:type="dxa" w:w="1871"/>
            <w:vAlign w:val="center"/>
          </w:tcPr>
          <w:p>
            <w:pPr>
              <w:spacing w:after="0"/>
            </w:pPr>
            <w:r>
              <w:rPr>
                <w:sz w:val="18"/>
              </w:rPr>
            </w:r>
            <w:r>
              <w:rPr>
                <w:b w:val="0"/>
                <w:sz w:val="18"/>
              </w:rPr>
              <w:t>0.227</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Reduced HRT washout risk</w:t>
            </w:r>
          </w:p>
        </w:tc>
        <w:tc>
          <w:tcPr>
            <w:tcW w:type="dxa" w:w="1871"/>
            <w:vAlign w:val="center"/>
          </w:tcPr>
          <w:p>
            <w:pPr>
              <w:spacing w:after="0"/>
            </w:pPr>
            <w:r>
              <w:rPr>
                <w:sz w:val="18"/>
              </w:rPr>
            </w:r>
            <w:r>
              <w:rPr>
                <w:b w:val="0"/>
                <w:sz w:val="18"/>
              </w:rPr>
              <w:t>194.579</w:t>
            </w:r>
          </w:p>
        </w:tc>
        <w:tc>
          <w:tcPr>
            <w:tcW w:type="dxa" w:w="1871"/>
            <w:vAlign w:val="center"/>
          </w:tcPr>
          <w:p>
            <w:pPr>
              <w:spacing w:after="0"/>
            </w:pPr>
            <w:r>
              <w:rPr>
                <w:sz w:val="18"/>
              </w:rPr>
            </w:r>
            <w:r>
              <w:rPr>
                <w:b w:val="0"/>
                <w:sz w:val="18"/>
              </w:rPr>
              <w:t>0.278</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High-solids feedstock</w:t>
            </w:r>
          </w:p>
        </w:tc>
        <w:tc>
          <w:tcPr>
            <w:tcW w:type="dxa" w:w="1871"/>
            <w:vAlign w:val="center"/>
          </w:tcPr>
          <w:p>
            <w:pPr>
              <w:spacing w:after="0"/>
            </w:pPr>
            <w:r>
              <w:rPr>
                <w:sz w:val="18"/>
              </w:rPr>
            </w:r>
            <w:r>
              <w:rPr>
                <w:b w:val="0"/>
                <w:sz w:val="18"/>
              </w:rPr>
              <w:t>213.273</w:t>
            </w:r>
          </w:p>
        </w:tc>
        <w:tc>
          <w:tcPr>
            <w:tcW w:type="dxa" w:w="1871"/>
            <w:vAlign w:val="center"/>
          </w:tcPr>
          <w:p>
            <w:pPr>
              <w:spacing w:after="0"/>
            </w:pPr>
            <w:r>
              <w:rPr>
                <w:sz w:val="18"/>
              </w:rPr>
            </w:r>
            <w:r>
              <w:rPr>
                <w:b w:val="0"/>
                <w:sz w:val="18"/>
              </w:rPr>
              <w:t>0.251</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r>
        <w:tc>
          <w:tcPr>
            <w:tcW w:type="dxa" w:w="1871"/>
            <w:vAlign w:val="center"/>
          </w:tcPr>
          <w:p>
            <w:pPr>
              <w:spacing w:after="0"/>
            </w:pPr>
            <w:r>
              <w:rPr>
                <w:sz w:val="18"/>
              </w:rPr>
            </w:r>
            <w:r>
              <w:rPr>
                <w:b w:val="0"/>
                <w:sz w:val="18"/>
              </w:rPr>
              <w:t>Corrective recovery operation</w:t>
            </w:r>
          </w:p>
        </w:tc>
        <w:tc>
          <w:tcPr>
            <w:tcW w:type="dxa" w:w="1871"/>
            <w:vAlign w:val="center"/>
          </w:tcPr>
          <w:p>
            <w:pPr>
              <w:spacing w:after="0"/>
            </w:pPr>
            <w:r>
              <w:rPr>
                <w:sz w:val="18"/>
              </w:rPr>
            </w:r>
            <w:r>
              <w:rPr>
                <w:b w:val="0"/>
                <w:sz w:val="18"/>
              </w:rPr>
              <w:t>196.719</w:t>
            </w:r>
          </w:p>
        </w:tc>
        <w:tc>
          <w:tcPr>
            <w:tcW w:type="dxa" w:w="1871"/>
            <w:vAlign w:val="center"/>
          </w:tcPr>
          <w:p>
            <w:pPr>
              <w:spacing w:after="0"/>
            </w:pPr>
            <w:r>
              <w:rPr>
                <w:sz w:val="18"/>
              </w:rPr>
            </w:r>
            <w:r>
              <w:rPr>
                <w:b w:val="0"/>
                <w:sz w:val="18"/>
              </w:rPr>
              <w:t>0.152</w:t>
            </w:r>
          </w:p>
        </w:tc>
        <w:tc>
          <w:tcPr>
            <w:tcW w:type="dxa" w:w="1871"/>
            <w:vAlign w:val="center"/>
          </w:tcPr>
          <w:p>
            <w:pPr>
              <w:spacing w:after="0"/>
            </w:pPr>
            <w:r>
              <w:rPr>
                <w:sz w:val="18"/>
              </w:rPr>
            </w:r>
            <w:r>
              <w:rPr>
                <w:b w:val="0"/>
                <w:sz w:val="18"/>
              </w:rPr>
              <w:t>Stable</w:t>
            </w:r>
          </w:p>
        </w:tc>
        <w:tc>
          <w:tcPr>
            <w:tcW w:type="dxa" w:w="1871"/>
            <w:vAlign w:val="center"/>
          </w:tcPr>
          <w:p>
            <w:pPr>
              <w:spacing w:after="0"/>
            </w:pPr>
            <w:r>
              <w:rPr>
                <w:sz w:val="18"/>
              </w:rPr>
            </w:r>
            <w:r>
              <w:rPr>
                <w:b w:val="0"/>
                <w:sz w:val="18"/>
              </w:rPr>
              <w:t>0</w:t>
            </w:r>
          </w:p>
        </w:tc>
      </w:tr>
    </w:tbl>
    <w:p>
      <w:pPr>
        <w:jc w:val="center"/>
      </w:pPr>
      <w:r>
        <w:drawing>
          <wp:inline xmlns:a="http://schemas.openxmlformats.org/drawingml/2006/main" xmlns:pic="http://schemas.openxmlformats.org/drawingml/2006/picture">
            <wp:extent cx="6035040" cy="3017520"/>
            <wp:docPr id="2" name="Picture 2"/>
            <wp:cNvGraphicFramePr>
              <a:graphicFrameLocks noChangeAspect="1"/>
            </wp:cNvGraphicFramePr>
            <a:graphic>
              <a:graphicData uri="http://schemas.openxmlformats.org/drawingml/2006/picture">
                <pic:pic>
                  <pic:nvPicPr>
                    <pic:cNvPr id="0" name="gfis_midsem_scenario_summary.png"/>
                    <pic:cNvPicPr/>
                  </pic:nvPicPr>
                  <pic:blipFill>
                    <a:blip r:embed="rId11"/>
                    <a:stretch>
                      <a:fillRect/>
                    </a:stretch>
                  </pic:blipFill>
                  <pic:spPr>
                    <a:xfrm>
                      <a:off x="0" y="0"/>
                      <a:ext cx="6035040" cy="3017520"/>
                    </a:xfrm>
                    <a:prstGeom prst="rect"/>
                  </pic:spPr>
                </pic:pic>
              </a:graphicData>
            </a:graphic>
          </wp:inline>
        </w:drawing>
      </w:r>
    </w:p>
    <w:p>
      <w:pPr>
        <w:jc w:val="center"/>
      </w:pPr>
      <w:r>
        <w:rPr>
          <w:i/>
        </w:rPr>
        <w:t>Figure 2. Scenario-level methane and VFA/ALK response across 48-hour plant runs.</w:t>
      </w:r>
    </w:p>
    <w:p>
      <w:pPr>
        <w:pStyle w:val="Heading1"/>
      </w:pPr>
      <w:r>
        <w:rPr>
          <w:color w:val="10100F"/>
        </w:rPr>
        <w:t>6. Local Demonstration and Working Interfaces</w:t>
      </w:r>
    </w:p>
    <w:p>
      <w:pPr>
        <w:spacing w:after="160" w:line="269" w:lineRule="auto"/>
      </w:pPr>
      <w:r>
        <w:t>The mid-semester prototype is demonstrable locally using the saved model bundle. The system exposes a backend API, a browser-based model control room, an industrial simulation interface, and a Streamlit research dashboard.</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10100F"/>
          </w:tcPr>
          <w:p>
            <w:pPr>
              <w:spacing w:after="0"/>
            </w:pPr>
            <w:r>
              <w:rPr>
                <w:b/>
                <w:color w:val="FFFAF3"/>
                <w:sz w:val="18"/>
              </w:rPr>
            </w:r>
            <w:r>
              <w:rPr>
                <w:b/>
                <w:color w:val="FFFAF3"/>
                <w:sz w:val="18"/>
              </w:rPr>
              <w:t>Surface</w:t>
            </w:r>
          </w:p>
        </w:tc>
        <w:tc>
          <w:tcPr>
            <w:tcW w:type="dxa" w:w="3118"/>
            <w:vAlign w:val="center"/>
            <w:shd w:fill="10100F"/>
          </w:tcPr>
          <w:p>
            <w:pPr>
              <w:spacing w:after="0"/>
            </w:pPr>
            <w:r>
              <w:rPr>
                <w:b/>
                <w:color w:val="FFFAF3"/>
                <w:sz w:val="18"/>
              </w:rPr>
            </w:r>
            <w:r>
              <w:rPr>
                <w:b/>
                <w:color w:val="FFFAF3"/>
                <w:sz w:val="18"/>
              </w:rPr>
              <w:t>Local URL</w:t>
            </w:r>
          </w:p>
        </w:tc>
        <w:tc>
          <w:tcPr>
            <w:tcW w:type="dxa" w:w="3118"/>
            <w:vAlign w:val="center"/>
            <w:shd w:fill="10100F"/>
          </w:tcPr>
          <w:p>
            <w:pPr>
              <w:spacing w:after="0"/>
            </w:pPr>
            <w:r>
              <w:rPr>
                <w:b/>
                <w:color w:val="FFFAF3"/>
                <w:sz w:val="18"/>
              </w:rPr>
            </w:r>
            <w:r>
              <w:rPr>
                <w:b/>
                <w:color w:val="FFFAF3"/>
                <w:sz w:val="18"/>
              </w:rPr>
              <w:t>Purpose</w:t>
            </w:r>
          </w:p>
        </w:tc>
      </w:tr>
      <w:tr>
        <w:tc>
          <w:tcPr>
            <w:tcW w:type="dxa" w:w="3118"/>
            <w:vAlign w:val="center"/>
          </w:tcPr>
          <w:p>
            <w:pPr>
              <w:spacing w:after="0"/>
            </w:pPr>
            <w:r>
              <w:rPr>
                <w:sz w:val="18"/>
              </w:rPr>
            </w:r>
            <w:r>
              <w:rPr>
                <w:b w:val="0"/>
                <w:sz w:val="18"/>
              </w:rPr>
              <w:t>FastAPI backend</w:t>
            </w:r>
          </w:p>
        </w:tc>
        <w:tc>
          <w:tcPr>
            <w:tcW w:type="dxa" w:w="3118"/>
            <w:vAlign w:val="center"/>
          </w:tcPr>
          <w:p>
            <w:pPr>
              <w:spacing w:after="0"/>
            </w:pPr>
            <w:r>
              <w:rPr>
                <w:sz w:val="18"/>
              </w:rPr>
            </w:r>
            <w:r>
              <w:rPr>
                <w:b w:val="0"/>
                <w:sz w:val="18"/>
              </w:rPr>
              <w:t>http://127.0.0.1:8010</w:t>
            </w:r>
          </w:p>
        </w:tc>
        <w:tc>
          <w:tcPr>
            <w:tcW w:type="dxa" w:w="3118"/>
            <w:vAlign w:val="center"/>
          </w:tcPr>
          <w:p>
            <w:pPr>
              <w:spacing w:after="0"/>
            </w:pPr>
            <w:r>
              <w:rPr>
                <w:sz w:val="18"/>
              </w:rPr>
            </w:r>
            <w:r>
              <w:rPr>
                <w:b w:val="0"/>
                <w:sz w:val="18"/>
              </w:rPr>
              <w:t>Core prediction and simulation API</w:t>
            </w:r>
          </w:p>
        </w:tc>
      </w:tr>
      <w:tr>
        <w:tc>
          <w:tcPr>
            <w:tcW w:type="dxa" w:w="3118"/>
            <w:vAlign w:val="center"/>
          </w:tcPr>
          <w:p>
            <w:pPr>
              <w:spacing w:after="0"/>
            </w:pPr>
            <w:r>
              <w:rPr>
                <w:sz w:val="18"/>
              </w:rPr>
            </w:r>
            <w:r>
              <w:rPr>
                <w:b w:val="0"/>
                <w:sz w:val="18"/>
              </w:rPr>
              <w:t>API documentation</w:t>
            </w:r>
          </w:p>
        </w:tc>
        <w:tc>
          <w:tcPr>
            <w:tcW w:type="dxa" w:w="3118"/>
            <w:vAlign w:val="center"/>
          </w:tcPr>
          <w:p>
            <w:pPr>
              <w:spacing w:after="0"/>
            </w:pPr>
            <w:r>
              <w:rPr>
                <w:sz w:val="18"/>
              </w:rPr>
            </w:r>
            <w:r>
              <w:rPr>
                <w:b w:val="0"/>
                <w:sz w:val="18"/>
              </w:rPr>
              <w:t>http://127.0.0.1:8010/docs</w:t>
            </w:r>
          </w:p>
        </w:tc>
        <w:tc>
          <w:tcPr>
            <w:tcW w:type="dxa" w:w="3118"/>
            <w:vAlign w:val="center"/>
          </w:tcPr>
          <w:p>
            <w:pPr>
              <w:spacing w:after="0"/>
            </w:pPr>
            <w:r>
              <w:rPr>
                <w:sz w:val="18"/>
              </w:rPr>
            </w:r>
            <w:r>
              <w:rPr>
                <w:b w:val="0"/>
                <w:sz w:val="18"/>
              </w:rPr>
              <w:t>Interactive endpoint testing</w:t>
            </w:r>
          </w:p>
        </w:tc>
      </w:tr>
      <w:tr>
        <w:tc>
          <w:tcPr>
            <w:tcW w:type="dxa" w:w="3118"/>
            <w:vAlign w:val="center"/>
          </w:tcPr>
          <w:p>
            <w:pPr>
              <w:spacing w:after="0"/>
            </w:pPr>
            <w:r>
              <w:rPr>
                <w:sz w:val="18"/>
              </w:rPr>
            </w:r>
            <w:r>
              <w:rPr>
                <w:b w:val="0"/>
                <w:sz w:val="18"/>
              </w:rPr>
              <w:t>Model control room</w:t>
            </w:r>
          </w:p>
        </w:tc>
        <w:tc>
          <w:tcPr>
            <w:tcW w:type="dxa" w:w="3118"/>
            <w:vAlign w:val="center"/>
          </w:tcPr>
          <w:p>
            <w:pPr>
              <w:spacing w:after="0"/>
            </w:pPr>
            <w:r>
              <w:rPr>
                <w:sz w:val="18"/>
              </w:rPr>
            </w:r>
            <w:r>
              <w:rPr>
                <w:b w:val="0"/>
                <w:sz w:val="18"/>
              </w:rPr>
              <w:t>http://127.0.0.1:8520</w:t>
            </w:r>
          </w:p>
        </w:tc>
        <w:tc>
          <w:tcPr>
            <w:tcW w:type="dxa" w:w="3118"/>
            <w:vAlign w:val="center"/>
          </w:tcPr>
          <w:p>
            <w:pPr>
              <w:spacing w:after="0"/>
            </w:pPr>
            <w:r>
              <w:rPr>
                <w:sz w:val="18"/>
              </w:rPr>
            </w:r>
            <w:r>
              <w:rPr>
                <w:b w:val="0"/>
                <w:sz w:val="18"/>
              </w:rPr>
              <w:t>Browser digital twin interaction</w:t>
            </w:r>
          </w:p>
        </w:tc>
      </w:tr>
      <w:tr>
        <w:tc>
          <w:tcPr>
            <w:tcW w:type="dxa" w:w="3118"/>
            <w:vAlign w:val="center"/>
          </w:tcPr>
          <w:p>
            <w:pPr>
              <w:spacing w:after="0"/>
            </w:pPr>
            <w:r>
              <w:rPr>
                <w:sz w:val="18"/>
              </w:rPr>
            </w:r>
            <w:r>
              <w:rPr>
                <w:b w:val="0"/>
                <w:sz w:val="18"/>
              </w:rPr>
              <w:t>Industrial simulation</w:t>
            </w:r>
          </w:p>
        </w:tc>
        <w:tc>
          <w:tcPr>
            <w:tcW w:type="dxa" w:w="3118"/>
            <w:vAlign w:val="center"/>
          </w:tcPr>
          <w:p>
            <w:pPr>
              <w:spacing w:after="0"/>
            </w:pPr>
            <w:r>
              <w:rPr>
                <w:sz w:val="18"/>
              </w:rPr>
            </w:r>
            <w:r>
              <w:rPr>
                <w:b w:val="0"/>
                <w:sz w:val="18"/>
              </w:rPr>
              <w:t>http://127.0.0.1:8520/industrial_simulation.html</w:t>
            </w:r>
          </w:p>
        </w:tc>
        <w:tc>
          <w:tcPr>
            <w:tcW w:type="dxa" w:w="3118"/>
            <w:vAlign w:val="center"/>
          </w:tcPr>
          <w:p>
            <w:pPr>
              <w:spacing w:after="0"/>
            </w:pPr>
            <w:r>
              <w:rPr>
                <w:sz w:val="18"/>
              </w:rPr>
            </w:r>
            <w:r>
              <w:rPr>
                <w:b w:val="0"/>
                <w:sz w:val="18"/>
              </w:rPr>
              <w:t>48-hour process and plant-level simulation</w:t>
            </w:r>
          </w:p>
        </w:tc>
      </w:tr>
      <w:tr>
        <w:tc>
          <w:tcPr>
            <w:tcW w:type="dxa" w:w="3118"/>
            <w:vAlign w:val="center"/>
          </w:tcPr>
          <w:p>
            <w:pPr>
              <w:spacing w:after="0"/>
            </w:pPr>
            <w:r>
              <w:rPr>
                <w:sz w:val="18"/>
              </w:rPr>
            </w:r>
            <w:r>
              <w:rPr>
                <w:b w:val="0"/>
                <w:sz w:val="18"/>
              </w:rPr>
              <w:t>Streamlit dashboard</w:t>
            </w:r>
          </w:p>
        </w:tc>
        <w:tc>
          <w:tcPr>
            <w:tcW w:type="dxa" w:w="3118"/>
            <w:vAlign w:val="center"/>
          </w:tcPr>
          <w:p>
            <w:pPr>
              <w:spacing w:after="0"/>
            </w:pPr>
            <w:r>
              <w:rPr>
                <w:sz w:val="18"/>
              </w:rPr>
            </w:r>
            <w:r>
              <w:rPr>
                <w:b w:val="0"/>
                <w:sz w:val="18"/>
              </w:rPr>
              <w:t>http://127.0.0.1:8510</w:t>
            </w:r>
          </w:p>
        </w:tc>
        <w:tc>
          <w:tcPr>
            <w:tcW w:type="dxa" w:w="3118"/>
            <w:vAlign w:val="center"/>
          </w:tcPr>
          <w:p>
            <w:pPr>
              <w:spacing w:after="0"/>
            </w:pPr>
            <w:r>
              <w:rPr>
                <w:sz w:val="18"/>
              </w:rPr>
            </w:r>
            <w:r>
              <w:rPr>
                <w:b w:val="0"/>
                <w:sz w:val="18"/>
              </w:rPr>
              <w:t>Research dashboard for dataset, model, and scenario review</w:t>
            </w:r>
          </w:p>
        </w:tc>
      </w:tr>
    </w:tbl>
    <w:p>
      <w:pPr>
        <w:pStyle w:val="Heading1"/>
      </w:pPr>
      <w:r>
        <w:rPr>
          <w:color w:val="10100F"/>
        </w:rPr>
        <w:t>7. Limitations and Risk Controls</w:t>
      </w:r>
    </w:p>
    <w:p>
      <w:pPr>
        <w:spacing w:after="160" w:line="269" w:lineRule="auto"/>
      </w:pPr>
      <w:r>
        <w:t>The current prototype is intentionally transparent about its limitations. The data is synthetic/literature-inspired and is suitable for controlled research demonstration, but final claims must not be presented as industrial plant validation until calibrated against public, laboratory, IoT, SCADA, or plant-specific data.</w:t>
      </w:r>
    </w:p>
    <w:p>
      <w:pPr>
        <w:pStyle w:val="ListBullet"/>
        <w:spacing w:after="80"/>
      </w:pPr>
      <w:r>
        <w:t>Synthetic dataset limits external validity; mitigation is to add real or public AD datasets where available.</w:t>
      </w:r>
    </w:p>
    <w:p>
      <w:pPr>
        <w:pStyle w:val="ListBullet"/>
        <w:spacing w:after="80"/>
      </w:pPr>
      <w:r>
        <w:t>LSTM performance is currently weaker than the tabular model; mitigation is to retain LSTM for genuine time-series data and expand benchmark comparison.</w:t>
      </w:r>
    </w:p>
    <w:p>
      <w:pPr>
        <w:pStyle w:val="ListBullet"/>
        <w:spacing w:after="80"/>
      </w:pPr>
      <w:r>
        <w:t>Physics constraint is an upper-bound feasibility layer; mitigation is to add richer biochemical constraints and literature-backed equations.</w:t>
      </w:r>
    </w:p>
    <w:p>
      <w:pPr>
        <w:pStyle w:val="ListBullet"/>
        <w:spacing w:after="80"/>
      </w:pPr>
      <w:r>
        <w:t>Soft sensor estimates VFA/ALK indirectly; mitigation is to calibrate against measured VFA/ALK values when real data is available.</w:t>
      </w:r>
    </w:p>
    <w:p>
      <w:pPr>
        <w:pStyle w:val="ListBullet"/>
        <w:spacing w:after="80"/>
      </w:pPr>
      <w:r>
        <w:t>Dashboard and API are working prototypes; mitigation is to harden deployment with Docker, database migration, authentication, and logging.</w:t>
      </w:r>
    </w:p>
    <w:p>
      <w:pPr>
        <w:pStyle w:val="Heading1"/>
      </w:pPr>
      <w:r>
        <w:rPr>
          <w:color w:val="10100F"/>
        </w:rPr>
        <w:t>8. Remaining Work Plan</w:t>
      </w:r>
    </w:p>
    <w:tbl>
      <w:tblPr>
        <w:tblStyle w:val="TableGrid"/>
        <w:tblW w:type="auto" w:w="0"/>
        <w:tblLook w:firstColumn="1" w:firstRow="1" w:lastColumn="0" w:lastRow="0" w:noHBand="0" w:noVBand="1" w:val="04A0"/>
      </w:tblPr>
      <w:tblGrid>
        <w:gridCol w:w="2338"/>
        <w:gridCol w:w="2338"/>
        <w:gridCol w:w="2338"/>
        <w:gridCol w:w="2338"/>
      </w:tblGrid>
      <w:tr>
        <w:tc>
          <w:tcPr>
            <w:tcW w:type="dxa" w:w="2338"/>
            <w:vAlign w:val="center"/>
            <w:shd w:fill="10100F"/>
          </w:tcPr>
          <w:p>
            <w:pPr>
              <w:spacing w:after="0"/>
            </w:pPr>
            <w:r>
              <w:rPr>
                <w:b/>
                <w:color w:val="FFFAF3"/>
                <w:sz w:val="18"/>
              </w:rPr>
            </w:r>
            <w:r>
              <w:rPr>
                <w:b/>
                <w:color w:val="FFFAF3"/>
                <w:sz w:val="18"/>
              </w:rPr>
              <w:t>Phase</w:t>
            </w:r>
          </w:p>
        </w:tc>
        <w:tc>
          <w:tcPr>
            <w:tcW w:type="dxa" w:w="2338"/>
            <w:vAlign w:val="center"/>
            <w:shd w:fill="10100F"/>
          </w:tcPr>
          <w:p>
            <w:pPr>
              <w:spacing w:after="0"/>
            </w:pPr>
            <w:r>
              <w:rPr>
                <w:b/>
                <w:color w:val="FFFAF3"/>
                <w:sz w:val="18"/>
              </w:rPr>
            </w:r>
            <w:r>
              <w:rPr>
                <w:b/>
                <w:color w:val="FFFAF3"/>
                <w:sz w:val="18"/>
              </w:rPr>
              <w:t>Work item</w:t>
            </w:r>
          </w:p>
        </w:tc>
        <w:tc>
          <w:tcPr>
            <w:tcW w:type="dxa" w:w="2338"/>
            <w:vAlign w:val="center"/>
            <w:shd w:fill="10100F"/>
          </w:tcPr>
          <w:p>
            <w:pPr>
              <w:spacing w:after="0"/>
            </w:pPr>
            <w:r>
              <w:rPr>
                <w:b/>
                <w:color w:val="FFFAF3"/>
                <w:sz w:val="18"/>
              </w:rPr>
            </w:r>
            <w:r>
              <w:rPr>
                <w:b/>
                <w:color w:val="FFFAF3"/>
                <w:sz w:val="18"/>
              </w:rPr>
              <w:t>Expected output</w:t>
            </w:r>
          </w:p>
        </w:tc>
        <w:tc>
          <w:tcPr>
            <w:tcW w:type="dxa" w:w="2338"/>
            <w:vAlign w:val="center"/>
            <w:shd w:fill="10100F"/>
          </w:tcPr>
          <w:p>
            <w:pPr>
              <w:spacing w:after="0"/>
            </w:pPr>
            <w:r>
              <w:rPr>
                <w:b/>
                <w:color w:val="FFFAF3"/>
                <w:sz w:val="18"/>
              </w:rPr>
            </w:r>
            <w:r>
              <w:rPr>
                <w:b/>
                <w:color w:val="FFFAF3"/>
                <w:sz w:val="18"/>
              </w:rPr>
              <w:t>Priority</w:t>
            </w:r>
          </w:p>
        </w:tc>
      </w:tr>
      <w:tr>
        <w:tc>
          <w:tcPr>
            <w:tcW w:type="dxa" w:w="2338"/>
            <w:vAlign w:val="center"/>
          </w:tcPr>
          <w:p>
            <w:pPr>
              <w:spacing w:after="0"/>
            </w:pPr>
            <w:r>
              <w:rPr>
                <w:sz w:val="18"/>
              </w:rPr>
            </w:r>
            <w:r>
              <w:rPr>
                <w:b w:val="0"/>
                <w:sz w:val="18"/>
              </w:rPr>
              <w:t>Mid-sem + 2 weeks</w:t>
            </w:r>
          </w:p>
        </w:tc>
        <w:tc>
          <w:tcPr>
            <w:tcW w:type="dxa" w:w="2338"/>
            <w:vAlign w:val="center"/>
          </w:tcPr>
          <w:p>
            <w:pPr>
              <w:spacing w:after="0"/>
            </w:pPr>
            <w:r>
              <w:rPr>
                <w:sz w:val="18"/>
              </w:rPr>
            </w:r>
            <w:r>
              <w:rPr>
                <w:b w:val="0"/>
                <w:sz w:val="18"/>
              </w:rPr>
              <w:t>Add benchmark regressors and uncertainty estimate</w:t>
            </w:r>
          </w:p>
        </w:tc>
        <w:tc>
          <w:tcPr>
            <w:tcW w:type="dxa" w:w="2338"/>
            <w:vAlign w:val="center"/>
          </w:tcPr>
          <w:p>
            <w:pPr>
              <w:spacing w:after="0"/>
            </w:pPr>
            <w:r>
              <w:rPr>
                <w:sz w:val="18"/>
              </w:rPr>
            </w:r>
            <w:r>
              <w:rPr>
                <w:b w:val="0"/>
                <w:sz w:val="18"/>
              </w:rPr>
              <w:t>Expanded metrics table</w:t>
            </w:r>
          </w:p>
        </w:tc>
        <w:tc>
          <w:tcPr>
            <w:tcW w:type="dxa" w:w="2338"/>
            <w:vAlign w:val="center"/>
          </w:tcPr>
          <w:p>
            <w:pPr>
              <w:spacing w:after="0"/>
            </w:pPr>
            <w:r>
              <w:rPr>
                <w:sz w:val="18"/>
              </w:rPr>
            </w:r>
            <w:r>
              <w:rPr>
                <w:b w:val="0"/>
                <w:sz w:val="18"/>
              </w:rPr>
              <w:t>High</w:t>
            </w:r>
          </w:p>
        </w:tc>
      </w:tr>
      <w:tr>
        <w:tc>
          <w:tcPr>
            <w:tcW w:type="dxa" w:w="2338"/>
            <w:vAlign w:val="center"/>
          </w:tcPr>
          <w:p>
            <w:pPr>
              <w:spacing w:after="0"/>
            </w:pPr>
            <w:r>
              <w:rPr>
                <w:sz w:val="18"/>
              </w:rPr>
            </w:r>
            <w:r>
              <w:rPr>
                <w:b w:val="0"/>
                <w:sz w:val="18"/>
              </w:rPr>
              <w:t>Mid-sem + 3 weeks</w:t>
            </w:r>
          </w:p>
        </w:tc>
        <w:tc>
          <w:tcPr>
            <w:tcW w:type="dxa" w:w="2338"/>
            <w:vAlign w:val="center"/>
          </w:tcPr>
          <w:p>
            <w:pPr>
              <w:spacing w:after="0"/>
            </w:pPr>
            <w:r>
              <w:rPr>
                <w:sz w:val="18"/>
              </w:rPr>
            </w:r>
            <w:r>
              <w:rPr>
                <w:b w:val="0"/>
                <w:sz w:val="18"/>
              </w:rPr>
              <w:t>Strengthen physics equations and citation support</w:t>
            </w:r>
          </w:p>
        </w:tc>
        <w:tc>
          <w:tcPr>
            <w:tcW w:type="dxa" w:w="2338"/>
            <w:vAlign w:val="center"/>
          </w:tcPr>
          <w:p>
            <w:pPr>
              <w:spacing w:after="0"/>
            </w:pPr>
            <w:r>
              <w:rPr>
                <w:sz w:val="18"/>
              </w:rPr>
            </w:r>
            <w:r>
              <w:rPr>
                <w:b w:val="0"/>
                <w:sz w:val="18"/>
              </w:rPr>
              <w:t>Final methodology section</w:t>
            </w:r>
          </w:p>
        </w:tc>
        <w:tc>
          <w:tcPr>
            <w:tcW w:type="dxa" w:w="2338"/>
            <w:vAlign w:val="center"/>
          </w:tcPr>
          <w:p>
            <w:pPr>
              <w:spacing w:after="0"/>
            </w:pPr>
            <w:r>
              <w:rPr>
                <w:sz w:val="18"/>
              </w:rPr>
            </w:r>
            <w:r>
              <w:rPr>
                <w:b w:val="0"/>
                <w:sz w:val="18"/>
              </w:rPr>
              <w:t>High</w:t>
            </w:r>
          </w:p>
        </w:tc>
      </w:tr>
      <w:tr>
        <w:tc>
          <w:tcPr>
            <w:tcW w:type="dxa" w:w="2338"/>
            <w:vAlign w:val="center"/>
          </w:tcPr>
          <w:p>
            <w:pPr>
              <w:spacing w:after="0"/>
            </w:pPr>
            <w:r>
              <w:rPr>
                <w:sz w:val="18"/>
              </w:rPr>
            </w:r>
            <w:r>
              <w:rPr>
                <w:b w:val="0"/>
                <w:sz w:val="18"/>
              </w:rPr>
              <w:t>Mid-sem + 4 weeks</w:t>
            </w:r>
          </w:p>
        </w:tc>
        <w:tc>
          <w:tcPr>
            <w:tcW w:type="dxa" w:w="2338"/>
            <w:vAlign w:val="center"/>
          </w:tcPr>
          <w:p>
            <w:pPr>
              <w:spacing w:after="0"/>
            </w:pPr>
            <w:r>
              <w:rPr>
                <w:sz w:val="18"/>
              </w:rPr>
            </w:r>
            <w:r>
              <w:rPr>
                <w:b w:val="0"/>
                <w:sz w:val="18"/>
              </w:rPr>
              <w:t>Add or calibrate with public/industrial AD data if available</w:t>
            </w:r>
          </w:p>
        </w:tc>
        <w:tc>
          <w:tcPr>
            <w:tcW w:type="dxa" w:w="2338"/>
            <w:vAlign w:val="center"/>
          </w:tcPr>
          <w:p>
            <w:pPr>
              <w:spacing w:after="0"/>
            </w:pPr>
            <w:r>
              <w:rPr>
                <w:sz w:val="18"/>
              </w:rPr>
            </w:r>
            <w:r>
              <w:rPr>
                <w:b w:val="0"/>
                <w:sz w:val="18"/>
              </w:rPr>
              <w:t>Dataset comparison evidence</w:t>
            </w:r>
          </w:p>
        </w:tc>
        <w:tc>
          <w:tcPr>
            <w:tcW w:type="dxa" w:w="2338"/>
            <w:vAlign w:val="center"/>
          </w:tcPr>
          <w:p>
            <w:pPr>
              <w:spacing w:after="0"/>
            </w:pPr>
            <w:r>
              <w:rPr>
                <w:sz w:val="18"/>
              </w:rPr>
            </w:r>
            <w:r>
              <w:rPr>
                <w:b w:val="0"/>
                <w:sz w:val="18"/>
              </w:rPr>
              <w:t>High</w:t>
            </w:r>
          </w:p>
        </w:tc>
      </w:tr>
      <w:tr>
        <w:tc>
          <w:tcPr>
            <w:tcW w:type="dxa" w:w="2338"/>
            <w:vAlign w:val="center"/>
          </w:tcPr>
          <w:p>
            <w:pPr>
              <w:spacing w:after="0"/>
            </w:pPr>
            <w:r>
              <w:rPr>
                <w:sz w:val="18"/>
              </w:rPr>
            </w:r>
            <w:r>
              <w:rPr>
                <w:b w:val="0"/>
                <w:sz w:val="18"/>
              </w:rPr>
              <w:t>Mid-sem + 5 weeks</w:t>
            </w:r>
          </w:p>
        </w:tc>
        <w:tc>
          <w:tcPr>
            <w:tcW w:type="dxa" w:w="2338"/>
            <w:vAlign w:val="center"/>
          </w:tcPr>
          <w:p>
            <w:pPr>
              <w:spacing w:after="0"/>
            </w:pPr>
            <w:r>
              <w:rPr>
                <w:sz w:val="18"/>
              </w:rPr>
            </w:r>
            <w:r>
              <w:rPr>
                <w:b w:val="0"/>
                <w:sz w:val="18"/>
              </w:rPr>
              <w:t>Capture dashboard/control-room screenshots</w:t>
            </w:r>
          </w:p>
        </w:tc>
        <w:tc>
          <w:tcPr>
            <w:tcW w:type="dxa" w:w="2338"/>
            <w:vAlign w:val="center"/>
          </w:tcPr>
          <w:p>
            <w:pPr>
              <w:spacing w:after="0"/>
            </w:pPr>
            <w:r>
              <w:rPr>
                <w:sz w:val="18"/>
              </w:rPr>
            </w:r>
            <w:r>
              <w:rPr>
                <w:b w:val="0"/>
                <w:sz w:val="18"/>
              </w:rPr>
              <w:t>Final report figures</w:t>
            </w:r>
          </w:p>
        </w:tc>
        <w:tc>
          <w:tcPr>
            <w:tcW w:type="dxa" w:w="2338"/>
            <w:vAlign w:val="center"/>
          </w:tcPr>
          <w:p>
            <w:pPr>
              <w:spacing w:after="0"/>
            </w:pPr>
            <w:r>
              <w:rPr>
                <w:sz w:val="18"/>
              </w:rPr>
            </w:r>
            <w:r>
              <w:rPr>
                <w:b w:val="0"/>
                <w:sz w:val="18"/>
              </w:rPr>
              <w:t>Medium</w:t>
            </w:r>
          </w:p>
        </w:tc>
      </w:tr>
      <w:tr>
        <w:tc>
          <w:tcPr>
            <w:tcW w:type="dxa" w:w="2338"/>
            <w:vAlign w:val="center"/>
          </w:tcPr>
          <w:p>
            <w:pPr>
              <w:spacing w:after="0"/>
            </w:pPr>
            <w:r>
              <w:rPr>
                <w:sz w:val="18"/>
              </w:rPr>
            </w:r>
            <w:r>
              <w:rPr>
                <w:b w:val="0"/>
                <w:sz w:val="18"/>
              </w:rPr>
              <w:t>Mid-sem + 6 weeks</w:t>
            </w:r>
          </w:p>
        </w:tc>
        <w:tc>
          <w:tcPr>
            <w:tcW w:type="dxa" w:w="2338"/>
            <w:vAlign w:val="center"/>
          </w:tcPr>
          <w:p>
            <w:pPr>
              <w:spacing w:after="0"/>
            </w:pPr>
            <w:r>
              <w:rPr>
                <w:sz w:val="18"/>
              </w:rPr>
            </w:r>
            <w:r>
              <w:rPr>
                <w:b w:val="0"/>
                <w:sz w:val="18"/>
              </w:rPr>
              <w:t>Improve SHAP/explainability plots</w:t>
            </w:r>
          </w:p>
        </w:tc>
        <w:tc>
          <w:tcPr>
            <w:tcW w:type="dxa" w:w="2338"/>
            <w:vAlign w:val="center"/>
          </w:tcPr>
          <w:p>
            <w:pPr>
              <w:spacing w:after="0"/>
            </w:pPr>
            <w:r>
              <w:rPr>
                <w:sz w:val="18"/>
              </w:rPr>
            </w:r>
            <w:r>
              <w:rPr>
                <w:b w:val="0"/>
                <w:sz w:val="18"/>
              </w:rPr>
              <w:t>Feature interpretation section</w:t>
            </w:r>
          </w:p>
        </w:tc>
        <w:tc>
          <w:tcPr>
            <w:tcW w:type="dxa" w:w="2338"/>
            <w:vAlign w:val="center"/>
          </w:tcPr>
          <w:p>
            <w:pPr>
              <w:spacing w:after="0"/>
            </w:pPr>
            <w:r>
              <w:rPr>
                <w:sz w:val="18"/>
              </w:rPr>
            </w:r>
            <w:r>
              <w:rPr>
                <w:b w:val="0"/>
                <w:sz w:val="18"/>
              </w:rPr>
              <w:t>Medium</w:t>
            </w:r>
          </w:p>
        </w:tc>
      </w:tr>
      <w:tr>
        <w:tc>
          <w:tcPr>
            <w:tcW w:type="dxa" w:w="2338"/>
            <w:vAlign w:val="center"/>
          </w:tcPr>
          <w:p>
            <w:pPr>
              <w:spacing w:after="0"/>
            </w:pPr>
            <w:r>
              <w:rPr>
                <w:sz w:val="18"/>
              </w:rPr>
            </w:r>
            <w:r>
              <w:rPr>
                <w:b w:val="0"/>
                <w:sz w:val="18"/>
              </w:rPr>
              <w:t>Final phase</w:t>
            </w:r>
          </w:p>
        </w:tc>
        <w:tc>
          <w:tcPr>
            <w:tcW w:type="dxa" w:w="2338"/>
            <w:vAlign w:val="center"/>
          </w:tcPr>
          <w:p>
            <w:pPr>
              <w:spacing w:after="0"/>
            </w:pPr>
            <w:r>
              <w:rPr>
                <w:sz w:val="18"/>
              </w:rPr>
            </w:r>
            <w:r>
              <w:rPr>
                <w:b w:val="0"/>
                <w:sz w:val="18"/>
              </w:rPr>
              <w:t>Package report, viva deck, Turnitin-ready PDF, demo checklist</w:t>
            </w:r>
          </w:p>
        </w:tc>
        <w:tc>
          <w:tcPr>
            <w:tcW w:type="dxa" w:w="2338"/>
            <w:vAlign w:val="center"/>
          </w:tcPr>
          <w:p>
            <w:pPr>
              <w:spacing w:after="0"/>
            </w:pPr>
            <w:r>
              <w:rPr>
                <w:sz w:val="18"/>
              </w:rPr>
            </w:r>
            <w:r>
              <w:rPr>
                <w:b w:val="0"/>
                <w:sz w:val="18"/>
              </w:rPr>
              <w:t>Final dissertation submission pack</w:t>
            </w:r>
          </w:p>
        </w:tc>
        <w:tc>
          <w:tcPr>
            <w:tcW w:type="dxa" w:w="2338"/>
            <w:vAlign w:val="center"/>
          </w:tcPr>
          <w:p>
            <w:pPr>
              <w:spacing w:after="0"/>
            </w:pPr>
            <w:r>
              <w:rPr>
                <w:sz w:val="18"/>
              </w:rPr>
            </w:r>
            <w:r>
              <w:rPr>
                <w:b w:val="0"/>
                <w:sz w:val="18"/>
              </w:rPr>
              <w:t>High</w:t>
            </w:r>
          </w:p>
        </w:tc>
      </w:tr>
    </w:tbl>
    <w:p>
      <w:pPr>
        <w:pStyle w:val="Heading1"/>
      </w:pPr>
      <w:r>
        <w:rPr>
          <w:color w:val="10100F"/>
        </w:rPr>
        <w:t>9. Conclusion</w:t>
      </w:r>
    </w:p>
    <w:p>
      <w:pPr>
        <w:spacing w:after="160" w:line="269" w:lineRule="auto"/>
      </w:pPr>
      <w:r>
        <w:t>At mid-semester, GFIS has progressed from an accepted abstract into a working research prototype. The system already demonstrates methane-yield prediction, physics-guided feasibility checking, VFA/ALK soft sensing, stability classification, simulation, optimization, and multiple interfaces. The evaluator's recommendation to position the work as a PIML-guided digital twin has been incorporated directly into the prototype, portal language, and remaining work plan. The most important remaining task is to strengthen validation with better data and richer literature-supported biochemical constraints before final submission.</w:t>
      </w:r>
    </w:p>
    <w:p>
      <w:pPr>
        <w:pStyle w:val="Heading1"/>
      </w:pPr>
      <w:r>
        <w:rPr>
          <w:color w:val="10100F"/>
        </w:rPr>
        <w:t>Appendix A. Evidence and Artifact Index</w:t>
      </w:r>
    </w:p>
    <w:tbl>
      <w:tblPr>
        <w:tblStyle w:val="TableGrid"/>
        <w:tblW w:type="auto" w:w="0"/>
        <w:tblLook w:firstColumn="1" w:firstRow="1" w:lastColumn="0" w:lastRow="0" w:noHBand="0" w:noVBand="1" w:val="04A0"/>
      </w:tblPr>
      <w:tblGrid>
        <w:gridCol w:w="4677"/>
        <w:gridCol w:w="4677"/>
      </w:tblGrid>
      <w:tr>
        <w:tc>
          <w:tcPr>
            <w:tcW w:type="dxa" w:w="4677"/>
            <w:vAlign w:val="center"/>
            <w:shd w:fill="10100F"/>
          </w:tcPr>
          <w:p>
            <w:pPr>
              <w:spacing w:after="0"/>
            </w:pPr>
            <w:r>
              <w:rPr>
                <w:b/>
                <w:color w:val="FFFAF3"/>
                <w:sz w:val="18"/>
              </w:rPr>
            </w:r>
            <w:r>
              <w:rPr>
                <w:b/>
                <w:color w:val="FFFAF3"/>
                <w:sz w:val="18"/>
              </w:rPr>
              <w:t>Evidence</w:t>
            </w:r>
          </w:p>
        </w:tc>
        <w:tc>
          <w:tcPr>
            <w:tcW w:type="dxa" w:w="4677"/>
            <w:vAlign w:val="center"/>
            <w:shd w:fill="10100F"/>
          </w:tcPr>
          <w:p>
            <w:pPr>
              <w:spacing w:after="0"/>
            </w:pPr>
            <w:r>
              <w:rPr>
                <w:b/>
                <w:color w:val="FFFAF3"/>
                <w:sz w:val="18"/>
              </w:rPr>
            </w:r>
            <w:r>
              <w:rPr>
                <w:b/>
                <w:color w:val="FFFAF3"/>
                <w:sz w:val="18"/>
              </w:rPr>
              <w:t>Location</w:t>
            </w:r>
          </w:p>
        </w:tc>
      </w:tr>
      <w:tr>
        <w:tc>
          <w:tcPr>
            <w:tcW w:type="dxa" w:w="4677"/>
            <w:vAlign w:val="center"/>
          </w:tcPr>
          <w:p>
            <w:pPr>
              <w:spacing w:after="0"/>
            </w:pPr>
            <w:r>
              <w:rPr>
                <w:sz w:val="18"/>
              </w:rPr>
            </w:r>
            <w:r>
              <w:rPr>
                <w:b w:val="0"/>
                <w:sz w:val="18"/>
              </w:rPr>
              <w:t>Accepted abstract evaluation screenshot</w:t>
            </w:r>
          </w:p>
        </w:tc>
        <w:tc>
          <w:tcPr>
            <w:tcW w:type="dxa" w:w="4677"/>
            <w:vAlign w:val="center"/>
          </w:tcPr>
          <w:p>
            <w:pPr>
              <w:spacing w:after="0"/>
            </w:pPr>
            <w:r>
              <w:rPr>
                <w:sz w:val="18"/>
              </w:rPr>
            </w:r>
            <w:r>
              <w:rPr>
                <w:b w:val="0"/>
                <w:sz w:val="18"/>
              </w:rPr>
              <w:t>Phase_Workspaces/01_Abstract_Outline_Submission/Abstract_Viva_Evaluation</w:t>
            </w:r>
          </w:p>
        </w:tc>
      </w:tr>
      <w:tr>
        <w:tc>
          <w:tcPr>
            <w:tcW w:type="dxa" w:w="4677"/>
            <w:vAlign w:val="center"/>
          </w:tcPr>
          <w:p>
            <w:pPr>
              <w:spacing w:after="0"/>
            </w:pPr>
            <w:r>
              <w:rPr>
                <w:sz w:val="18"/>
              </w:rPr>
            </w:r>
            <w:r>
              <w:rPr>
                <w:b w:val="0"/>
                <w:sz w:val="18"/>
              </w:rPr>
              <w:t>Viva transcript/supporting discussion PDF</w:t>
            </w:r>
          </w:p>
        </w:tc>
        <w:tc>
          <w:tcPr>
            <w:tcW w:type="dxa" w:w="4677"/>
            <w:vAlign w:val="center"/>
          </w:tcPr>
          <w:p>
            <w:pPr>
              <w:spacing w:after="0"/>
            </w:pPr>
            <w:r>
              <w:rPr>
                <w:sz w:val="18"/>
              </w:rPr>
            </w:r>
            <w:r>
              <w:rPr>
                <w:b w:val="0"/>
                <w:sz w:val="18"/>
              </w:rPr>
              <w:t>Phase_Workspaces/01_Abstract_Outline_Submission/Abstract_Viva_Evaluation</w:t>
            </w:r>
          </w:p>
        </w:tc>
      </w:tr>
      <w:tr>
        <w:tc>
          <w:tcPr>
            <w:tcW w:type="dxa" w:w="4677"/>
            <w:vAlign w:val="center"/>
          </w:tcPr>
          <w:p>
            <w:pPr>
              <w:spacing w:after="0"/>
            </w:pPr>
            <w:r>
              <w:rPr>
                <w:sz w:val="18"/>
              </w:rPr>
            </w:r>
            <w:r>
              <w:rPr>
                <w:b w:val="0"/>
                <w:sz w:val="18"/>
              </w:rPr>
              <w:t>Evaluation report</w:t>
            </w:r>
          </w:p>
        </w:tc>
        <w:tc>
          <w:tcPr>
            <w:tcW w:type="dxa" w:w="4677"/>
            <w:vAlign w:val="center"/>
          </w:tcPr>
          <w:p>
            <w:pPr>
              <w:spacing w:after="0"/>
            </w:pPr>
            <w:r>
              <w:rPr>
                <w:sz w:val="18"/>
              </w:rPr>
            </w:r>
            <w:r>
              <w:rPr>
                <w:b w:val="0"/>
                <w:sz w:val="18"/>
              </w:rPr>
              <w:t>GFIS_Project/reports/evaluation_report.md</w:t>
            </w:r>
          </w:p>
        </w:tc>
      </w:tr>
      <w:tr>
        <w:tc>
          <w:tcPr>
            <w:tcW w:type="dxa" w:w="4677"/>
            <w:vAlign w:val="center"/>
          </w:tcPr>
          <w:p>
            <w:pPr>
              <w:spacing w:after="0"/>
            </w:pPr>
            <w:r>
              <w:rPr>
                <w:sz w:val="18"/>
              </w:rPr>
            </w:r>
            <w:r>
              <w:rPr>
                <w:b w:val="0"/>
                <w:sz w:val="18"/>
              </w:rPr>
              <w:t>Demo evidence</w:t>
            </w:r>
          </w:p>
        </w:tc>
        <w:tc>
          <w:tcPr>
            <w:tcW w:type="dxa" w:w="4677"/>
            <w:vAlign w:val="center"/>
          </w:tcPr>
          <w:p>
            <w:pPr>
              <w:spacing w:after="0"/>
            </w:pPr>
            <w:r>
              <w:rPr>
                <w:sz w:val="18"/>
              </w:rPr>
            </w:r>
            <w:r>
              <w:rPr>
                <w:b w:val="0"/>
                <w:sz w:val="18"/>
              </w:rPr>
              <w:t>GFIS_Project/reports/demo_evidence.md</w:t>
            </w:r>
          </w:p>
        </w:tc>
      </w:tr>
      <w:tr>
        <w:tc>
          <w:tcPr>
            <w:tcW w:type="dxa" w:w="4677"/>
            <w:vAlign w:val="center"/>
          </w:tcPr>
          <w:p>
            <w:pPr>
              <w:spacing w:after="0"/>
            </w:pPr>
            <w:r>
              <w:rPr>
                <w:sz w:val="18"/>
              </w:rPr>
            </w:r>
            <w:r>
              <w:rPr>
                <w:b w:val="0"/>
                <w:sz w:val="18"/>
              </w:rPr>
              <w:t>Controlled scenario experiments</w:t>
            </w:r>
          </w:p>
        </w:tc>
        <w:tc>
          <w:tcPr>
            <w:tcW w:type="dxa" w:w="4677"/>
            <w:vAlign w:val="center"/>
          </w:tcPr>
          <w:p>
            <w:pPr>
              <w:spacing w:after="0"/>
            </w:pPr>
            <w:r>
              <w:rPr>
                <w:sz w:val="18"/>
              </w:rPr>
            </w:r>
            <w:r>
              <w:rPr>
                <w:b w:val="0"/>
                <w:sz w:val="18"/>
              </w:rPr>
              <w:t>GFIS_Project/reports/research_scenario_experiments.md</w:t>
            </w:r>
          </w:p>
        </w:tc>
      </w:tr>
      <w:tr>
        <w:tc>
          <w:tcPr>
            <w:tcW w:type="dxa" w:w="4677"/>
            <w:vAlign w:val="center"/>
          </w:tcPr>
          <w:p>
            <w:pPr>
              <w:spacing w:after="0"/>
            </w:pPr>
            <w:r>
              <w:rPr>
                <w:sz w:val="18"/>
              </w:rPr>
            </w:r>
            <w:r>
              <w:rPr>
                <w:b w:val="0"/>
                <w:sz w:val="18"/>
              </w:rPr>
              <w:t>Research report draft</w:t>
            </w:r>
          </w:p>
        </w:tc>
        <w:tc>
          <w:tcPr>
            <w:tcW w:type="dxa" w:w="4677"/>
            <w:vAlign w:val="center"/>
          </w:tcPr>
          <w:p>
            <w:pPr>
              <w:spacing w:after="0"/>
            </w:pPr>
            <w:r>
              <w:rPr>
                <w:sz w:val="18"/>
              </w:rPr>
            </w:r>
            <w:r>
              <w:rPr>
                <w:b w:val="0"/>
                <w:sz w:val="18"/>
              </w:rPr>
              <w:t>GFIS_Project/reports/GFIS_Dissertation_Research_Report.docx</w:t>
            </w:r>
          </w:p>
        </w:tc>
      </w:tr>
      <w:tr>
        <w:tc>
          <w:tcPr>
            <w:tcW w:type="dxa" w:w="4677"/>
            <w:vAlign w:val="center"/>
          </w:tcPr>
          <w:p>
            <w:pPr>
              <w:spacing w:after="0"/>
            </w:pPr>
            <w:r>
              <w:rPr>
                <w:sz w:val="18"/>
              </w:rPr>
            </w:r>
            <w:r>
              <w:rPr>
                <w:b w:val="0"/>
                <w:sz w:val="18"/>
              </w:rPr>
              <w:t>Deployment notes</w:t>
            </w:r>
          </w:p>
        </w:tc>
        <w:tc>
          <w:tcPr>
            <w:tcW w:type="dxa" w:w="4677"/>
            <w:vAlign w:val="center"/>
          </w:tcPr>
          <w:p>
            <w:pPr>
              <w:spacing w:after="0"/>
            </w:pPr>
            <w:r>
              <w:rPr>
                <w:sz w:val="18"/>
              </w:rPr>
            </w:r>
            <w:r>
              <w:rPr>
                <w:b w:val="0"/>
                <w:sz w:val="18"/>
              </w:rPr>
              <w:t>GFIS_Project/docs/AWS_DEPLOYMENT_NOTES.md</w:t>
            </w:r>
          </w:p>
        </w:tc>
      </w:tr>
      <w:tr>
        <w:tc>
          <w:tcPr>
            <w:tcW w:type="dxa" w:w="4677"/>
            <w:vAlign w:val="center"/>
          </w:tcPr>
          <w:p>
            <w:pPr>
              <w:spacing w:after="0"/>
            </w:pPr>
            <w:r>
              <w:rPr>
                <w:sz w:val="18"/>
              </w:rPr>
            </w:r>
            <w:r>
              <w:rPr>
                <w:b w:val="0"/>
                <w:sz w:val="18"/>
              </w:rPr>
              <w:t>ROS2/Gazebo extension blueprint</w:t>
            </w:r>
          </w:p>
        </w:tc>
        <w:tc>
          <w:tcPr>
            <w:tcW w:type="dxa" w:w="4677"/>
            <w:vAlign w:val="center"/>
          </w:tcPr>
          <w:p>
            <w:pPr>
              <w:spacing w:after="0"/>
            </w:pPr>
            <w:r>
              <w:rPr>
                <w:sz w:val="18"/>
              </w:rPr>
            </w:r>
            <w:r>
              <w:rPr>
                <w:b w:val="0"/>
                <w:sz w:val="18"/>
              </w:rPr>
              <w:t>GFIS_Project/docs/ros2_gazebo/integration_blueprint.md</w:t>
            </w:r>
          </w:p>
        </w:tc>
      </w:tr>
    </w:tbl>
    <w:p>
      <w:pPr>
        <w:sectPr>
          <w:footerReference w:type="default" r:id="rId9"/>
          <w:pgSz w:w="11906" w:h="16838"/>
          <w:pgMar w:top="1134" w:right="1276" w:bottom="1134" w:left="1276" w:header="720" w:footer="720" w:gutter="0"/>
          <w:cols w:space="720"/>
          <w:docGrid w:linePitch="360"/>
        </w:sectPr>
      </w:pPr>
    </w:p>
    <w:p>
      <w:pPr>
        <w:pStyle w:val="Heading1"/>
      </w:pPr>
      <w:r>
        <w:rPr>
          <w:color w:val="10100F"/>
        </w:rPr>
        <w:t>Supervisor Review and Signatures</w:t>
      </w:r>
    </w:p>
    <w:p>
      <w:pPr>
        <w:spacing w:after="160" w:line="269" w:lineRule="auto"/>
      </w:pPr>
      <w:r>
        <w:t>This section is reserved for review, comments, and signatures if required during mid-semester evaluation.</w:t>
      </w:r>
    </w:p>
    <w:p>
      <w:r>
        <w:br/>
        <w:br/>
        <w:t>Signature of Student: ___________________________</w:t>
      </w:r>
    </w:p>
    <w:p>
      <w:r>
        <w:t>Name: Akash Shivadas Chatake</w:t>
      </w:r>
    </w:p>
    <w:p>
      <w:r>
        <w:t>Date: ___________________________</w:t>
      </w:r>
    </w:p>
    <w:p>
      <w:r>
        <w:br/>
        <w:t>Signature of Supervisor: ___________________________</w:t>
      </w:r>
    </w:p>
    <w:p>
      <w:r>
        <w:t>Name: Prof. Dipti Mane</w:t>
      </w:r>
    </w:p>
    <w:p>
      <w:r>
        <w:t>Date: ___________________________</w:t>
      </w:r>
    </w:p>
    <w:sectPr w:rsidR="00FC693F" w:rsidRPr="0006063C" w:rsidSect="00034616">
      <w:pgSz w:w="11906" w:h="16838"/>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GFIS Mid-Semester Report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