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d69538c59ab9f1db1929fe11516c396a5a76278"/>
    <w:p>
      <w:pPr>
        <w:pStyle w:val="Heading1"/>
      </w:pPr>
      <w:r>
        <w:t xml:space="preserve">P02 Sample Solution Report – Box Plot, Regression, T‑Test &amp; Chi‑Square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  X      Y Group  Response Category</w:t>
      </w:r>
      <w:r>
        <w:br/>
      </w:r>
      <w:r>
        <w:rPr>
          <w:rStyle w:val="VerbatimChar"/>
        </w:rPr>
        <w:t xml:space="preserve">4.697 10.761     B     54.52      Red</w:t>
      </w:r>
      <w:r>
        <w:br/>
      </w:r>
      <w:r>
        <w:rPr>
          <w:rStyle w:val="VerbatimChar"/>
        </w:rPr>
        <w:t xml:space="preserve">4.477 14.534     A     49.18      Red</w:t>
      </w:r>
      <w:r>
        <w:br/>
      </w:r>
      <w:r>
        <w:rPr>
          <w:rStyle w:val="VerbatimChar"/>
        </w:rPr>
        <w:t xml:space="preserve">1.241  1.053     A     34.95     Blue</w:t>
      </w:r>
      <w:r>
        <w:br/>
      </w:r>
      <w:r>
        <w:rPr>
          <w:rStyle w:val="VerbatimChar"/>
        </w:rPr>
        <w:t xml:space="preserve">7.548 21.347     A     40.24   Yellow</w:t>
      </w:r>
      <w:r>
        <w:br/>
      </w:r>
      <w:r>
        <w:rPr>
          <w:rStyle w:val="VerbatimChar"/>
        </w:rPr>
        <w:t xml:space="preserve">9.730 30.398     A     58.08    Green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X_mean: 4.74</w:t>
      </w:r>
    </w:p>
    <w:p>
      <w:pPr>
        <w:numPr>
          <w:ilvl w:val="0"/>
          <w:numId w:val="1001"/>
        </w:numPr>
        <w:pStyle w:val="Compact"/>
      </w:pPr>
      <w:r>
        <w:t xml:space="preserve">X_median: 4.46</w:t>
      </w:r>
    </w:p>
    <w:p>
      <w:pPr>
        <w:numPr>
          <w:ilvl w:val="0"/>
          <w:numId w:val="1001"/>
        </w:numPr>
        <w:pStyle w:val="Compact"/>
      </w:pPr>
      <w:r>
        <w:t xml:space="preserve">X_mode: 0.09</w:t>
      </w:r>
    </w:p>
    <w:p>
      <w:pPr>
        <w:numPr>
          <w:ilvl w:val="0"/>
          <w:numId w:val="1001"/>
        </w:numPr>
        <w:pStyle w:val="Compact"/>
      </w:pPr>
      <w:r>
        <w:t xml:space="preserve">X_var: 7.83</w:t>
      </w:r>
    </w:p>
    <w:p>
      <w:pPr>
        <w:numPr>
          <w:ilvl w:val="0"/>
          <w:numId w:val="1001"/>
        </w:numPr>
        <w:pStyle w:val="Compact"/>
      </w:pPr>
      <w:r>
        <w:t xml:space="preserve">X_std: 2.80</w:t>
      </w:r>
    </w:p>
    <w:p>
      <w:pPr>
        <w:numPr>
          <w:ilvl w:val="0"/>
          <w:numId w:val="1001"/>
        </w:numPr>
        <w:pStyle w:val="Compact"/>
      </w:pPr>
      <w:r>
        <w:t xml:space="preserve">Y_mean: 14.29</w:t>
      </w:r>
    </w:p>
    <w:p>
      <w:pPr>
        <w:numPr>
          <w:ilvl w:val="0"/>
          <w:numId w:val="1001"/>
        </w:numPr>
        <w:pStyle w:val="Compact"/>
      </w:pPr>
      <w:r>
        <w:t xml:space="preserve">Y_median: 13.67</w:t>
      </w:r>
    </w:p>
    <w:p>
      <w:pPr>
        <w:numPr>
          <w:ilvl w:val="0"/>
          <w:numId w:val="1001"/>
        </w:numPr>
        <w:pStyle w:val="Compact"/>
      </w:pPr>
      <w:r>
        <w:t xml:space="preserve">Y_mode: -0.82</w:t>
      </w:r>
    </w:p>
    <w:p>
      <w:pPr>
        <w:numPr>
          <w:ilvl w:val="0"/>
          <w:numId w:val="1001"/>
        </w:numPr>
        <w:pStyle w:val="Compact"/>
      </w:pPr>
      <w:r>
        <w:t xml:space="preserve">Y_var: 74.28</w:t>
      </w:r>
    </w:p>
    <w:p>
      <w:pPr>
        <w:numPr>
          <w:ilvl w:val="0"/>
          <w:numId w:val="1001"/>
        </w:numPr>
        <w:pStyle w:val="Compact"/>
      </w:pPr>
      <w:r>
        <w:t xml:space="preserve">Y_std: 8.62</w:t>
      </w:r>
    </w:p>
    <w:p>
      <w:pPr>
        <w:numPr>
          <w:ilvl w:val="0"/>
          <w:numId w:val="1001"/>
        </w:numPr>
        <w:pStyle w:val="Compact"/>
      </w:pPr>
      <w:r>
        <w:t xml:space="preserve">Response_mean: 53.56</w:t>
      </w:r>
    </w:p>
    <w:p>
      <w:pPr>
        <w:numPr>
          <w:ilvl w:val="0"/>
          <w:numId w:val="1001"/>
        </w:numPr>
        <w:pStyle w:val="Compact"/>
      </w:pPr>
      <w:r>
        <w:t xml:space="preserve">Response_median: 53.53</w:t>
      </w:r>
    </w:p>
    <w:p>
      <w:pPr>
        <w:numPr>
          <w:ilvl w:val="0"/>
          <w:numId w:val="1001"/>
        </w:numPr>
        <w:pStyle w:val="Compact"/>
      </w:pPr>
      <w:r>
        <w:t xml:space="preserve">Response_mode: 45.53</w:t>
      </w:r>
    </w:p>
    <w:p>
      <w:pPr>
        <w:numPr>
          <w:ilvl w:val="0"/>
          <w:numId w:val="1001"/>
        </w:numPr>
        <w:pStyle w:val="Compact"/>
      </w:pPr>
      <w:r>
        <w:t xml:space="preserve">Response_var: 73.66</w:t>
      </w:r>
    </w:p>
    <w:p>
      <w:pPr>
        <w:numPr>
          <w:ilvl w:val="0"/>
          <w:numId w:val="1001"/>
        </w:numPr>
        <w:pStyle w:val="Compact"/>
      </w:pPr>
      <w:r>
        <w:t xml:space="preserve">Response_std: 8.58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       X         Y  Response</w:t>
      </w:r>
      <w:r>
        <w:br/>
      </w:r>
      <w:r>
        <w:rPr>
          <w:rStyle w:val="VerbatimChar"/>
        </w:rPr>
        <w:t xml:space="preserve">X         1.000000  0.973354 -0.063655</w:t>
      </w:r>
      <w:r>
        <w:br/>
      </w:r>
      <w:r>
        <w:rPr>
          <w:rStyle w:val="VerbatimChar"/>
        </w:rPr>
        <w:t xml:space="preserve">Y         0.973354  1.000000 -0.071508</w:t>
      </w:r>
      <w:r>
        <w:br/>
      </w:r>
      <w:r>
        <w:rPr>
          <w:rStyle w:val="VerbatimChar"/>
        </w:rPr>
        <w:t xml:space="preserve">Response -0.063655 -0.071508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box plot reveals the spread and outliers of the Response variable. Regression analysis indicates the nature of the relationship between X and Y. The t‑test result suggests whether Group A and Group B differ significantly. The chi‑square statistic informs us whether category distribution deviates from uniformity.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Use built‑in statistics tools to confirm regression and t‑test results. When performing chi‑square, ensure that expected frequencies are calculated correctly and that categories are mutually exclusive.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2025-09-05T12:41:02Z</dcterms:created>
  <dcterms:modified xsi:type="dcterms:W3CDTF">2025-09-05T12:41:02Z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