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1929e5159804fc49fe768ce8155e423a9b194d5"/>
    <w:p>
      <w:pPr>
        <w:pStyle w:val="Heading1"/>
      </w:pPr>
      <w:r>
        <w:t xml:space="preserve">P05 Instructor &amp; Reference Guide – Pivot Charts</w:t>
      </w:r>
    </w:p>
    <w:bookmarkStart w:id="20" w:name="theory-brief"/>
    <w:p>
      <w:pPr>
        <w:pStyle w:val="Heading2"/>
      </w:pPr>
      <w:r>
        <w:t xml:space="preserve">Theory Brief</w:t>
      </w:r>
    </w:p>
    <w:p>
      <w:pPr>
        <w:pStyle w:val="FirstParagraph"/>
      </w:pPr>
      <w:r>
        <w:t xml:space="preserve">Pivot charts enable interactive and dynamic visualisations of pivot table data. By grouping dates and categories, users can quickly identify trends over time and across products.</w:t>
      </w:r>
    </w:p>
    <w:bookmarkEnd w:id="20"/>
    <w:bookmarkStart w:id="24" w:name="worked-example"/>
    <w:p>
      <w:pPr>
        <w:pStyle w:val="Heading2"/>
      </w:pPr>
      <w:r>
        <w:t xml:space="preserve">Worked Example</w:t>
      </w:r>
    </w:p>
    <w:p>
      <w:pPr>
        <w:pStyle w:val="FirstParagraph"/>
      </w:pPr>
      <w:r>
        <w:t xml:space="preserve">Below is a snapshot of the first few rows of the synthetic dataset and summary statistics:</w:t>
      </w:r>
    </w:p>
    <w:p>
      <w:pPr>
        <w:pStyle w:val="SourceCode"/>
      </w:pPr>
      <w:r>
        <w:rPr>
          <w:rStyle w:val="VerbatimChar"/>
        </w:rPr>
        <w:t xml:space="preserve">      Date Product Region    Sales  Quantity</w:t>
      </w:r>
      <w:r>
        <w:br/>
      </w:r>
      <w:r>
        <w:rPr>
          <w:rStyle w:val="VerbatimChar"/>
        </w:rPr>
        <w:t xml:space="preserve">2025-01-01  Laptop   East 35619.27       6.0</w:t>
      </w:r>
      <w:r>
        <w:br/>
      </w:r>
      <w:r>
        <w:rPr>
          <w:rStyle w:val="VerbatimChar"/>
        </w:rPr>
        <w:t xml:space="preserve">2025-01-02   Phone   West 52396.56      11.0</w:t>
      </w:r>
      <w:r>
        <w:br/>
      </w:r>
      <w:r>
        <w:rPr>
          <w:rStyle w:val="VerbatimChar"/>
        </w:rPr>
        <w:t xml:space="preserve">2025-01-03   Phone  North 44599.81      14.0</w:t>
      </w:r>
      <w:r>
        <w:br/>
      </w:r>
      <w:r>
        <w:rPr>
          <w:rStyle w:val="VerbatimChar"/>
        </w:rPr>
        <w:t xml:space="preserve">2025-01-04   Phone   East 62126.61      14.0</w:t>
      </w:r>
      <w:r>
        <w:br/>
      </w:r>
      <w:r>
        <w:rPr>
          <w:rStyle w:val="VerbatimChar"/>
        </w:rPr>
        <w:t xml:space="preserve">2025-01-05   Phone  North 49012.14      14.0</w:t>
      </w:r>
    </w:p>
    <w:bookmarkStart w:id="21" w:name="basic-statistics"/>
    <w:p>
      <w:pPr>
        <w:pStyle w:val="Heading3"/>
      </w:pPr>
      <w:r>
        <w:t xml:space="preserve">Basic Statistics</w:t>
      </w:r>
    </w:p>
    <w:p>
      <w:pPr>
        <w:numPr>
          <w:ilvl w:val="0"/>
          <w:numId w:val="1001"/>
        </w:numPr>
        <w:pStyle w:val="Compact"/>
      </w:pPr>
      <w:r>
        <w:t xml:space="preserve">Sales_mean: 49164.03</w:t>
      </w:r>
    </w:p>
    <w:p>
      <w:pPr>
        <w:numPr>
          <w:ilvl w:val="0"/>
          <w:numId w:val="1001"/>
        </w:numPr>
        <w:pStyle w:val="Compact"/>
      </w:pPr>
      <w:r>
        <w:t xml:space="preserve">Sales_median: 49440.92</w:t>
      </w:r>
    </w:p>
    <w:p>
      <w:pPr>
        <w:numPr>
          <w:ilvl w:val="0"/>
          <w:numId w:val="1001"/>
        </w:numPr>
        <w:pStyle w:val="Compact"/>
      </w:pPr>
      <w:r>
        <w:t xml:space="preserve">Sales_mode: 35619.27</w:t>
      </w:r>
    </w:p>
    <w:p>
      <w:pPr>
        <w:numPr>
          <w:ilvl w:val="0"/>
          <w:numId w:val="1001"/>
        </w:numPr>
        <w:pStyle w:val="Compact"/>
      </w:pPr>
      <w:r>
        <w:t xml:space="preserve">Sales_var: 160882983.18</w:t>
      </w:r>
    </w:p>
    <w:p>
      <w:pPr>
        <w:numPr>
          <w:ilvl w:val="0"/>
          <w:numId w:val="1001"/>
        </w:numPr>
        <w:pStyle w:val="Compact"/>
      </w:pPr>
      <w:r>
        <w:t xml:space="preserve">Sales_std: 12683.97</w:t>
      </w:r>
    </w:p>
    <w:p>
      <w:pPr>
        <w:numPr>
          <w:ilvl w:val="0"/>
          <w:numId w:val="1001"/>
        </w:numPr>
        <w:pStyle w:val="Compact"/>
      </w:pPr>
      <w:r>
        <w:t xml:space="preserve">Quantity_mean: 10.03</w:t>
      </w:r>
    </w:p>
    <w:p>
      <w:pPr>
        <w:numPr>
          <w:ilvl w:val="0"/>
          <w:numId w:val="1001"/>
        </w:numPr>
        <w:pStyle w:val="Compact"/>
      </w:pPr>
      <w:r>
        <w:t xml:space="preserve">Quantity_median: 10.00</w:t>
      </w:r>
    </w:p>
    <w:p>
      <w:pPr>
        <w:numPr>
          <w:ilvl w:val="0"/>
          <w:numId w:val="1001"/>
        </w:numPr>
        <w:pStyle w:val="Compact"/>
      </w:pPr>
      <w:r>
        <w:t xml:space="preserve">Quantity_mode: 1.00</w:t>
      </w:r>
    </w:p>
    <w:p>
      <w:pPr>
        <w:numPr>
          <w:ilvl w:val="0"/>
          <w:numId w:val="1001"/>
        </w:numPr>
        <w:pStyle w:val="Compact"/>
      </w:pPr>
      <w:r>
        <w:t xml:space="preserve">Quantity_var: 30.92</w:t>
      </w:r>
    </w:p>
    <w:p>
      <w:pPr>
        <w:numPr>
          <w:ilvl w:val="0"/>
          <w:numId w:val="1001"/>
        </w:numPr>
        <w:pStyle w:val="Compact"/>
      </w:pPr>
      <w:r>
        <w:t xml:space="preserve">Quantity_std: 5.56</w:t>
      </w:r>
    </w:p>
    <w:bookmarkEnd w:id="21"/>
    <w:bookmarkStart w:id="22" w:name="correlation-matrix"/>
    <w:p>
      <w:pPr>
        <w:pStyle w:val="Heading3"/>
      </w:pPr>
      <w:r>
        <w:t xml:space="preserve">Correlation Matrix</w:t>
      </w:r>
    </w:p>
    <w:p>
      <w:pPr>
        <w:pStyle w:val="SourceCode"/>
      </w:pPr>
      <w:r>
        <w:rPr>
          <w:rStyle w:val="VerbatimChar"/>
        </w:rPr>
        <w:t xml:space="preserve">             Sales  Quantity</w:t>
      </w:r>
      <w:r>
        <w:br/>
      </w:r>
      <w:r>
        <w:rPr>
          <w:rStyle w:val="VerbatimChar"/>
        </w:rPr>
        <w:t xml:space="preserve">Sales     1.000000 -0.019124</w:t>
      </w:r>
      <w:r>
        <w:br/>
      </w:r>
      <w:r>
        <w:rPr>
          <w:rStyle w:val="VerbatimChar"/>
        </w:rPr>
        <w:t xml:space="preserve">Quantity -0.019124  1.000000</w:t>
      </w:r>
    </w:p>
    <w:bookmarkEnd w:id="22"/>
    <w:bookmarkStart w:id="23" w:name="visualisations"/>
    <w:p>
      <w:pPr>
        <w:pStyle w:val="Heading3"/>
      </w:pPr>
      <w:r>
        <w:t xml:space="preserve">Visualisations</w:t>
      </w:r>
    </w:p>
    <w:p>
      <w:pPr>
        <w:pStyle w:val="FirstParagraph"/>
      </w:pPr>
      <w:r>
        <w:t xml:space="preserve">An example plot is saved in the results folder as</w:t>
      </w:r>
      <w:r>
        <w:t xml:space="preserve"> </w:t>
      </w:r>
      <w:r>
        <w:rPr>
          <w:rStyle w:val="VerbatimChar"/>
        </w:rPr>
        <w:t xml:space="preserve">P05_plot1.png</w:t>
      </w:r>
      <w:r>
        <w:t xml:space="preserve">.</w:t>
      </w:r>
    </w:p>
    <w:bookmarkEnd w:id="23"/>
    <w:bookmarkEnd w:id="24"/>
    <w:bookmarkStart w:id="25" w:name="evaluation-rubric"/>
    <w:p>
      <w:pPr>
        <w:pStyle w:val="Heading2"/>
      </w:pPr>
      <w:r>
        <w:t xml:space="preserve">Evaluation Rubric</w:t>
      </w:r>
    </w:p>
    <w:p>
      <w:pPr>
        <w:numPr>
          <w:ilvl w:val="0"/>
          <w:numId w:val="1002"/>
        </w:numPr>
        <w:pStyle w:val="Compact"/>
      </w:pPr>
      <w:r>
        <w:t xml:space="preserve">Correct creation of pivot chart (40%)</w:t>
      </w:r>
      <w:r>
        <w:t xml:space="preserve">- Effective formatting and labelling (30%)</w:t>
      </w:r>
      <w:r>
        <w:t xml:space="preserve">- Insightful analysis of trends (20%)</w:t>
      </w:r>
      <w:r>
        <w:t xml:space="preserve">- Organisation of deliverables (10%)</w:t>
      </w:r>
    </w:p>
    <w:bookmarkEnd w:id="25"/>
    <w:bookmarkStart w:id="26" w:name="common-pitfalls"/>
    <w:p>
      <w:pPr>
        <w:pStyle w:val="Heading2"/>
      </w:pPr>
      <w:r>
        <w:t xml:space="preserve">Common Pitfalls</w:t>
      </w:r>
    </w:p>
    <w:p>
      <w:pPr>
        <w:pStyle w:val="FirstParagraph"/>
      </w:pPr>
      <w:r>
        <w:t xml:space="preserve">Choosing an inappropriate chart type or failing to label axes and legends properly.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2025-09-05T12:41:04Z</dcterms:created>
  <dcterms:modified xsi:type="dcterms:W3CDTF">2025-09-05T12:41:04Z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