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ff62e45610003ce819c918b47beabee9f45e476"/>
    <w:p>
      <w:pPr>
        <w:pStyle w:val="Heading1"/>
      </w:pPr>
      <w:r>
        <w:t xml:space="preserve">P06 Instructor &amp; Reference Guide – Simple Charts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Bar charts are useful for comparing discrete categories, line charts illustrate trends over an ordered axis, and histograms display the distribution of continuous variables.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Category  Value1  Value2</w:t>
      </w:r>
      <w:r>
        <w:br/>
      </w:r>
      <w:r>
        <w:rPr>
          <w:rStyle w:val="VerbatimChar"/>
        </w:rPr>
        <w:t xml:space="preserve">Category B   33.06   -5.31</w:t>
      </w:r>
      <w:r>
        <w:br/>
      </w:r>
      <w:r>
        <w:rPr>
          <w:rStyle w:val="VerbatimChar"/>
        </w:rPr>
        <w:t xml:space="preserve">Category A   39.93    9.05</w:t>
      </w:r>
      <w:r>
        <w:br/>
      </w:r>
      <w:r>
        <w:rPr>
          <w:rStyle w:val="VerbatimChar"/>
        </w:rPr>
        <w:t xml:space="preserve">Category C   48.19   -3.72</w:t>
      </w:r>
      <w:r>
        <w:br/>
      </w:r>
      <w:r>
        <w:rPr>
          <w:rStyle w:val="VerbatimChar"/>
        </w:rPr>
        <w:t xml:space="preserve">Category B   61.62   -0.44</w:t>
      </w:r>
      <w:r>
        <w:br/>
      </w:r>
      <w:r>
        <w:rPr>
          <w:rStyle w:val="VerbatimChar"/>
        </w:rPr>
        <w:t xml:space="preserve">Category B   35.60    1.06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Value1_mean: 50.64</w:t>
      </w:r>
    </w:p>
    <w:p>
      <w:pPr>
        <w:numPr>
          <w:ilvl w:val="0"/>
          <w:numId w:val="1001"/>
        </w:numPr>
        <w:pStyle w:val="Compact"/>
      </w:pPr>
      <w:r>
        <w:t xml:space="preserve">Value1_median: 50.08</w:t>
      </w:r>
    </w:p>
    <w:p>
      <w:pPr>
        <w:numPr>
          <w:ilvl w:val="0"/>
          <w:numId w:val="1001"/>
        </w:numPr>
        <w:pStyle w:val="Compact"/>
      </w:pPr>
      <w:r>
        <w:t xml:space="preserve">Value1_mode: 49.30</w:t>
      </w:r>
    </w:p>
    <w:p>
      <w:pPr>
        <w:numPr>
          <w:ilvl w:val="0"/>
          <w:numId w:val="1001"/>
        </w:numPr>
        <w:pStyle w:val="Compact"/>
      </w:pPr>
      <w:r>
        <w:t xml:space="preserve">Value1_var: 107.13</w:t>
      </w:r>
    </w:p>
    <w:p>
      <w:pPr>
        <w:numPr>
          <w:ilvl w:val="0"/>
          <w:numId w:val="1001"/>
        </w:numPr>
        <w:pStyle w:val="Compact"/>
      </w:pPr>
      <w:r>
        <w:t xml:space="preserve">Value1_std: 10.35</w:t>
      </w:r>
    </w:p>
    <w:p>
      <w:pPr>
        <w:numPr>
          <w:ilvl w:val="0"/>
          <w:numId w:val="1001"/>
        </w:numPr>
        <w:pStyle w:val="Compact"/>
      </w:pPr>
      <w:r>
        <w:t xml:space="preserve">Value2_mean: 37.14</w:t>
      </w:r>
    </w:p>
    <w:p>
      <w:pPr>
        <w:numPr>
          <w:ilvl w:val="0"/>
          <w:numId w:val="1001"/>
        </w:numPr>
        <w:pStyle w:val="Compact"/>
      </w:pPr>
      <w:r>
        <w:t xml:space="preserve">Value2_median: 37.40</w:t>
      </w:r>
    </w:p>
    <w:p>
      <w:pPr>
        <w:numPr>
          <w:ilvl w:val="0"/>
          <w:numId w:val="1001"/>
        </w:numPr>
        <w:pStyle w:val="Compact"/>
      </w:pPr>
      <w:r>
        <w:t xml:space="preserve">Value2_mode: 7.75</w:t>
      </w:r>
    </w:p>
    <w:p>
      <w:pPr>
        <w:numPr>
          <w:ilvl w:val="0"/>
          <w:numId w:val="1001"/>
        </w:numPr>
        <w:pStyle w:val="Compact"/>
      </w:pPr>
      <w:r>
        <w:t xml:space="preserve">Value2_var: 517.85</w:t>
      </w:r>
    </w:p>
    <w:p>
      <w:pPr>
        <w:numPr>
          <w:ilvl w:val="0"/>
          <w:numId w:val="1001"/>
        </w:numPr>
        <w:pStyle w:val="Compact"/>
      </w:pPr>
      <w:r>
        <w:t xml:space="preserve">Value2_std: 22.76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Value1    Value2</w:t>
      </w:r>
      <w:r>
        <w:br/>
      </w:r>
      <w:r>
        <w:rPr>
          <w:rStyle w:val="VerbatimChar"/>
        </w:rPr>
        <w:t xml:space="preserve">Value1  1.000000 -0.006886</w:t>
      </w:r>
      <w:r>
        <w:br/>
      </w:r>
      <w:r>
        <w:rPr>
          <w:rStyle w:val="VerbatimChar"/>
        </w:rPr>
        <w:t xml:space="preserve">Value2 -0.006886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P06_plot1.png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Clarity and correctness of charts (60%)</w:t>
      </w:r>
      <w:r>
        <w:t xml:space="preserve">- Appropriateness of chart selection (20%)</w:t>
      </w:r>
      <w:r>
        <w:t xml:space="preserve">- Quality of interpretation (20%)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Using too many categories on a bar chart, omitting axis labels, or choosing an inappropriate bin width for histograms.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2025-09-05T12:41:05Z</dcterms:created>
  <dcterms:modified xsi:type="dcterms:W3CDTF">2025-09-05T12:41:05Z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