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cbf53fd6347adeba3babd5b7adad51007ef31e7"/>
    <w:p>
      <w:pPr>
        <w:pStyle w:val="Heading1"/>
      </w:pPr>
      <w:r>
        <w:t xml:space="preserve">P07 Sample Solution Report – Chart Customisation</w:t>
      </w:r>
    </w:p>
    <w:bookmarkStart w:id="25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report summarises the methodology and key findings for the practical. All computations are based on the provided synthetic dataset.</w:t>
      </w:r>
    </w:p>
    <w:bookmarkStart w:id="20" w:name="dataset-snapshot"/>
    <w:p>
      <w:pPr>
        <w:pStyle w:val="Heading3"/>
      </w:pPr>
      <w:r>
        <w:t xml:space="preserve">Dataset Snapshot</w:t>
      </w:r>
    </w:p>
    <w:p>
      <w:pPr>
        <w:pStyle w:val="SourceCode"/>
      </w:pPr>
      <w:r>
        <w:rPr>
          <w:rStyle w:val="VerbatimChar"/>
        </w:rPr>
        <w:t xml:space="preserve">  Category  Value1  Value2</w:t>
      </w:r>
      <w:r>
        <w:br/>
      </w:r>
      <w:r>
        <w:rPr>
          <w:rStyle w:val="VerbatimChar"/>
        </w:rPr>
        <w:t xml:space="preserve">Category C   61.65    6.96</w:t>
      </w:r>
      <w:r>
        <w:br/>
      </w:r>
      <w:r>
        <w:rPr>
          <w:rStyle w:val="VerbatimChar"/>
        </w:rPr>
        <w:t xml:space="preserve">Category A   53.00   -8.06</w:t>
      </w:r>
      <w:r>
        <w:br/>
      </w:r>
      <w:r>
        <w:rPr>
          <w:rStyle w:val="VerbatimChar"/>
        </w:rPr>
        <w:t xml:space="preserve">Category B   52.71   -3.73</w:t>
      </w:r>
      <w:r>
        <w:br/>
      </w:r>
      <w:r>
        <w:rPr>
          <w:rStyle w:val="VerbatimChar"/>
        </w:rPr>
        <w:t xml:space="preserve">Category B   44.79   -6.02</w:t>
      </w:r>
      <w:r>
        <w:br/>
      </w:r>
      <w:r>
        <w:rPr>
          <w:rStyle w:val="VerbatimChar"/>
        </w:rPr>
        <w:t xml:space="preserve">Category C   44.38   -7.32</w:t>
      </w:r>
    </w:p>
    <w:bookmarkEnd w:id="20"/>
    <w:bookmarkStart w:id="21" w:name="summary-statistics"/>
    <w:p>
      <w:pPr>
        <w:pStyle w:val="Heading3"/>
      </w:pPr>
      <w:r>
        <w:t xml:space="preserve">Summary Statistics</w:t>
      </w:r>
    </w:p>
    <w:p>
      <w:pPr>
        <w:numPr>
          <w:ilvl w:val="0"/>
          <w:numId w:val="1001"/>
        </w:numPr>
        <w:pStyle w:val="Compact"/>
      </w:pPr>
      <w:r>
        <w:t xml:space="preserve">Value1_mean: 50.09</w:t>
      </w:r>
    </w:p>
    <w:p>
      <w:pPr>
        <w:numPr>
          <w:ilvl w:val="0"/>
          <w:numId w:val="1001"/>
        </w:numPr>
        <w:pStyle w:val="Compact"/>
      </w:pPr>
      <w:r>
        <w:t xml:space="preserve">Value1_median: 49.48</w:t>
      </w:r>
    </w:p>
    <w:p>
      <w:pPr>
        <w:numPr>
          <w:ilvl w:val="0"/>
          <w:numId w:val="1001"/>
        </w:numPr>
        <w:pStyle w:val="Compact"/>
      </w:pPr>
      <w:r>
        <w:t xml:space="preserve">Value1_mode: 34.82</w:t>
      </w:r>
    </w:p>
    <w:p>
      <w:pPr>
        <w:numPr>
          <w:ilvl w:val="0"/>
          <w:numId w:val="1001"/>
        </w:numPr>
        <w:pStyle w:val="Compact"/>
      </w:pPr>
      <w:r>
        <w:t xml:space="preserve">Value1_var: 97.78</w:t>
      </w:r>
    </w:p>
    <w:p>
      <w:pPr>
        <w:numPr>
          <w:ilvl w:val="0"/>
          <w:numId w:val="1001"/>
        </w:numPr>
        <w:pStyle w:val="Compact"/>
      </w:pPr>
      <w:r>
        <w:t xml:space="preserve">Value1_std: 9.89</w:t>
      </w:r>
    </w:p>
    <w:p>
      <w:pPr>
        <w:numPr>
          <w:ilvl w:val="0"/>
          <w:numId w:val="1001"/>
        </w:numPr>
        <w:pStyle w:val="Compact"/>
      </w:pPr>
      <w:r>
        <w:t xml:space="preserve">Value2_mean: 36.57</w:t>
      </w:r>
    </w:p>
    <w:p>
      <w:pPr>
        <w:numPr>
          <w:ilvl w:val="0"/>
          <w:numId w:val="1001"/>
        </w:numPr>
        <w:pStyle w:val="Compact"/>
      </w:pPr>
      <w:r>
        <w:t xml:space="preserve">Value2_median: 35.39</w:t>
      </w:r>
    </w:p>
    <w:p>
      <w:pPr>
        <w:numPr>
          <w:ilvl w:val="0"/>
          <w:numId w:val="1001"/>
        </w:numPr>
        <w:pStyle w:val="Compact"/>
      </w:pPr>
      <w:r>
        <w:t xml:space="preserve">Value2_mode: 20.32</w:t>
      </w:r>
    </w:p>
    <w:p>
      <w:pPr>
        <w:numPr>
          <w:ilvl w:val="0"/>
          <w:numId w:val="1001"/>
        </w:numPr>
        <w:pStyle w:val="Compact"/>
      </w:pPr>
      <w:r>
        <w:t xml:space="preserve">Value2_var: 491.55</w:t>
      </w:r>
    </w:p>
    <w:p>
      <w:pPr>
        <w:numPr>
          <w:ilvl w:val="0"/>
          <w:numId w:val="1001"/>
        </w:numPr>
        <w:pStyle w:val="Compact"/>
      </w:pPr>
      <w:r>
        <w:t xml:space="preserve">Value2_std: 22.17</w:t>
      </w:r>
    </w:p>
    <w:bookmarkEnd w:id="21"/>
    <w:bookmarkStart w:id="22" w:name="correlation-matrix"/>
    <w:p>
      <w:pPr>
        <w:pStyle w:val="Heading3"/>
      </w:pPr>
      <w:r>
        <w:t xml:space="preserve">Correlation Matrix</w:t>
      </w:r>
    </w:p>
    <w:p>
      <w:pPr>
        <w:pStyle w:val="SourceCode"/>
      </w:pPr>
      <w:r>
        <w:rPr>
          <w:rStyle w:val="VerbatimChar"/>
        </w:rPr>
        <w:t xml:space="preserve">          Value1    Value2</w:t>
      </w:r>
      <w:r>
        <w:br/>
      </w:r>
      <w:r>
        <w:rPr>
          <w:rStyle w:val="VerbatimChar"/>
        </w:rPr>
        <w:t xml:space="preserve">Value1  1.000000 -0.033423</w:t>
      </w:r>
      <w:r>
        <w:br/>
      </w:r>
      <w:r>
        <w:rPr>
          <w:rStyle w:val="VerbatimChar"/>
        </w:rPr>
        <w:t xml:space="preserve">Value2 -0.033423  1.000000</w:t>
      </w:r>
    </w:p>
    <w:bookmarkEnd w:id="22"/>
    <w:bookmarkStart w:id="23" w:name="interpretation"/>
    <w:p>
      <w:pPr>
        <w:pStyle w:val="Heading3"/>
      </w:pPr>
      <w:r>
        <w:t xml:space="preserve">Interpretation</w:t>
      </w:r>
    </w:p>
    <w:p>
      <w:pPr>
        <w:pStyle w:val="FirstParagraph"/>
      </w:pPr>
      <w:r>
        <w:t xml:space="preserve">Comparison between bar and line charts reveals how trends are perceived differently. Additional labels and gridlines help to make precise value comparisons.</w:t>
      </w:r>
    </w:p>
    <w:bookmarkEnd w:id="23"/>
    <w:bookmarkStart w:id="24" w:name="validation-tips"/>
    <w:p>
      <w:pPr>
        <w:pStyle w:val="Heading3"/>
      </w:pPr>
      <w:r>
        <w:t xml:space="preserve">Validation Tips</w:t>
      </w:r>
    </w:p>
    <w:p>
      <w:pPr>
        <w:pStyle w:val="FirstParagraph"/>
      </w:pPr>
      <w:r>
        <w:t xml:space="preserve">Ensure the same data is used when comparing chart types. Avoid adding too many custom elements that may distract from the data.</w:t>
      </w: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2025-09-05T12:41:06Z</dcterms:created>
  <dcterms:modified xsi:type="dcterms:W3CDTF">2025-09-05T12:41:06Z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