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08-instructor-reference-guide-pie-chart"/>
    <w:p>
      <w:pPr>
        <w:pStyle w:val="Heading1"/>
      </w:pPr>
      <w:r>
        <w:t xml:space="preserve">P08 Instructor &amp; Reference Guide – Pie Chart</w:t>
      </w:r>
    </w:p>
    <w:bookmarkStart w:id="20" w:name="theory-brief"/>
    <w:p>
      <w:pPr>
        <w:pStyle w:val="Heading2"/>
      </w:pPr>
      <w:r>
        <w:t xml:space="preserve">Theory Brief</w:t>
      </w:r>
    </w:p>
    <w:p>
      <w:pPr>
        <w:pStyle w:val="FirstParagraph"/>
      </w:pPr>
      <w:r>
        <w:t xml:space="preserve">Pie charts show the relative proportions of a whole. They are best used when there are a small number of categories and the differences between segments are clear.</w:t>
      </w:r>
    </w:p>
    <w:bookmarkEnd w:id="20"/>
    <w:bookmarkStart w:id="23" w:name="worked-example"/>
    <w:p>
      <w:pPr>
        <w:pStyle w:val="Heading2"/>
      </w:pPr>
      <w:r>
        <w:t xml:space="preserve">Worked Example</w:t>
      </w:r>
    </w:p>
    <w:p>
      <w:pPr>
        <w:pStyle w:val="FirstParagraph"/>
      </w:pPr>
      <w:r>
        <w:t xml:space="preserve">Below is a snapshot of the first few rows of the synthetic dataset and summary statistics:</w:t>
      </w:r>
    </w:p>
    <w:p>
      <w:pPr>
        <w:pStyle w:val="SourceCode"/>
      </w:pPr>
      <w:r>
        <w:rPr>
          <w:rStyle w:val="VerbatimChar"/>
        </w:rPr>
        <w:t xml:space="preserve">  Segment  Count</w:t>
      </w:r>
      <w:r>
        <w:br/>
      </w:r>
      <w:r>
        <w:rPr>
          <w:rStyle w:val="VerbatimChar"/>
        </w:rPr>
        <w:t xml:space="preserve">Segment A    171</w:t>
      </w:r>
      <w:r>
        <w:br/>
      </w:r>
      <w:r>
        <w:rPr>
          <w:rStyle w:val="VerbatimChar"/>
        </w:rPr>
        <w:t xml:space="preserve">Segment B    177</w:t>
      </w:r>
      <w:r>
        <w:br/>
      </w:r>
      <w:r>
        <w:rPr>
          <w:rStyle w:val="VerbatimChar"/>
        </w:rPr>
        <w:t xml:space="preserve">Segment C     95</w:t>
      </w:r>
      <w:r>
        <w:br/>
      </w:r>
      <w:r>
        <w:rPr>
          <w:rStyle w:val="VerbatimChar"/>
        </w:rPr>
        <w:t xml:space="preserve">Segment D    155</w:t>
      </w:r>
    </w:p>
    <w:bookmarkStart w:id="21" w:name="basic-statistics"/>
    <w:p>
      <w:pPr>
        <w:pStyle w:val="Heading3"/>
      </w:pPr>
      <w:r>
        <w:t xml:space="preserve">Basic Statistics</w:t>
      </w:r>
    </w:p>
    <w:p>
      <w:pPr>
        <w:numPr>
          <w:ilvl w:val="0"/>
          <w:numId w:val="1001"/>
        </w:numPr>
        <w:pStyle w:val="Compact"/>
      </w:pPr>
      <w:r>
        <w:t xml:space="preserve">Count_mean: 149.50</w:t>
      </w:r>
    </w:p>
    <w:p>
      <w:pPr>
        <w:numPr>
          <w:ilvl w:val="0"/>
          <w:numId w:val="1001"/>
        </w:numPr>
        <w:pStyle w:val="Compact"/>
      </w:pPr>
      <w:r>
        <w:t xml:space="preserve">Count_median: 163.00</w:t>
      </w:r>
    </w:p>
    <w:p>
      <w:pPr>
        <w:numPr>
          <w:ilvl w:val="0"/>
          <w:numId w:val="1001"/>
        </w:numPr>
        <w:pStyle w:val="Compact"/>
      </w:pPr>
      <w:r>
        <w:t xml:space="preserve">Count_mode: 95.00</w:t>
      </w:r>
    </w:p>
    <w:p>
      <w:pPr>
        <w:numPr>
          <w:ilvl w:val="0"/>
          <w:numId w:val="1001"/>
        </w:numPr>
        <w:pStyle w:val="Compact"/>
      </w:pPr>
      <w:r>
        <w:t xml:space="preserve">Count_var: 1406.33</w:t>
      </w:r>
    </w:p>
    <w:p>
      <w:pPr>
        <w:numPr>
          <w:ilvl w:val="0"/>
          <w:numId w:val="1001"/>
        </w:numPr>
        <w:pStyle w:val="Compact"/>
      </w:pPr>
      <w:r>
        <w:t xml:space="preserve">Count_std: 37.50</w:t>
      </w:r>
    </w:p>
    <w:bookmarkEnd w:id="21"/>
    <w:bookmarkStart w:id="22" w:name="visualisations"/>
    <w:p>
      <w:pPr>
        <w:pStyle w:val="Heading3"/>
      </w:pPr>
      <w:r>
        <w:t xml:space="preserve">Visualisations</w:t>
      </w:r>
    </w:p>
    <w:p>
      <w:pPr>
        <w:pStyle w:val="FirstParagraph"/>
      </w:pPr>
      <w:r>
        <w:t xml:space="preserve">An example plot is saved in the results folder as</w:t>
      </w:r>
      <w:r>
        <w:t xml:space="preserve"> </w:t>
      </w:r>
      <w:r>
        <w:rPr>
          <w:rStyle w:val="VerbatimChar"/>
        </w:rPr>
        <w:t xml:space="preserve">P08_plot1.png</w:t>
      </w:r>
      <w:r>
        <w:t xml:space="preserve">.</w:t>
      </w:r>
    </w:p>
    <w:bookmarkEnd w:id="22"/>
    <w:bookmarkEnd w:id="23"/>
    <w:bookmarkStart w:id="24" w:name="evaluation-rubric"/>
    <w:p>
      <w:pPr>
        <w:pStyle w:val="Heading2"/>
      </w:pPr>
      <w:r>
        <w:t xml:space="preserve">Evaluation Rubric</w:t>
      </w:r>
    </w:p>
    <w:p>
      <w:pPr>
        <w:numPr>
          <w:ilvl w:val="0"/>
          <w:numId w:val="1002"/>
        </w:numPr>
        <w:pStyle w:val="Compact"/>
      </w:pPr>
      <w:r>
        <w:t xml:space="preserve">Proper creation and labelling of pie chart (50%)</w:t>
      </w:r>
      <w:r>
        <w:t xml:space="preserve">- Correct calculation of percentages (20%)</w:t>
      </w:r>
      <w:r>
        <w:t xml:space="preserve">- Quality of discussion on chart appropriateness (20%)</w:t>
      </w:r>
      <w:r>
        <w:t xml:space="preserve">- Organisation of report (10%)</w:t>
      </w:r>
    </w:p>
    <w:bookmarkEnd w:id="24"/>
    <w:bookmarkStart w:id="25" w:name="common-pitfalls"/>
    <w:p>
      <w:pPr>
        <w:pStyle w:val="Heading2"/>
      </w:pPr>
      <w:r>
        <w:t xml:space="preserve">Common Pitfalls</w:t>
      </w:r>
    </w:p>
    <w:p>
      <w:pPr>
        <w:pStyle w:val="FirstParagraph"/>
      </w:pPr>
      <w:r>
        <w:t xml:space="preserve">Using too many slices or colours can make pie charts hard to read; exploding too many slices can distract from the message.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2025-09-05T12:41:06Z</dcterms:created>
  <dcterms:modified xsi:type="dcterms:W3CDTF">2025-09-05T12:41:06Z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