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data-types-central-tendency-dispersion"/>
    <w:p>
      <w:pPr>
        <w:pStyle w:val="Heading1"/>
      </w:pPr>
      <w:r>
        <w:t xml:space="preserve">1.4 Data Types, Central Tendency &amp; Dispersion</w:t>
      </w:r>
    </w:p>
    <w:bookmarkStart w:id="20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Qualitative (categorical)</w:t>
      </w:r>
      <w:r>
        <w:t xml:space="preserve"> – Non‑numerical categories such as gender or product name.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Quantitative</w:t>
      </w:r>
      <w:r>
        <w:t xml:space="preserve"> – Numeric values that can be discrete (counts) or continuous (measurements).</w:t>
      </w:r>
    </w:p>
    <w:bookmarkEnd w:id="20"/>
    <w:bookmarkStart w:id="21" w:name="measures-of-central-tendency"/>
    <w:p>
      <w:pPr>
        <w:pStyle w:val="Heading2"/>
      </w:pPr>
      <w:r>
        <w:t xml:space="preserve">Measures of central tendency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Mean (average)</w:t>
      </w:r>
      <w:r>
        <w:t xml:space="preserve"> – Sum of all values divided by the number of observations【65710891574784†L24-L36】. The mean is sensitive to extreme values【65710891574784†L47-L64】.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Median</w:t>
      </w:r>
      <w:r>
        <w:t xml:space="preserve"> – The middle value when data are ordered from smallest to largest. When there is an even number of observations, it is the average of the two middle values.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Mode</w:t>
      </w:r>
      <w:r>
        <w:t xml:space="preserve"> – The most frequently occurring value.</w:t>
      </w:r>
    </w:p>
    <w:bookmarkEnd w:id="21"/>
    <w:bookmarkStart w:id="22" w:name="measures-of-dispersion"/>
    <w:p>
      <w:pPr>
        <w:pStyle w:val="Heading2"/>
      </w:pPr>
      <w:r>
        <w:t xml:space="preserve">Measures of dispersion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Range</w:t>
      </w:r>
      <w:r>
        <w:t xml:space="preserve"> – Difference between the maximum and minimum values【972379405084779†L182-L201】.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Variance</w:t>
      </w:r>
      <w:r>
        <w:t xml:space="preserve"> – Average of the squared deviations from the mean; quantifies variability【972379405084779†L203-L236】.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Standard deviation</w:t>
      </w:r>
      <w:r>
        <w:t xml:space="preserve"> – Square root of the variance; expresses spread in the same units as the data【972379405084779†L203-L236】.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Suppose the ages of five students are 19, 20, 21, 21 and 22.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mean</w:t>
      </w:r>
      <w:r>
        <w:t xml:space="preserve"> </w:t>
      </w:r>
      <w:r>
        <w:t xml:space="preserve">age is (19 + 20 + 21 + 21 + 22)/5 = 20.6 years.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median</w:t>
      </w:r>
      <w:r>
        <w:t xml:space="preserve"> </w:t>
      </w:r>
      <w:r>
        <w:t xml:space="preserve">age (middle value) is 21 years.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mode</w:t>
      </w:r>
      <w:r>
        <w:t xml:space="preserve"> </w:t>
      </w:r>
      <w:r>
        <w:t xml:space="preserve">is 21, since it appears most frequently.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range</w:t>
      </w:r>
      <w:r>
        <w:t xml:space="preserve"> </w:t>
      </w:r>
      <w:r>
        <w:t xml:space="preserve">is 22 − 19 = 3 years.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variance</w:t>
      </w:r>
      <w:r>
        <w:t xml:space="preserve"> </w:t>
      </w:r>
      <w:r>
        <w:t xml:space="preserve">is the average of squared deviations from the mean (≈1.04), and the standard deviation is the square root (≈1.02).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Measures of central tendency describe a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 in a dataset, while measures of dispersion describe how spread out the data are. Together they characterise the distribution and aid comparisons across datasets.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5"/>
        </w:numPr>
        <w:pStyle w:val="Compact"/>
      </w:pPr>
      <w:r>
        <w:t xml:space="preserve">When might the median be more appropriate than the mean?</w:t>
      </w:r>
    </w:p>
    <w:p>
      <w:pPr>
        <w:numPr>
          <w:ilvl w:val="0"/>
          <w:numId w:val="1005"/>
        </w:numPr>
        <w:pStyle w:val="Compact"/>
      </w:pPr>
      <w:r>
        <w:t xml:space="preserve">Explain how variance and standard deviation differ.</w:t>
      </w:r>
    </w:p>
    <w:p>
      <w:pPr>
        <w:numPr>
          <w:ilvl w:val="0"/>
          <w:numId w:val="1005"/>
        </w:numPr>
        <w:pStyle w:val="Compact"/>
      </w:pPr>
      <w:r>
        <w:t xml:space="preserve">Give an example of a discrete and a continuous quantitative variable.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2025-09-07T09:17:56Z</dcterms:created>
  <dcterms:modified xsi:type="dcterms:W3CDTF">2025-09-07T09:17:56Z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