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estimation-hypothesis-testing"/>
    <w:p>
      <w:pPr>
        <w:pStyle w:val="Heading1"/>
      </w:pPr>
      <w:r>
        <w:t xml:space="preserve">2.6 Estimation &amp; Hypothesis Testing</w:t>
      </w:r>
    </w:p>
    <w:bookmarkStart w:id="20" w:name="estimation"/>
    <w:p>
      <w:pPr>
        <w:pStyle w:val="Heading2"/>
      </w:pPr>
      <w:r>
        <w:t xml:space="preserve">Estimation</w:t>
      </w:r>
    </w:p>
    <w:p>
      <w:pPr>
        <w:pStyle w:val="FirstParagraph"/>
      </w:pPr>
      <w:r>
        <w:t xml:space="preserve">Estimation involves using sample data to approximate population parameters.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Point estimate</w:t>
      </w:r>
      <w:r>
        <w:t xml:space="preserve"> – A single best guess (e.g., sample mean) for an unknown parameter【333199965929234†L169-L177】.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Interval estimate (confidence interval)</w:t>
      </w:r>
      <w:r>
        <w:t xml:space="preserve"> – A range of values likely to contain the parameter with a specified confidence level (see Unit 1.5)【333199965929234†L169-L177】.</w:t>
      </w:r>
    </w:p>
    <w:bookmarkEnd w:id="20"/>
    <w:bookmarkStart w:id="21" w:name="hypothesis-testing"/>
    <w:p>
      <w:pPr>
        <w:pStyle w:val="Heading2"/>
      </w:pPr>
      <w:r>
        <w:t xml:space="preserve">Hypothesis testing</w:t>
      </w:r>
    </w:p>
    <w:p>
      <w:pPr>
        <w:pStyle w:val="FirstParagraph"/>
      </w:pPr>
      <w:r>
        <w:t xml:space="preserve">Hypothesis testing is a systematic method for evaluating claims about population parameters【722030731437478†L302-L331】. The steps are: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State hypotheses</w:t>
      </w:r>
      <w:r>
        <w:t xml:space="preserve"> – Formulate a null hypothesis (H₀) and an alternative hypothesis (H₁).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Collect data</w:t>
      </w:r>
      <w:r>
        <w:t xml:space="preserve"> </w:t>
      </w:r>
      <w:r>
        <w:t xml:space="preserve">and choose a significance level (α, e.g., 0.05).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Compute test statistic</w:t>
      </w:r>
      <w:r>
        <w:t xml:space="preserve"> </w:t>
      </w:r>
      <w:r>
        <w:t xml:space="preserve">and corresponding p‑value.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Decision rule</w:t>
      </w:r>
      <w:r>
        <w:t xml:space="preserve"> – If p ≤ α, reject H₀; otherwise, fail to reject H₀【722030731437478†L302-L331】.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Interpretation</w:t>
      </w:r>
      <w:r>
        <w:t xml:space="preserve"> – Explain the result in the context of the problem【722030731437478†L375-L417】.</w:t>
      </w:r>
    </w:p>
    <w:p>
      <w:pPr>
        <w:pStyle w:val="FirstParagraph"/>
      </w:pPr>
      <w:r>
        <w:t xml:space="preserve">Common tests include z‑tests, t‑tests, chi‑square tests and ANOVA. The choice depends on sample size, distribution and parameter of interest.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A manufacturer claims that light bulbs last an average of 1 000 hours. To test this, we sample 50 bulbs, calculate the sample mean and use a one‑sample t‑test to assess whether the mean lifetime differs from 1 000 hours.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Estimation provides approximate values for population parameters, while hypothesis testing evaluates specific claims. Both rely on sampling theory and require careful interpretation of p‑values and confidence levels【333199965929234†L169-L177】【722030731437478†L302-L331】.</w:t>
      </w:r>
    </w:p>
    <w:bookmarkEnd w:id="23"/>
    <w:bookmarkStart w:id="24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Describe the difference between the null and alternative hypotheses.</w:t>
      </w:r>
    </w:p>
    <w:p>
      <w:pPr>
        <w:numPr>
          <w:ilvl w:val="0"/>
          <w:numId w:val="1003"/>
        </w:numPr>
        <w:pStyle w:val="Compact"/>
      </w:pPr>
      <w:r>
        <w:t xml:space="preserve">Why is a low p‑value evidence against the null hypothesis?</w:t>
      </w:r>
    </w:p>
    <w:p>
      <w:pPr>
        <w:numPr>
          <w:ilvl w:val="0"/>
          <w:numId w:val="1003"/>
        </w:numPr>
        <w:pStyle w:val="Compact"/>
      </w:pPr>
      <w:r>
        <w:t xml:space="preserve">When would you use a t‑test instead of a z‑test?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bookmarkEnd w:id="26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2025-09-07T09:18:02Z</dcterms:created>
  <dcterms:modified xsi:type="dcterms:W3CDTF">2025-09-07T09:18:02Z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