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081" w:rsidRPr="007F6081" w:rsidRDefault="007F6081" w:rsidP="007F6081">
      <w:pPr>
        <w:ind w:left="0" w:firstLine="0"/>
        <w:jc w:val="center"/>
        <w:rPr>
          <w:rFonts w:asciiTheme="minorHAnsi" w:hAnsiTheme="minorHAnsi"/>
          <w:b/>
          <w:sz w:val="36"/>
          <w:szCs w:val="24"/>
        </w:rPr>
      </w:pPr>
      <w:r w:rsidRPr="007F6081">
        <w:rPr>
          <w:rFonts w:asciiTheme="minorHAnsi" w:hAnsiTheme="minorHAnsi"/>
          <w:b/>
          <w:sz w:val="36"/>
          <w:szCs w:val="24"/>
        </w:rPr>
        <w:t>Comparison of Securities: SBI, TCS &amp; CIPLA</w:t>
      </w:r>
    </w:p>
    <w:p w:rsidR="00A035A5" w:rsidRPr="00A035A5" w:rsidRDefault="007F6081" w:rsidP="007F6081">
      <w:pPr>
        <w:spacing w:after="0" w:line="259" w:lineRule="auto"/>
        <w:ind w:right="0" w:hanging="9"/>
        <w:jc w:val="center"/>
        <w:rPr>
          <w:sz w:val="32"/>
          <w:szCs w:val="32"/>
        </w:rPr>
      </w:pPr>
      <w:r w:rsidRPr="00A035A5">
        <w:rPr>
          <w:sz w:val="32"/>
          <w:szCs w:val="32"/>
        </w:rPr>
        <w:t xml:space="preserve"> </w:t>
      </w:r>
      <w:r w:rsidR="00A035A5" w:rsidRPr="00A035A5">
        <w:rPr>
          <w:sz w:val="32"/>
          <w:szCs w:val="32"/>
        </w:rPr>
        <w:t>(</w:t>
      </w:r>
      <w:r>
        <w:rPr>
          <w:b/>
          <w:bCs/>
          <w:sz w:val="32"/>
          <w:szCs w:val="32"/>
        </w:rPr>
        <w:t>Financial</w:t>
      </w:r>
      <w:r w:rsidR="00A035A5" w:rsidRPr="00A035A5">
        <w:rPr>
          <w:b/>
          <w:bCs/>
          <w:sz w:val="32"/>
          <w:szCs w:val="32"/>
        </w:rPr>
        <w:t xml:space="preserve"> Management</w:t>
      </w:r>
      <w:r w:rsidR="00A035A5" w:rsidRPr="00A035A5">
        <w:rPr>
          <w:sz w:val="32"/>
          <w:szCs w:val="32"/>
        </w:rPr>
        <w:t>)</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b/>
          <w:sz w:val="28"/>
        </w:rPr>
        <w:t xml:space="preserve"> </w:t>
      </w:r>
    </w:p>
    <w:p w:rsidR="00A035A5" w:rsidRDefault="00A035A5" w:rsidP="00A035A5">
      <w:pPr>
        <w:spacing w:after="0" w:line="259" w:lineRule="auto"/>
        <w:ind w:left="11" w:right="0"/>
        <w:jc w:val="center"/>
      </w:pPr>
    </w:p>
    <w:p w:rsidR="007F6081" w:rsidRDefault="00A035A5" w:rsidP="00A035A5">
      <w:pPr>
        <w:spacing w:after="0" w:line="259" w:lineRule="auto"/>
        <w:ind w:left="70" w:right="0" w:firstLine="0"/>
        <w:jc w:val="center"/>
        <w:rPr>
          <w:sz w:val="28"/>
          <w:szCs w:val="28"/>
        </w:rPr>
      </w:pPr>
      <w:r w:rsidRPr="00A035A5">
        <w:rPr>
          <w:sz w:val="28"/>
          <w:szCs w:val="28"/>
        </w:rPr>
        <w:t>Aakash Khandelwal</w:t>
      </w:r>
      <w:r w:rsidRPr="00A035A5">
        <w:rPr>
          <w:sz w:val="28"/>
          <w:szCs w:val="28"/>
        </w:rPr>
        <w:tab/>
      </w:r>
      <w:r>
        <w:rPr>
          <w:sz w:val="28"/>
          <w:szCs w:val="28"/>
        </w:rPr>
        <w:t xml:space="preserve"> </w:t>
      </w:r>
      <w:r w:rsidRPr="00A035A5">
        <w:rPr>
          <w:sz w:val="28"/>
          <w:szCs w:val="28"/>
        </w:rPr>
        <w:t xml:space="preserve"> </w:t>
      </w:r>
      <w:r w:rsidR="00616032">
        <w:rPr>
          <w:sz w:val="28"/>
          <w:szCs w:val="28"/>
        </w:rPr>
        <w:t xml:space="preserve"> </w:t>
      </w:r>
      <w:r w:rsidRPr="00A035A5">
        <w:rPr>
          <w:sz w:val="28"/>
          <w:szCs w:val="28"/>
        </w:rPr>
        <w:t xml:space="preserve">2012IPG-001    </w:t>
      </w:r>
      <w:r w:rsidRPr="00A035A5">
        <w:rPr>
          <w:sz w:val="28"/>
          <w:szCs w:val="28"/>
        </w:rPr>
        <w:br/>
        <w:t xml:space="preserve">Anshika Singh </w:t>
      </w:r>
      <w:r w:rsidRPr="00A035A5">
        <w:rPr>
          <w:sz w:val="28"/>
          <w:szCs w:val="28"/>
        </w:rPr>
        <w:tab/>
      </w:r>
      <w:r>
        <w:rPr>
          <w:sz w:val="28"/>
          <w:szCs w:val="28"/>
        </w:rPr>
        <w:t xml:space="preserve">             </w:t>
      </w:r>
      <w:r w:rsidR="00616032">
        <w:rPr>
          <w:sz w:val="28"/>
          <w:szCs w:val="28"/>
        </w:rPr>
        <w:t xml:space="preserve"> </w:t>
      </w:r>
      <w:r w:rsidRPr="00A035A5">
        <w:rPr>
          <w:sz w:val="28"/>
          <w:szCs w:val="28"/>
        </w:rPr>
        <w:t>2012IPG-017</w:t>
      </w:r>
    </w:p>
    <w:p w:rsidR="00A035A5" w:rsidRPr="00A035A5" w:rsidRDefault="007F6081" w:rsidP="007F6081">
      <w:pPr>
        <w:spacing w:after="0" w:line="259" w:lineRule="auto"/>
        <w:ind w:left="70" w:right="0" w:firstLine="0"/>
      </w:pPr>
      <w:r>
        <w:rPr>
          <w:sz w:val="28"/>
          <w:szCs w:val="28"/>
        </w:rPr>
        <w:t xml:space="preserve">                                </w:t>
      </w:r>
      <w:r w:rsidR="00616032">
        <w:rPr>
          <w:sz w:val="28"/>
          <w:szCs w:val="28"/>
        </w:rPr>
        <w:t xml:space="preserve"> </w:t>
      </w:r>
      <w:r>
        <w:rPr>
          <w:sz w:val="28"/>
          <w:szCs w:val="28"/>
        </w:rPr>
        <w:t xml:space="preserve"> Shubhankit Nigam              2015MBA-011</w:t>
      </w:r>
    </w:p>
    <w:p w:rsidR="00A035A5" w:rsidRDefault="00A035A5" w:rsidP="00A035A5">
      <w:pPr>
        <w:spacing w:after="0" w:line="259" w:lineRule="auto"/>
        <w:ind w:left="70" w:right="0" w:firstLine="0"/>
        <w:jc w:val="center"/>
      </w:pPr>
      <w:r w:rsidRPr="00A035A5">
        <w:tab/>
        <w:t xml:space="preserve">     </w:t>
      </w:r>
      <w:r w:rsidRPr="00A035A5">
        <w:tab/>
      </w:r>
      <w:r w:rsidRPr="00A035A5">
        <w:tab/>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1846" w:right="3871" w:firstLine="0"/>
        <w:jc w:val="left"/>
      </w:pPr>
      <w:r>
        <w:rPr>
          <w:sz w:val="28"/>
        </w:rPr>
        <w:t xml:space="preserve"> </w:t>
      </w:r>
    </w:p>
    <w:p w:rsidR="00A035A5" w:rsidRDefault="00A035A5" w:rsidP="00A035A5">
      <w:pPr>
        <w:spacing w:after="104" w:line="259" w:lineRule="auto"/>
        <w:ind w:left="3871" w:right="0" w:firstLine="0"/>
        <w:jc w:val="left"/>
      </w:pPr>
      <w:r>
        <w:rPr>
          <w:noProof/>
        </w:rPr>
        <w:drawing>
          <wp:inline distT="0" distB="0" distL="0" distR="0" wp14:anchorId="2D842D1C" wp14:editId="42C359FF">
            <wp:extent cx="1028700" cy="137160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
                    <a:stretch>
                      <a:fillRect/>
                    </a:stretch>
                  </pic:blipFill>
                  <pic:spPr>
                    <a:xfrm>
                      <a:off x="0" y="0"/>
                      <a:ext cx="1028700" cy="1371600"/>
                    </a:xfrm>
                    <a:prstGeom prst="rect">
                      <a:avLst/>
                    </a:prstGeom>
                  </pic:spPr>
                </pic:pic>
              </a:graphicData>
            </a:graphic>
          </wp:inline>
        </w:drawing>
      </w:r>
    </w:p>
    <w:p w:rsidR="00A035A5" w:rsidRDefault="00A035A5" w:rsidP="00A035A5">
      <w:pPr>
        <w:spacing w:after="0" w:line="259" w:lineRule="auto"/>
        <w:ind w:left="0" w:right="391" w:firstLine="0"/>
        <w:jc w:val="center"/>
      </w:pPr>
      <w:r>
        <w:rPr>
          <w:b/>
          <w:sz w:val="28"/>
        </w:rPr>
        <w:t xml:space="preserve"> </w:t>
      </w:r>
    </w:p>
    <w:p w:rsidR="00A035A5" w:rsidRDefault="00A035A5" w:rsidP="00A035A5">
      <w:pPr>
        <w:spacing w:after="0" w:line="259" w:lineRule="auto"/>
        <w:ind w:left="0" w:right="391" w:firstLine="0"/>
        <w:jc w:val="center"/>
      </w:pPr>
      <w:r>
        <w:rPr>
          <w:b/>
          <w:sz w:val="28"/>
        </w:rPr>
        <w:t xml:space="preserve"> </w:t>
      </w:r>
    </w:p>
    <w:p w:rsidR="00A035A5" w:rsidRDefault="00A035A5" w:rsidP="00A035A5">
      <w:pPr>
        <w:spacing w:after="0" w:line="259" w:lineRule="auto"/>
        <w:ind w:left="118" w:right="0"/>
        <w:jc w:val="left"/>
      </w:pPr>
      <w:r>
        <w:rPr>
          <w:b/>
          <w:sz w:val="28"/>
        </w:rPr>
        <w:t xml:space="preserve">ABV INDIAN INSTITUTE OF INFORMATION TECHNOLOGY AND </w:t>
      </w:r>
    </w:p>
    <w:p w:rsidR="00A035A5" w:rsidRDefault="00BF1B8D" w:rsidP="00A035A5">
      <w:pPr>
        <w:spacing w:after="0" w:line="259" w:lineRule="auto"/>
        <w:ind w:left="11" w:right="462"/>
        <w:jc w:val="center"/>
      </w:pPr>
      <w:r>
        <w:rPr>
          <w:b/>
          <w:sz w:val="28"/>
        </w:rPr>
        <w:t>MANAGEMENT GWALIOR-474 015</w:t>
      </w:r>
    </w:p>
    <w:p w:rsidR="00A035A5" w:rsidRDefault="00A035A5" w:rsidP="00A035A5">
      <w:pPr>
        <w:spacing w:after="0" w:line="259" w:lineRule="auto"/>
        <w:ind w:left="70" w:right="0" w:firstLine="0"/>
        <w:jc w:val="center"/>
      </w:pPr>
      <w:r>
        <w:rPr>
          <w:sz w:val="28"/>
        </w:rPr>
        <w:t xml:space="preserve"> </w:t>
      </w:r>
    </w:p>
    <w:p w:rsidR="00A035A5" w:rsidRDefault="00A035A5" w:rsidP="00A035A5">
      <w:pPr>
        <w:spacing w:after="0" w:line="259" w:lineRule="auto"/>
        <w:ind w:left="70" w:right="0" w:firstLine="0"/>
        <w:jc w:val="center"/>
      </w:pPr>
      <w:r>
        <w:rPr>
          <w:sz w:val="28"/>
        </w:rPr>
        <w:t xml:space="preserve"> </w:t>
      </w:r>
    </w:p>
    <w:p w:rsidR="00A035A5" w:rsidRDefault="00BF1B8D" w:rsidP="00A035A5">
      <w:pPr>
        <w:spacing w:after="0" w:line="259" w:lineRule="auto"/>
        <w:ind w:left="11" w:right="4"/>
        <w:jc w:val="center"/>
        <w:rPr>
          <w:sz w:val="28"/>
        </w:rPr>
      </w:pPr>
      <w:r>
        <w:rPr>
          <w:sz w:val="28"/>
        </w:rPr>
        <w:t>21</w:t>
      </w:r>
      <w:r>
        <w:rPr>
          <w:sz w:val="28"/>
          <w:vertAlign w:val="superscript"/>
        </w:rPr>
        <w:t>st</w:t>
      </w:r>
      <w:r w:rsidR="00A035A5">
        <w:rPr>
          <w:sz w:val="28"/>
        </w:rPr>
        <w:t xml:space="preserve"> April 2016 </w:t>
      </w:r>
    </w:p>
    <w:p w:rsidR="00B97A89" w:rsidRDefault="00B97A89" w:rsidP="00A035A5">
      <w:pPr>
        <w:spacing w:after="0" w:line="259" w:lineRule="auto"/>
        <w:ind w:left="11" w:right="4"/>
        <w:jc w:val="center"/>
        <w:rPr>
          <w:sz w:val="28"/>
        </w:rPr>
      </w:pPr>
    </w:p>
    <w:p w:rsidR="00B97A89" w:rsidRDefault="00B97A89" w:rsidP="00A035A5">
      <w:pPr>
        <w:spacing w:after="0" w:line="259" w:lineRule="auto"/>
        <w:ind w:left="11" w:right="4"/>
        <w:jc w:val="center"/>
        <w:rPr>
          <w:sz w:val="28"/>
        </w:rPr>
      </w:pPr>
    </w:p>
    <w:p w:rsidR="00B97A89" w:rsidRDefault="00B97A89" w:rsidP="00A035A5">
      <w:pPr>
        <w:spacing w:after="0" w:line="259" w:lineRule="auto"/>
        <w:ind w:left="11" w:right="4"/>
        <w:jc w:val="center"/>
        <w:rPr>
          <w:sz w:val="28"/>
        </w:rPr>
      </w:pPr>
    </w:p>
    <w:p w:rsidR="00B97A89" w:rsidRDefault="00B97A89" w:rsidP="00A035A5">
      <w:pPr>
        <w:spacing w:after="0" w:line="259" w:lineRule="auto"/>
        <w:ind w:left="11" w:right="4"/>
        <w:jc w:val="center"/>
        <w:rPr>
          <w:sz w:val="28"/>
        </w:rPr>
      </w:pPr>
    </w:p>
    <w:p w:rsidR="00B97A89" w:rsidRDefault="00B97A89" w:rsidP="00A035A5">
      <w:pPr>
        <w:spacing w:after="0" w:line="259" w:lineRule="auto"/>
        <w:ind w:left="11" w:right="4"/>
        <w:jc w:val="center"/>
        <w:rPr>
          <w:sz w:val="28"/>
        </w:rPr>
      </w:pPr>
    </w:p>
    <w:p w:rsidR="007F6081" w:rsidRDefault="007F6081" w:rsidP="007F6081">
      <w:pPr>
        <w:ind w:left="0" w:firstLine="0"/>
        <w:rPr>
          <w:rFonts w:asciiTheme="minorHAnsi" w:hAnsiTheme="minorHAnsi"/>
          <w:b/>
          <w:sz w:val="36"/>
          <w:szCs w:val="24"/>
        </w:rPr>
      </w:pPr>
      <w:bookmarkStart w:id="0" w:name="_Hlk449051020"/>
    </w:p>
    <w:p w:rsidR="00B97A89" w:rsidRPr="007F6081" w:rsidRDefault="00B97A89" w:rsidP="007F6081">
      <w:pPr>
        <w:ind w:left="0" w:firstLine="0"/>
        <w:rPr>
          <w:rFonts w:asciiTheme="minorHAnsi" w:hAnsiTheme="minorHAnsi"/>
          <w:b/>
          <w:sz w:val="36"/>
          <w:szCs w:val="24"/>
        </w:rPr>
      </w:pPr>
      <w:r w:rsidRPr="007F6081">
        <w:rPr>
          <w:rFonts w:asciiTheme="minorHAnsi" w:hAnsiTheme="minorHAnsi"/>
          <w:b/>
          <w:sz w:val="36"/>
          <w:szCs w:val="24"/>
        </w:rPr>
        <w:lastRenderedPageBreak/>
        <w:t>Comparison of Securities: SBI, TCS &amp; CIPLA</w:t>
      </w:r>
    </w:p>
    <w:bookmarkEnd w:id="0"/>
    <w:p w:rsidR="00B97A89" w:rsidRPr="007F6081" w:rsidRDefault="00B97A89" w:rsidP="00B97A89">
      <w:pPr>
        <w:rPr>
          <w:rFonts w:asciiTheme="minorHAnsi" w:hAnsiTheme="minorHAnsi"/>
          <w:szCs w:val="24"/>
        </w:rPr>
      </w:pPr>
      <w:r w:rsidRPr="007F6081">
        <w:rPr>
          <w:rFonts w:asciiTheme="minorHAnsi" w:hAnsiTheme="minorHAnsi"/>
          <w:szCs w:val="24"/>
        </w:rPr>
        <w:t>The closing values of the above mention securities was collected from 15</w:t>
      </w:r>
      <w:r w:rsidRPr="007F6081">
        <w:rPr>
          <w:rFonts w:asciiTheme="minorHAnsi" w:hAnsiTheme="minorHAnsi"/>
          <w:szCs w:val="24"/>
          <w:vertAlign w:val="superscript"/>
        </w:rPr>
        <w:t>th</w:t>
      </w:r>
      <w:r w:rsidRPr="007F6081">
        <w:rPr>
          <w:rFonts w:asciiTheme="minorHAnsi" w:hAnsiTheme="minorHAnsi"/>
          <w:szCs w:val="24"/>
        </w:rPr>
        <w:t xml:space="preserve"> January 2016 to 13</w:t>
      </w:r>
      <w:r w:rsidRPr="007F6081">
        <w:rPr>
          <w:rFonts w:asciiTheme="minorHAnsi" w:hAnsiTheme="minorHAnsi"/>
          <w:szCs w:val="24"/>
          <w:vertAlign w:val="superscript"/>
        </w:rPr>
        <w:t>Th</w:t>
      </w:r>
      <w:r w:rsidRPr="007F6081">
        <w:rPr>
          <w:rFonts w:asciiTheme="minorHAnsi" w:hAnsiTheme="minorHAnsi"/>
          <w:szCs w:val="24"/>
        </w:rPr>
        <w:t xml:space="preserve"> April,2016.Their returns were calculated and compared with the market [NIFTY 50].Their performance was analyzed and here are the observations:</w:t>
      </w:r>
    </w:p>
    <w:p w:rsidR="00B97A89" w:rsidRPr="007F6081" w:rsidRDefault="00B97A89" w:rsidP="00B97A89">
      <w:pPr>
        <w:rPr>
          <w:rFonts w:asciiTheme="minorHAnsi" w:hAnsiTheme="minorHAnsi"/>
          <w:szCs w:val="24"/>
        </w:rPr>
      </w:pPr>
      <w:r w:rsidRPr="007F6081">
        <w:rPr>
          <w:rFonts w:asciiTheme="minorHAnsi" w:hAnsiTheme="minorHAnsi"/>
          <w:b/>
          <w:bCs/>
          <w:szCs w:val="24"/>
        </w:rPr>
        <w:t xml:space="preserve">Introduction of the NIFTY50: </w:t>
      </w:r>
      <w:r w:rsidRPr="007F6081">
        <w:rPr>
          <w:rFonts w:asciiTheme="minorHAnsi" w:hAnsiTheme="minorHAnsi"/>
          <w:szCs w:val="24"/>
        </w:rPr>
        <w:t xml:space="preserve">The market performance for the last three months can be graphically displayed as </w:t>
      </w:r>
    </w:p>
    <w:p w:rsidR="00B97A89" w:rsidRPr="007F6081" w:rsidRDefault="00B97A89" w:rsidP="00B97A89">
      <w:pPr>
        <w:rPr>
          <w:rFonts w:asciiTheme="minorHAnsi" w:hAnsiTheme="minorHAnsi"/>
          <w:szCs w:val="24"/>
        </w:rPr>
      </w:pPr>
      <w:r w:rsidRPr="007F6081">
        <w:rPr>
          <w:rFonts w:asciiTheme="minorHAnsi" w:hAnsiTheme="minorHAnsi"/>
          <w:noProof/>
          <w:szCs w:val="24"/>
        </w:rPr>
        <w:drawing>
          <wp:inline distT="0" distB="0" distL="0" distR="0" wp14:anchorId="4C3B8F61" wp14:editId="23F84E36">
            <wp:extent cx="5295265" cy="221170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95265" cy="2211705"/>
                    </a:xfrm>
                    <a:prstGeom prst="rect">
                      <a:avLst/>
                    </a:prstGeom>
                    <a:noFill/>
                    <a:ln w="9525">
                      <a:noFill/>
                      <a:miter lim="800000"/>
                      <a:headEnd/>
                      <a:tailEnd/>
                    </a:ln>
                  </pic:spPr>
                </pic:pic>
              </a:graphicData>
            </a:graphic>
          </wp:inline>
        </w:drawing>
      </w:r>
    </w:p>
    <w:p w:rsidR="00B97A89" w:rsidRPr="007F6081" w:rsidRDefault="00B97A89" w:rsidP="00B97A89">
      <w:pPr>
        <w:rPr>
          <w:rFonts w:asciiTheme="minorHAnsi" w:hAnsiTheme="minorHAnsi"/>
          <w:szCs w:val="24"/>
        </w:rPr>
      </w:pPr>
      <w:r w:rsidRPr="007F6081">
        <w:rPr>
          <w:rFonts w:asciiTheme="minorHAnsi" w:hAnsiTheme="minorHAnsi"/>
          <w:szCs w:val="24"/>
        </w:rPr>
        <w:t>In these three months, the market reached an all low of 6970.6 points on 25</w:t>
      </w:r>
      <w:r w:rsidRPr="007F6081">
        <w:rPr>
          <w:rFonts w:asciiTheme="minorHAnsi" w:hAnsiTheme="minorHAnsi"/>
          <w:szCs w:val="24"/>
          <w:vertAlign w:val="superscript"/>
        </w:rPr>
        <w:t>th</w:t>
      </w:r>
      <w:r w:rsidRPr="007F6081">
        <w:rPr>
          <w:rFonts w:asciiTheme="minorHAnsi" w:hAnsiTheme="minorHAnsi"/>
          <w:szCs w:val="24"/>
        </w:rPr>
        <w:t xml:space="preserve"> February, 2016.Although after that, the market has been growing and has been rather consistent.</w:t>
      </w:r>
    </w:p>
    <w:p w:rsidR="00B97A89" w:rsidRPr="007F6081" w:rsidRDefault="00B97A89" w:rsidP="00B97A89">
      <w:pPr>
        <w:rPr>
          <w:rFonts w:asciiTheme="minorHAnsi" w:hAnsiTheme="minorHAnsi"/>
          <w:b/>
          <w:bCs/>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7F6081" w:rsidRPr="007F6081" w:rsidRDefault="007F6081" w:rsidP="00B97A89">
      <w:pPr>
        <w:rPr>
          <w:rFonts w:asciiTheme="minorHAnsi" w:hAnsiTheme="minorHAnsi"/>
          <w:b/>
          <w:bCs/>
          <w:color w:val="000000" w:themeColor="text1"/>
          <w:szCs w:val="24"/>
        </w:rPr>
      </w:pPr>
    </w:p>
    <w:p w:rsidR="007F6081" w:rsidRPr="007F6081" w:rsidRDefault="007F6081" w:rsidP="00B97A89">
      <w:pPr>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B97A89" w:rsidP="00BC7E12">
      <w:pPr>
        <w:ind w:left="0" w:firstLine="0"/>
        <w:rPr>
          <w:rFonts w:asciiTheme="minorHAnsi" w:hAnsiTheme="minorHAnsi"/>
          <w:b/>
          <w:bCs/>
          <w:color w:val="000000" w:themeColor="text1"/>
          <w:szCs w:val="24"/>
        </w:rPr>
      </w:pPr>
    </w:p>
    <w:p w:rsidR="00B97A89" w:rsidRPr="007F6081" w:rsidRDefault="00B97A89" w:rsidP="00B97A89">
      <w:pPr>
        <w:rPr>
          <w:rFonts w:asciiTheme="minorHAnsi" w:hAnsiTheme="minorHAnsi"/>
          <w:b/>
          <w:bCs/>
          <w:color w:val="000000" w:themeColor="text1"/>
          <w:szCs w:val="24"/>
        </w:rPr>
      </w:pPr>
    </w:p>
    <w:p w:rsidR="00B97A89" w:rsidRPr="007F6081" w:rsidRDefault="007F6081" w:rsidP="00B97A89">
      <w:pPr>
        <w:rPr>
          <w:rFonts w:asciiTheme="minorHAnsi" w:hAnsiTheme="minorHAnsi"/>
          <w:b/>
          <w:bCs/>
          <w:color w:val="000000" w:themeColor="text1"/>
          <w:szCs w:val="24"/>
        </w:rPr>
      </w:pPr>
      <w:r w:rsidRPr="007F6081">
        <w:rPr>
          <w:rFonts w:asciiTheme="minorHAnsi" w:hAnsiTheme="minorHAnsi"/>
          <w:b/>
          <w:bCs/>
          <w:color w:val="000000" w:themeColor="text1"/>
          <w:szCs w:val="24"/>
        </w:rPr>
        <w:t>SBI:</w:t>
      </w:r>
    </w:p>
    <w:p w:rsidR="00B97A89" w:rsidRPr="007F6081" w:rsidRDefault="00B97A89" w:rsidP="00B97A89">
      <w:pPr>
        <w:rPr>
          <w:rFonts w:asciiTheme="minorHAnsi" w:hAnsiTheme="minorHAnsi"/>
          <w:b/>
          <w:bCs/>
          <w:color w:val="000000" w:themeColor="text1"/>
          <w:szCs w:val="24"/>
        </w:rPr>
      </w:pPr>
      <w:r w:rsidRPr="007F6081">
        <w:rPr>
          <w:rFonts w:asciiTheme="minorHAnsi" w:hAnsiTheme="minorHAnsi"/>
          <w:b/>
          <w:bCs/>
          <w:noProof/>
          <w:color w:val="000000" w:themeColor="text1"/>
          <w:szCs w:val="24"/>
        </w:rPr>
        <w:drawing>
          <wp:inline distT="0" distB="0" distL="0" distR="0" wp14:anchorId="07DD3C85" wp14:editId="4D67780F">
            <wp:extent cx="5943600" cy="39909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990996"/>
                    </a:xfrm>
                    <a:prstGeom prst="rect">
                      <a:avLst/>
                    </a:prstGeom>
                    <a:noFill/>
                    <a:ln w="9525">
                      <a:noFill/>
                      <a:miter lim="800000"/>
                      <a:headEnd/>
                      <a:tailEnd/>
                    </a:ln>
                  </pic:spPr>
                </pic:pic>
              </a:graphicData>
            </a:graphic>
          </wp:inline>
        </w:drawing>
      </w:r>
    </w:p>
    <w:p w:rsidR="00B97A89" w:rsidRPr="007F6081" w:rsidRDefault="00B97A89" w:rsidP="00B97A89">
      <w:pPr>
        <w:rPr>
          <w:rFonts w:asciiTheme="minorHAnsi" w:hAnsiTheme="minorHAnsi"/>
          <w:b/>
          <w:bCs/>
          <w:color w:val="000000" w:themeColor="text1"/>
          <w:szCs w:val="24"/>
        </w:rPr>
      </w:pPr>
      <w:r w:rsidRPr="007F6081">
        <w:rPr>
          <w:rFonts w:asciiTheme="minorHAnsi" w:hAnsiTheme="minorHAnsi"/>
          <w:color w:val="000000" w:themeColor="text1"/>
          <w:szCs w:val="24"/>
        </w:rPr>
        <w:t xml:space="preserve">SBI being one of the top national banks in India has shown quite a consistent trend in the stock market. With the mean returns being </w:t>
      </w:r>
      <w:r w:rsidRPr="007F6081">
        <w:rPr>
          <w:rFonts w:asciiTheme="minorHAnsi" w:hAnsiTheme="minorHAnsi"/>
          <w:b/>
          <w:bCs/>
          <w:color w:val="000000" w:themeColor="text1"/>
          <w:szCs w:val="24"/>
        </w:rPr>
        <w:t>0.1172606%,</w:t>
      </w:r>
      <w:r w:rsidRPr="007F6081">
        <w:rPr>
          <w:rFonts w:asciiTheme="minorHAnsi" w:hAnsiTheme="minorHAnsi"/>
          <w:color w:val="000000" w:themeColor="text1"/>
          <w:szCs w:val="24"/>
        </w:rPr>
        <w:t xml:space="preserve"> SBI returns have ranged from </w:t>
      </w:r>
      <w:r w:rsidRPr="007F6081">
        <w:rPr>
          <w:rFonts w:asciiTheme="minorHAnsi" w:hAnsiTheme="minorHAnsi"/>
          <w:b/>
          <w:bCs/>
          <w:color w:val="000000" w:themeColor="text1"/>
          <w:szCs w:val="24"/>
        </w:rPr>
        <w:t>-0.068215669 to 0.117864857.</w:t>
      </w:r>
      <w:r w:rsidRPr="007F6081">
        <w:rPr>
          <w:rFonts w:asciiTheme="minorHAnsi" w:hAnsiTheme="minorHAnsi"/>
          <w:color w:val="000000" w:themeColor="text1"/>
          <w:szCs w:val="24"/>
        </w:rPr>
        <w:t xml:space="preserve"> The maximum was reached on the day when the closing price was </w:t>
      </w:r>
      <w:r w:rsidRPr="007F6081">
        <w:rPr>
          <w:rFonts w:asciiTheme="minorHAnsi" w:hAnsiTheme="minorHAnsi"/>
          <w:b/>
          <w:bCs/>
          <w:color w:val="000000" w:themeColor="text1"/>
          <w:szCs w:val="24"/>
        </w:rPr>
        <w:t>181.15.</w:t>
      </w:r>
    </w:p>
    <w:p w:rsidR="00B97A89" w:rsidRPr="007F6081" w:rsidRDefault="00B97A89" w:rsidP="00B97A89">
      <w:pPr>
        <w:rPr>
          <w:rFonts w:asciiTheme="minorHAnsi" w:hAnsiTheme="minorHAnsi"/>
          <w:b/>
          <w:bCs/>
          <w:color w:val="000000" w:themeColor="text1"/>
          <w:szCs w:val="24"/>
          <w:lang w:bidi="hi-IN"/>
        </w:rPr>
      </w:pPr>
      <w:r w:rsidRPr="007F6081">
        <w:rPr>
          <w:rFonts w:asciiTheme="minorHAnsi" w:hAnsiTheme="minorHAnsi"/>
          <w:b/>
          <w:bCs/>
          <w:color w:val="000000" w:themeColor="text1"/>
          <w:szCs w:val="24"/>
        </w:rPr>
        <w:t xml:space="preserve">According to the </w:t>
      </w:r>
      <w:r w:rsidRPr="007F6081">
        <w:rPr>
          <w:rFonts w:asciiTheme="minorHAnsi" w:hAnsiTheme="minorHAnsi"/>
          <w:color w:val="000000" w:themeColor="text1"/>
          <w:szCs w:val="24"/>
        </w:rPr>
        <w:t>data, negative alpha of 0</w:t>
      </w:r>
      <w:r w:rsidRPr="007F6081">
        <w:rPr>
          <w:rFonts w:asciiTheme="minorHAnsi" w:hAnsiTheme="minorHAnsi"/>
          <w:b/>
          <w:bCs/>
          <w:color w:val="000000" w:themeColor="text1"/>
          <w:szCs w:val="24"/>
          <w:lang w:bidi="hi-IN"/>
        </w:rPr>
        <w:t xml:space="preserve">.000556924 </w:t>
      </w:r>
      <w:r w:rsidRPr="007F6081">
        <w:rPr>
          <w:rFonts w:asciiTheme="minorHAnsi" w:hAnsiTheme="minorHAnsi"/>
          <w:color w:val="000000" w:themeColor="text1"/>
          <w:szCs w:val="24"/>
        </w:rPr>
        <w:t xml:space="preserve">indicates an underperformance of SBI with respect to NIFTY50, whereas the beta is </w:t>
      </w:r>
      <w:r w:rsidRPr="007F6081">
        <w:rPr>
          <w:rFonts w:asciiTheme="minorHAnsi" w:hAnsiTheme="minorHAnsi"/>
          <w:b/>
          <w:bCs/>
          <w:color w:val="000000" w:themeColor="text1"/>
          <w:szCs w:val="24"/>
          <w:lang w:bidi="hi-IN"/>
        </w:rPr>
        <w:t xml:space="preserve">1.742816498 </w:t>
      </w:r>
      <w:r w:rsidRPr="007F6081">
        <w:rPr>
          <w:rFonts w:asciiTheme="minorHAnsi" w:hAnsiTheme="minorHAnsi"/>
          <w:color w:val="000000" w:themeColor="text1"/>
          <w:szCs w:val="24"/>
        </w:rPr>
        <w:t>, which proves that it's theoretically  more volatile—subject to big swings in prices or sales—than the market. The variability occurring in the returns of SBI explained by the market (explained by R</w:t>
      </w:r>
      <w:r w:rsidRPr="007F6081">
        <w:rPr>
          <w:rFonts w:asciiTheme="minorHAnsi" w:hAnsiTheme="minorHAnsi"/>
          <w:color w:val="000000" w:themeColor="text1"/>
          <w:szCs w:val="24"/>
          <w:vertAlign w:val="superscript"/>
        </w:rPr>
        <w:t>2</w:t>
      </w:r>
      <w:r w:rsidRPr="007F6081">
        <w:rPr>
          <w:rFonts w:asciiTheme="minorHAnsi" w:hAnsiTheme="minorHAnsi"/>
          <w:color w:val="000000" w:themeColor="text1"/>
          <w:szCs w:val="24"/>
        </w:rPr>
        <w:t xml:space="preserve">) is </w:t>
      </w:r>
      <w:r w:rsidRPr="007F6081">
        <w:rPr>
          <w:rFonts w:asciiTheme="minorHAnsi" w:hAnsiTheme="minorHAnsi"/>
          <w:b/>
          <w:bCs/>
          <w:color w:val="000000" w:themeColor="text1"/>
          <w:szCs w:val="24"/>
          <w:lang w:bidi="hi-IN"/>
        </w:rPr>
        <w:t>0.471750785</w:t>
      </w:r>
    </w:p>
    <w:p w:rsidR="00B97A89" w:rsidRPr="007F6081" w:rsidRDefault="00B97A89" w:rsidP="00B97A89">
      <w:pPr>
        <w:rPr>
          <w:rFonts w:asciiTheme="minorHAnsi" w:hAnsiTheme="minorHAnsi"/>
          <w:color w:val="000000" w:themeColor="text1"/>
          <w:szCs w:val="24"/>
          <w:lang w:bidi="hi-IN"/>
        </w:rPr>
      </w:pPr>
      <w:r w:rsidRPr="007F6081">
        <w:rPr>
          <w:rFonts w:asciiTheme="minorHAnsi" w:hAnsiTheme="minorHAnsi"/>
          <w:color w:val="000000" w:themeColor="text1"/>
          <w:szCs w:val="24"/>
          <w:lang w:bidi="hi-IN"/>
        </w:rPr>
        <w:t>We can also very well see that the share of unsystematic risk is more than that of systematic risks. This is a clear indication that the security can reduce its fare amount of risks and perform better.</w:t>
      </w:r>
    </w:p>
    <w:p w:rsidR="00B97A89" w:rsidRPr="007F6081" w:rsidRDefault="00B97A89" w:rsidP="00B97A89">
      <w:pPr>
        <w:rPr>
          <w:rFonts w:asciiTheme="minorHAnsi" w:hAnsiTheme="minorHAnsi"/>
          <w:b/>
          <w:bCs/>
          <w:color w:val="000000" w:themeColor="text1"/>
          <w:szCs w:val="24"/>
        </w:rPr>
      </w:pPr>
      <w:r w:rsidRPr="007F6081">
        <w:rPr>
          <w:rFonts w:asciiTheme="minorHAnsi" w:hAnsiTheme="minorHAnsi"/>
          <w:b/>
          <w:bCs/>
          <w:color w:val="000000" w:themeColor="text1"/>
          <w:szCs w:val="24"/>
        </w:rPr>
        <w:lastRenderedPageBreak/>
        <w:t>CIPLA</w:t>
      </w:r>
      <w:r w:rsidRPr="007F6081">
        <w:rPr>
          <w:rFonts w:asciiTheme="minorHAnsi" w:hAnsiTheme="minorHAnsi"/>
          <w:noProof/>
          <w:color w:val="000000" w:themeColor="text1"/>
          <w:szCs w:val="24"/>
        </w:rPr>
        <w:drawing>
          <wp:inline distT="0" distB="0" distL="0" distR="0" wp14:anchorId="1575A4B4" wp14:editId="5D3C4B48">
            <wp:extent cx="5943600" cy="341601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416014"/>
                    </a:xfrm>
                    <a:prstGeom prst="rect">
                      <a:avLst/>
                    </a:prstGeom>
                    <a:noFill/>
                    <a:ln w="9525">
                      <a:noFill/>
                      <a:miter lim="800000"/>
                      <a:headEnd/>
                      <a:tailEnd/>
                    </a:ln>
                  </pic:spPr>
                </pic:pic>
              </a:graphicData>
            </a:graphic>
          </wp:inline>
        </w:drawing>
      </w:r>
      <w:r w:rsidRPr="007F6081">
        <w:rPr>
          <w:rFonts w:asciiTheme="minorHAnsi" w:hAnsiTheme="minorHAnsi"/>
          <w:b/>
          <w:bCs/>
          <w:color w:val="000000" w:themeColor="text1"/>
          <w:szCs w:val="24"/>
        </w:rPr>
        <w:br/>
      </w:r>
      <w:r w:rsidR="007F6081" w:rsidRPr="007F6081">
        <w:rPr>
          <w:rFonts w:asciiTheme="minorHAnsi" w:hAnsiTheme="minorHAnsi"/>
          <w:color w:val="000000" w:themeColor="text1"/>
          <w:szCs w:val="24"/>
        </w:rPr>
        <w:t>CIPLA, a</w:t>
      </w:r>
      <w:r w:rsidRPr="007F6081">
        <w:rPr>
          <w:rFonts w:asciiTheme="minorHAnsi" w:hAnsiTheme="minorHAnsi"/>
          <w:color w:val="000000" w:themeColor="text1"/>
          <w:szCs w:val="24"/>
        </w:rPr>
        <w:t xml:space="preserve"> medical giant in the Indian market, has been showing some highly varied performance as compared to the market. With the mean returns being </w:t>
      </w:r>
      <w:r w:rsidRPr="007F6081">
        <w:rPr>
          <w:rFonts w:asciiTheme="minorHAnsi" w:hAnsiTheme="minorHAnsi"/>
          <w:b/>
          <w:bCs/>
          <w:color w:val="000000" w:themeColor="text1"/>
          <w:szCs w:val="24"/>
        </w:rPr>
        <w:t>-0.2809591%,</w:t>
      </w:r>
      <w:r w:rsidRPr="007F6081">
        <w:rPr>
          <w:rFonts w:asciiTheme="minorHAnsi" w:hAnsiTheme="minorHAnsi"/>
          <w:color w:val="000000" w:themeColor="text1"/>
          <w:szCs w:val="24"/>
        </w:rPr>
        <w:t xml:space="preserve"> CIPLA returns have ranged from </w:t>
      </w:r>
      <w:r w:rsidRPr="007F6081">
        <w:rPr>
          <w:rFonts w:asciiTheme="minorHAnsi" w:hAnsiTheme="minorHAnsi"/>
          <w:b/>
          <w:bCs/>
          <w:color w:val="000000" w:themeColor="text1"/>
          <w:szCs w:val="24"/>
        </w:rPr>
        <w:t xml:space="preserve">-0.042455584 to 0.035882994, </w:t>
      </w:r>
      <w:r w:rsidRPr="007F6081">
        <w:rPr>
          <w:rFonts w:asciiTheme="minorHAnsi" w:hAnsiTheme="minorHAnsi"/>
          <w:color w:val="000000" w:themeColor="text1"/>
          <w:szCs w:val="24"/>
        </w:rPr>
        <w:t xml:space="preserve">which is slightly higher than SBI. </w:t>
      </w:r>
    </w:p>
    <w:p w:rsidR="00B97A89" w:rsidRPr="007F6081" w:rsidRDefault="00B97A89" w:rsidP="00B97A89">
      <w:pPr>
        <w:rPr>
          <w:rFonts w:asciiTheme="minorHAnsi" w:hAnsiTheme="minorHAnsi"/>
          <w:b/>
          <w:bCs/>
          <w:color w:val="833C0B"/>
          <w:szCs w:val="24"/>
          <w:lang w:bidi="hi-IN"/>
        </w:rPr>
      </w:pPr>
      <w:r w:rsidRPr="007F6081">
        <w:rPr>
          <w:rFonts w:asciiTheme="minorHAnsi" w:hAnsiTheme="minorHAnsi"/>
          <w:color w:val="000000" w:themeColor="text1"/>
          <w:szCs w:val="24"/>
        </w:rPr>
        <w:t xml:space="preserve">According to the data, negative alpha of </w:t>
      </w:r>
      <w:r w:rsidRPr="007F6081">
        <w:rPr>
          <w:rFonts w:asciiTheme="minorHAnsi" w:hAnsiTheme="minorHAnsi"/>
          <w:b/>
          <w:bCs/>
          <w:color w:val="000000" w:themeColor="text1"/>
          <w:szCs w:val="24"/>
        </w:rPr>
        <w:t>0.003558618</w:t>
      </w:r>
      <w:r w:rsidRPr="007F6081">
        <w:rPr>
          <w:rFonts w:asciiTheme="minorHAnsi" w:hAnsiTheme="minorHAnsi"/>
          <w:color w:val="000000" w:themeColor="text1"/>
          <w:szCs w:val="24"/>
        </w:rPr>
        <w:t xml:space="preserve"> indicates an underperformance of CIPLA with respect to NIFTY50, whereas the beta is 0.754781528, which proves that the security experiences less severe price swings than the market. The variability occurring in the returns of CIPLA explained by the market (explained by R</w:t>
      </w:r>
      <w:r w:rsidRPr="007F6081">
        <w:rPr>
          <w:rFonts w:asciiTheme="minorHAnsi" w:hAnsiTheme="minorHAnsi"/>
          <w:color w:val="000000" w:themeColor="text1"/>
          <w:szCs w:val="24"/>
          <w:vertAlign w:val="superscript"/>
        </w:rPr>
        <w:t>2</w:t>
      </w:r>
      <w:r w:rsidRPr="007F6081">
        <w:rPr>
          <w:rFonts w:asciiTheme="minorHAnsi" w:hAnsiTheme="minorHAnsi"/>
          <w:color w:val="000000" w:themeColor="text1"/>
          <w:szCs w:val="24"/>
        </w:rPr>
        <w:t xml:space="preserve">) is </w:t>
      </w:r>
      <w:r w:rsidRPr="007F6081">
        <w:rPr>
          <w:rFonts w:asciiTheme="minorHAnsi" w:hAnsiTheme="minorHAnsi"/>
          <w:b/>
          <w:bCs/>
          <w:color w:val="000000" w:themeColor="text1"/>
          <w:szCs w:val="24"/>
          <w:lang w:bidi="hi-IN"/>
        </w:rPr>
        <w:t>0.331881997.</w:t>
      </w:r>
    </w:p>
    <w:p w:rsidR="00B97A89" w:rsidRPr="007F6081" w:rsidRDefault="00B97A89" w:rsidP="00B97A89">
      <w:pPr>
        <w:rPr>
          <w:rFonts w:asciiTheme="minorHAnsi" w:hAnsiTheme="minorHAnsi"/>
          <w:color w:val="000000" w:themeColor="text1"/>
          <w:szCs w:val="24"/>
          <w:lang w:bidi="hi-IN"/>
        </w:rPr>
      </w:pPr>
      <w:r w:rsidRPr="007F6081">
        <w:rPr>
          <w:rFonts w:asciiTheme="minorHAnsi" w:hAnsiTheme="minorHAnsi"/>
          <w:color w:val="000000" w:themeColor="text1"/>
          <w:szCs w:val="24"/>
          <w:lang w:bidi="hi-IN"/>
        </w:rPr>
        <w:t>As far as the risks are concerned, the amount of risks related to CIPLA is much less as compared to SBI. Here also, the share of unsystematic risk is more than that of systematic risks. This is a clear indication that the security can reduce its fare amount of risks and perform better.</w:t>
      </w:r>
    </w:p>
    <w:p w:rsidR="00B97A89" w:rsidRPr="007F6081" w:rsidRDefault="00B97A89" w:rsidP="00B97A89">
      <w:pPr>
        <w:rPr>
          <w:rFonts w:asciiTheme="minorHAnsi" w:hAnsiTheme="minorHAnsi"/>
          <w:color w:val="000000" w:themeColor="text1"/>
          <w:szCs w:val="24"/>
          <w:lang w:bidi="hi-IN"/>
        </w:rPr>
      </w:pPr>
    </w:p>
    <w:p w:rsidR="00B97A89" w:rsidRPr="007F6081" w:rsidRDefault="00B97A89" w:rsidP="00B97A89">
      <w:pPr>
        <w:rPr>
          <w:rFonts w:asciiTheme="minorHAnsi" w:hAnsiTheme="minorHAnsi"/>
          <w:color w:val="000000" w:themeColor="text1"/>
          <w:szCs w:val="24"/>
          <w:lang w:bidi="hi-IN"/>
        </w:rPr>
      </w:pPr>
    </w:p>
    <w:p w:rsidR="00B97A89" w:rsidRPr="007F6081" w:rsidRDefault="00B97A89" w:rsidP="00B97A89">
      <w:pPr>
        <w:rPr>
          <w:rFonts w:asciiTheme="minorHAnsi" w:hAnsiTheme="minorHAnsi"/>
          <w:color w:val="000000" w:themeColor="text1"/>
          <w:szCs w:val="24"/>
          <w:lang w:bidi="hi-IN"/>
        </w:rPr>
      </w:pPr>
    </w:p>
    <w:p w:rsidR="00B97A89" w:rsidRPr="007F6081" w:rsidRDefault="00B97A89" w:rsidP="00B97A89">
      <w:pPr>
        <w:rPr>
          <w:rFonts w:asciiTheme="minorHAnsi" w:hAnsiTheme="minorHAnsi"/>
          <w:color w:val="000000" w:themeColor="text1"/>
          <w:szCs w:val="24"/>
          <w:lang w:bidi="hi-IN"/>
        </w:rPr>
      </w:pPr>
    </w:p>
    <w:p w:rsidR="00B97A89" w:rsidRPr="007F6081" w:rsidRDefault="00B97A89" w:rsidP="00BC7E12">
      <w:pPr>
        <w:ind w:left="0" w:firstLine="0"/>
        <w:rPr>
          <w:rFonts w:asciiTheme="minorHAnsi" w:hAnsiTheme="minorHAnsi"/>
          <w:color w:val="000000" w:themeColor="text1"/>
          <w:szCs w:val="24"/>
          <w:lang w:bidi="hi-IN"/>
        </w:rPr>
      </w:pPr>
      <w:bookmarkStart w:id="1" w:name="_GoBack"/>
      <w:bookmarkEnd w:id="1"/>
    </w:p>
    <w:p w:rsidR="00B97A89" w:rsidRPr="007F6081" w:rsidRDefault="00B97A89" w:rsidP="00B97A89">
      <w:pPr>
        <w:rPr>
          <w:rFonts w:asciiTheme="minorHAnsi" w:hAnsiTheme="minorHAnsi"/>
          <w:b/>
          <w:bCs/>
          <w:color w:val="000000" w:themeColor="text1"/>
          <w:szCs w:val="24"/>
          <w:lang w:bidi="hi-IN"/>
        </w:rPr>
      </w:pPr>
      <w:r w:rsidRPr="007F6081">
        <w:rPr>
          <w:rFonts w:asciiTheme="minorHAnsi" w:hAnsiTheme="minorHAnsi"/>
          <w:b/>
          <w:bCs/>
          <w:color w:val="000000" w:themeColor="text1"/>
          <w:szCs w:val="24"/>
          <w:lang w:bidi="hi-IN"/>
        </w:rPr>
        <w:lastRenderedPageBreak/>
        <w:t>TCS</w:t>
      </w:r>
    </w:p>
    <w:p w:rsidR="00B97A89" w:rsidRPr="007F6081" w:rsidRDefault="00B97A89" w:rsidP="00B97A89">
      <w:pPr>
        <w:rPr>
          <w:rFonts w:asciiTheme="minorHAnsi" w:hAnsiTheme="minorHAnsi"/>
          <w:b/>
          <w:bCs/>
          <w:color w:val="000000" w:themeColor="text1"/>
          <w:szCs w:val="24"/>
          <w:lang w:bidi="hi-IN"/>
        </w:rPr>
      </w:pPr>
      <w:r w:rsidRPr="007F6081">
        <w:rPr>
          <w:rFonts w:asciiTheme="minorHAnsi" w:hAnsiTheme="minorHAnsi"/>
          <w:b/>
          <w:bCs/>
          <w:noProof/>
          <w:color w:val="000000" w:themeColor="text1"/>
          <w:szCs w:val="24"/>
        </w:rPr>
        <w:drawing>
          <wp:inline distT="0" distB="0" distL="0" distR="0" wp14:anchorId="6D20E457" wp14:editId="21E4DFFC">
            <wp:extent cx="5943600" cy="40282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4028229"/>
                    </a:xfrm>
                    <a:prstGeom prst="rect">
                      <a:avLst/>
                    </a:prstGeom>
                    <a:noFill/>
                    <a:ln w="9525">
                      <a:noFill/>
                      <a:miter lim="800000"/>
                      <a:headEnd/>
                      <a:tailEnd/>
                    </a:ln>
                  </pic:spPr>
                </pic:pic>
              </a:graphicData>
            </a:graphic>
          </wp:inline>
        </w:drawing>
      </w:r>
    </w:p>
    <w:p w:rsidR="00B97A89" w:rsidRPr="007F6081" w:rsidRDefault="00B97A89" w:rsidP="00B97A89">
      <w:pPr>
        <w:rPr>
          <w:rFonts w:asciiTheme="minorHAnsi" w:hAnsiTheme="minorHAnsi"/>
          <w:b/>
          <w:bCs/>
          <w:color w:val="000000" w:themeColor="text1"/>
          <w:szCs w:val="24"/>
        </w:rPr>
      </w:pPr>
      <w:r w:rsidRPr="007F6081">
        <w:rPr>
          <w:rFonts w:asciiTheme="minorHAnsi" w:hAnsiTheme="minorHAnsi"/>
          <w:color w:val="000000" w:themeColor="text1"/>
          <w:szCs w:val="24"/>
        </w:rPr>
        <w:t xml:space="preserve">TCS has been running quite in sync with the market for the past few months. With the mean returns being </w:t>
      </w:r>
      <w:r w:rsidRPr="007F6081">
        <w:rPr>
          <w:rFonts w:asciiTheme="minorHAnsi" w:hAnsiTheme="minorHAnsi"/>
          <w:b/>
          <w:bCs/>
          <w:color w:val="000000" w:themeColor="text1"/>
          <w:szCs w:val="24"/>
        </w:rPr>
        <w:t>0.198976%,</w:t>
      </w:r>
      <w:r w:rsidRPr="007F6081">
        <w:rPr>
          <w:rFonts w:asciiTheme="minorHAnsi" w:hAnsiTheme="minorHAnsi"/>
          <w:color w:val="000000" w:themeColor="text1"/>
          <w:szCs w:val="24"/>
        </w:rPr>
        <w:t xml:space="preserve"> TCS returns have ranged from </w:t>
      </w:r>
      <w:r w:rsidRPr="007F6081">
        <w:rPr>
          <w:rFonts w:asciiTheme="minorHAnsi" w:hAnsiTheme="minorHAnsi"/>
          <w:b/>
          <w:bCs/>
          <w:color w:val="000000" w:themeColor="text1"/>
          <w:szCs w:val="24"/>
        </w:rPr>
        <w:t>-0.034511945 to 0.045870085 which results in the highest range as compared to the other two securities.</w:t>
      </w:r>
      <w:r w:rsidRPr="007F6081">
        <w:rPr>
          <w:rFonts w:asciiTheme="minorHAnsi" w:hAnsiTheme="minorHAnsi"/>
          <w:color w:val="000000" w:themeColor="text1"/>
          <w:szCs w:val="24"/>
        </w:rPr>
        <w:t xml:space="preserve"> </w:t>
      </w:r>
    </w:p>
    <w:p w:rsidR="00B97A89" w:rsidRPr="007F6081" w:rsidRDefault="00B97A89" w:rsidP="00B97A89">
      <w:pPr>
        <w:rPr>
          <w:rFonts w:asciiTheme="minorHAnsi" w:hAnsiTheme="minorHAnsi"/>
          <w:b/>
          <w:bCs/>
          <w:color w:val="000000" w:themeColor="text1"/>
          <w:szCs w:val="24"/>
          <w:lang w:bidi="hi-IN"/>
        </w:rPr>
      </w:pPr>
      <w:r w:rsidRPr="007F6081">
        <w:rPr>
          <w:rFonts w:asciiTheme="minorHAnsi" w:hAnsiTheme="minorHAnsi"/>
          <w:color w:val="000000" w:themeColor="text1"/>
          <w:szCs w:val="24"/>
        </w:rPr>
        <w:t>According to the</w:t>
      </w:r>
      <w:r w:rsidRPr="007F6081">
        <w:rPr>
          <w:rFonts w:asciiTheme="minorHAnsi" w:hAnsiTheme="minorHAnsi"/>
          <w:b/>
          <w:bCs/>
          <w:color w:val="000000" w:themeColor="text1"/>
          <w:szCs w:val="24"/>
        </w:rPr>
        <w:t xml:space="preserve"> </w:t>
      </w:r>
      <w:r w:rsidRPr="007F6081">
        <w:rPr>
          <w:rFonts w:asciiTheme="minorHAnsi" w:hAnsiTheme="minorHAnsi"/>
          <w:color w:val="000000" w:themeColor="text1"/>
          <w:szCs w:val="24"/>
        </w:rPr>
        <w:t xml:space="preserve">data, alpha of </w:t>
      </w:r>
      <w:r w:rsidRPr="007F6081">
        <w:rPr>
          <w:rFonts w:asciiTheme="minorHAnsi" w:hAnsiTheme="minorHAnsi"/>
          <w:b/>
          <w:bCs/>
          <w:color w:val="000000" w:themeColor="text1"/>
          <w:szCs w:val="24"/>
        </w:rPr>
        <w:t xml:space="preserve">0.001126163 </w:t>
      </w:r>
      <w:r w:rsidRPr="007F6081">
        <w:rPr>
          <w:rFonts w:asciiTheme="minorHAnsi" w:hAnsiTheme="minorHAnsi"/>
          <w:color w:val="000000" w:themeColor="text1"/>
          <w:szCs w:val="24"/>
        </w:rPr>
        <w:t xml:space="preserve">indicates an outperformance of TCS with respect to NIFTY50, thus making it the only security among the three.  Whereas the beta is </w:t>
      </w:r>
      <w:r w:rsidRPr="007F6081">
        <w:rPr>
          <w:rFonts w:asciiTheme="minorHAnsi" w:hAnsiTheme="minorHAnsi"/>
          <w:b/>
          <w:bCs/>
          <w:color w:val="000000" w:themeColor="text1"/>
          <w:szCs w:val="24"/>
          <w:lang w:bidi="hi-IN"/>
        </w:rPr>
        <w:t>0.870230958,</w:t>
      </w:r>
      <w:r w:rsidRPr="007F6081">
        <w:rPr>
          <w:rFonts w:asciiTheme="minorHAnsi" w:hAnsiTheme="minorHAnsi"/>
          <w:color w:val="000000" w:themeColor="text1"/>
          <w:szCs w:val="24"/>
        </w:rPr>
        <w:t xml:space="preserve"> which proves TCS has experienced lesser risks as compared to SBI but is more risky as compared to CIPLA. The variability occurring in the returns of SBI explained by the market (explained by R</w:t>
      </w:r>
      <w:r w:rsidRPr="007F6081">
        <w:rPr>
          <w:rFonts w:asciiTheme="minorHAnsi" w:hAnsiTheme="minorHAnsi"/>
          <w:color w:val="000000" w:themeColor="text1"/>
          <w:szCs w:val="24"/>
          <w:vertAlign w:val="superscript"/>
        </w:rPr>
        <w:t>2</w:t>
      </w:r>
      <w:r w:rsidRPr="007F6081">
        <w:rPr>
          <w:rFonts w:asciiTheme="minorHAnsi" w:hAnsiTheme="minorHAnsi"/>
          <w:color w:val="000000" w:themeColor="text1"/>
          <w:szCs w:val="24"/>
        </w:rPr>
        <w:t xml:space="preserve">) is </w:t>
      </w:r>
      <w:r w:rsidRPr="007F6081">
        <w:rPr>
          <w:rFonts w:asciiTheme="minorHAnsi" w:hAnsiTheme="minorHAnsi"/>
          <w:b/>
          <w:bCs/>
          <w:color w:val="000000" w:themeColor="text1"/>
          <w:szCs w:val="24"/>
          <w:lang w:bidi="hi-IN"/>
        </w:rPr>
        <w:t>0.533336597</w:t>
      </w:r>
    </w:p>
    <w:p w:rsidR="00B97A89" w:rsidRPr="007F6081" w:rsidRDefault="00B97A89" w:rsidP="00B97A89">
      <w:pPr>
        <w:rPr>
          <w:rFonts w:asciiTheme="minorHAnsi" w:hAnsiTheme="minorHAnsi"/>
          <w:b/>
          <w:bCs/>
          <w:szCs w:val="24"/>
        </w:rPr>
      </w:pPr>
      <w:r w:rsidRPr="007F6081">
        <w:rPr>
          <w:rFonts w:asciiTheme="minorHAnsi" w:hAnsiTheme="minorHAnsi"/>
          <w:color w:val="000000" w:themeColor="text1"/>
          <w:szCs w:val="24"/>
          <w:lang w:bidi="hi-IN"/>
        </w:rPr>
        <w:t>The systematic risks of TCS is quite at par with the other securities but the unsystematic risks have the least figure in comparison to SBI and CIPLA.</w:t>
      </w:r>
    </w:p>
    <w:p w:rsidR="00B97A89" w:rsidRPr="00EA2845" w:rsidRDefault="00B97A89" w:rsidP="00B97A89">
      <w:pPr>
        <w:rPr>
          <w:szCs w:val="24"/>
        </w:rPr>
      </w:pPr>
    </w:p>
    <w:p w:rsidR="00B97A89" w:rsidRDefault="00B97A89" w:rsidP="00A035A5">
      <w:pPr>
        <w:spacing w:after="0" w:line="259" w:lineRule="auto"/>
        <w:ind w:left="11" w:right="4"/>
        <w:jc w:val="center"/>
      </w:pPr>
    </w:p>
    <w:p w:rsidR="00A035A5" w:rsidRDefault="00A035A5" w:rsidP="00A035A5">
      <w:pPr>
        <w:spacing w:after="0" w:line="259" w:lineRule="auto"/>
        <w:ind w:left="70" w:right="0" w:firstLine="0"/>
        <w:jc w:val="center"/>
      </w:pPr>
      <w:r>
        <w:rPr>
          <w:sz w:val="28"/>
        </w:rPr>
        <w:t xml:space="preserve"> </w:t>
      </w:r>
    </w:p>
    <w:p w:rsidR="00B97A89" w:rsidRDefault="00B97A89"/>
    <w:sectPr w:rsidR="00B9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A5"/>
    <w:rsid w:val="00135D30"/>
    <w:rsid w:val="001D5B09"/>
    <w:rsid w:val="00616032"/>
    <w:rsid w:val="007F6081"/>
    <w:rsid w:val="00917151"/>
    <w:rsid w:val="00A035A5"/>
    <w:rsid w:val="00B97A89"/>
    <w:rsid w:val="00BC7E12"/>
    <w:rsid w:val="00BF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2F8CC-34E7-4AA0-AA2E-9CE61FB2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081"/>
    <w:pPr>
      <w:spacing w:after="5" w:line="368"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2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khandelwal</dc:creator>
  <cp:keywords/>
  <dc:description/>
  <cp:lastModifiedBy>aakash khandelwal</cp:lastModifiedBy>
  <cp:revision>4</cp:revision>
  <dcterms:created xsi:type="dcterms:W3CDTF">2016-04-21T19:47:00Z</dcterms:created>
  <dcterms:modified xsi:type="dcterms:W3CDTF">2016-04-21T19:48:00Z</dcterms:modified>
</cp:coreProperties>
</file>