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Suggested Additions to Push Report to 85–90%</w:t>
      </w:r>
    </w:p>
    <w:p>
      <w:r>
        <w:t>This document consolidates all suggested improvements that can be made using only the data and results already contained in the submitted report. These additions are optional and intended to be revisited later.</w:t>
      </w:r>
    </w:p>
    <w:p>
      <w:pPr>
        <w:pStyle w:val="Heading2"/>
      </w:pPr>
      <w:r>
        <w:t>1. Analytic / Scaling Consistency Checks</w:t>
      </w:r>
    </w:p>
    <w:p>
      <w:r>
        <w:t>Diffusion Time-Scale Check:</w:t>
        <w:br/>
        <w:t>The characteristic time to reach steady state can be estimated from diffusion scaling as t_ss ~ L^2/(4α). Using the plate width L = 25 mm and the thermal diffusivity of copper (α = 1.1 × 10⁻⁴ m² s⁻¹), this gives t_ss ≈ 1.4 s. Figure 2 shows that the hotspot temperature approaches a plateau after approximately 1–2 s, consistent with this estimate. For steel, the estimated time to steady state is ≈ 8.3 s, which explains why only a quasi–steady state is reached within the 10 s simulation window.</w:t>
      </w:r>
    </w:p>
    <w:p>
      <w:r>
        <w:t>Domain Coverage Check:</w:t>
        <w:br/>
        <w:t>A diffusion length scale may be estimated as ℓ_d ~ √(α t_max). For copper at t_max = 10 s, ℓ_d ≈ 33 mm, which exceeds the plate width of 25 mm. This confirms that heat packets are expected to explore the full domain and reach the boundaries during the simulation, justifying the importance of the boundary conditions.</w:t>
      </w:r>
    </w:p>
    <w:p>
      <w:pPr>
        <w:pStyle w:val="Heading2"/>
      </w:pPr>
      <w:r>
        <w:t>2. Uncertainty Estimates Using Existing Monte Carlo Data</w:t>
      </w:r>
    </w:p>
    <w:p>
      <w:r>
        <w:t>Monte Carlo Uncertainty:</w:t>
        <w:br/>
        <w:t>Table 8 reports the standard deviation of the steady-state temperature for copper at N = 1500 packets as σ_T ≈ 2.9 °C. This value can be used as a representative 1σ uncertainty for steady-state temperatures throughout the analysis.</w:t>
      </w:r>
    </w:p>
    <w:p>
      <w:r>
        <w:t>Application to Injection-Rate Dependence:</w:t>
        <w:br/>
        <w:t>For Figure 4, vertical error bars of ±2.9 °C may be added to each data point. Within this uncertainty, the relationship between steady-state temperature and heat injection rate Q remains consistent with a linear scaling, supporting the fitted trend.</w:t>
      </w:r>
    </w:p>
    <w:p>
      <w:pPr>
        <w:pStyle w:val="Heading2"/>
      </w:pPr>
      <w:r>
        <w:t>3. Expanded Discussion Points</w:t>
      </w:r>
    </w:p>
    <w:p>
      <w:r>
        <w:t>Boundary-Condition Bias:</w:t>
        <w:br/>
        <w:t>Because the diffusion length scale exceeds the system size for high-diffusivity materials, absorbing boundary conditions disproportionately enhance heat removal for these materials. This effect likely leads to an overestimation of cooling efficiency for copper and silver, and should be considered when interpreting material comparisons.</w:t>
      </w:r>
    </w:p>
    <w:p>
      <w:r>
        <w:t>Interpretation of Linear Temperature Scaling:</w:t>
        <w:br/>
        <w:t>The observed linear dependence of steady-state temperature on heat injection rate arises naturally from the model structure. Heat injection is linear in Q, while heat removal occurs through linear stochastic processes (convection and boundary absorption). Consequently, the steady-state number of heat packets, and therefore the inferred temperature, scales linearly with Q.</w:t>
      </w:r>
    </w:p>
    <w:p>
      <w:r>
        <w:t>Role of Thermal Diffusivity vs Conductivity:</w:t>
        <w:br/>
        <w:t>The results show that thermal diffusivity α primarily controls the time required to reach steady state, whereas thermal conductivity κ determines the magnitude of the steady-state temperature. This separation of roles is consistent with the diffusion time-scale estimates and the temperature scaling relation used in the model.</w:t>
      </w:r>
    </w:p>
    <w:p>
      <w:pPr>
        <w:pStyle w:val="Heading2"/>
      </w:pPr>
      <w:r>
        <w:t>4. Explicit Modelling Assumptions</w:t>
      </w:r>
    </w:p>
    <w:p>
      <w:r>
        <w:t>- The heat sink is modelled as a two-dimensional square plate; three-dimensional fin geometries are neglected.</w:t>
      </w:r>
    </w:p>
    <w:p>
      <w:r>
        <w:t>- Absorbing boundary conditions approximate far-field heat loss and do not represent insulating edges.</w:t>
      </w:r>
    </w:p>
    <w:p>
      <w:r>
        <w:t>- Surface convection is represented by a uniform per-step removal probability.</w:t>
      </w:r>
    </w:p>
    <w:p>
      <w:r>
        <w:t>- The convection probability is calibrated empirically to match a representative copper operating temperature.</w:t>
      </w:r>
    </w:p>
    <w:p>
      <w:r>
        <w:t>- Heat packets are independent random walkers; packet–packet interactions are neglected.</w:t>
      </w:r>
    </w:p>
    <w:p>
      <w:r>
        <w:t>- Temperature is inferred from packet density using a phenomenological scaling relation.</w:t>
      </w:r>
    </w:p>
    <w:p>
      <w:r>
        <w:t>- Radiative heat loss and temperature-dependent material properties are neglected.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