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Final Alignment (doesn’t need to be in Appendix): </w:t>
      </w:r>
      <w:r w:rsidDel="00000000" w:rsidR="00000000" w:rsidRPr="00000000">
        <w:rPr>
          <w:rtl w:val="0"/>
        </w:rPr>
        <w:t xml:space="preserve">CladeMAFFTWCdone.fasta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Clade by clade alignment in MAFFT</w:t>
      </w:r>
      <w:r w:rsidDel="00000000" w:rsidR="00000000" w:rsidRPr="00000000">
        <w:rPr>
          <w:rtl w:val="0"/>
        </w:rPr>
        <w:t xml:space="preserve">: RAxML_bipartitions.CladeMAFTWCdone.rax.out (this is the tree used in the figure in the main paper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MAFFT alignment of all taxa simultaneously: </w:t>
      </w:r>
      <w:r w:rsidDel="00000000" w:rsidR="00000000" w:rsidRPr="00000000">
        <w:rPr>
          <w:rtl w:val="0"/>
        </w:rPr>
        <w:t xml:space="preserve">RAxML_bipartitions.PlastidGenomesNoIRaMAFFT.rax.out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