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AssureOne FAQ — Question &amp; Answer Review</w:t>
      </w:r>
    </w:p>
    <w:p>
      <w:pPr>
        <w:spacing w:after="200"/>
      </w:pPr>
      <w:r>
        <w:rPr>
          <w:i/>
          <w:iCs/>
        </w:rPr>
        <w:t xml:space="preserve">Every question and answer currently live across the AssureOne help center, grouped by product and topic. Edit or delete anything directly in this document, then send it back.</w:t>
      </w:r>
    </w:p>
    <w:p>
      <w:pPr>
        <w:pBdr>
          <w:bottom w:val="single" w:color="999999" w:sz="6"/>
        </w:pBdr>
        <w:spacing w:after="300"/>
      </w:pPr>
      <w:r>
        <w:rPr>
          <w:b/>
          <w:bCs/>
          <w:sz w:val="20"/>
          <w:szCs w:val="20"/>
        </w:rPr>
        <w:t xml:space="preserve">AssurePro: 173 questions   |   AssureBooks: 40 questions   |   AssureTax: 23 questions</w:t>
      </w:r>
    </w:p>
    <w:p>
      <w:r>
        <w:rPr>
          <w:b/>
          <w:bCs/>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00"/>
      </w:pPr>
      <w:r>
        <w:t xml:space="preserve">AssurePro  (173 questions)</w:t>
      </w:r>
    </w:p>
    <w:p>
      <w:pPr>
        <w:pStyle w:val="Heading2"/>
        <w:spacing w:after="80" w:before="200"/>
      </w:pPr>
      <w:r>
        <w:t xml:space="preserve">Platform  (11)</w:t>
      </w:r>
    </w:p>
    <w:p>
      <w:pPr>
        <w:spacing w:after="30" w:before="120"/>
      </w:pPr>
      <w:r>
        <w:rPr>
          <w:b/>
          <w:bCs/>
        </w:rPr>
        <w:t xml:space="preserve">1. What is AssureOne?</w:t>
      </w:r>
    </w:p>
    <w:p>
      <w:pPr>
        <w:spacing w:after="60"/>
        <w:ind w:left="360"/>
      </w:pPr>
      <w:r>
        <w:t xml:space="preserve">AssureOne is the firm's internal, AI-first platform for a CPA firm. It unifies practice management, bookkeeping, audit, and tax so client records, documents, and activity can remain connected instead of being re-entered in separate products. Firm staff use the product switcher to move between AssurePro for practice management, Assure Books for bookkeeping, Assure Audit for audit work, and Assure Tax for tax filings when those products are enabled. Clients do not work inside the staff-facing AssureOne workspace; they use the separate client portal or dedicated mobile app for activities such as reviewing requests, uploading files, communicating, signing documents, and paying invoices.</w:t>
      </w:r>
    </w:p>
    <w:p>
      <w:pPr>
        <w:spacing w:after="30" w:before="120"/>
      </w:pPr>
      <w:r>
        <w:rPr>
          <w:b/>
          <w:bCs/>
        </w:rPr>
        <w:t xml:space="preserve">2. What is AssurePro?</w:t>
      </w:r>
    </w:p>
    <w:p>
      <w:pPr>
        <w:spacing w:after="60"/>
        <w:ind w:left="360"/>
      </w:pPr>
      <w:r>
        <w:t xml:space="preserve">AssurePro is AssureOne's practice-management foundation. It brings together firm setup, team access, clients, prospects, documents, engagement workflows, engagement letters, time, billing, services, calendars, reports, communications, templates, integrations, and administrative settings.</w:t>
      </w:r>
    </w:p>
    <w:p>
      <w:pPr>
        <w:spacing w:after="30" w:before="120"/>
      </w:pPr>
      <w:r>
        <w:rPr>
          <w:b/>
          <w:bCs/>
        </w:rPr>
        <w:t xml:space="preserve">3. Is AssurePro the firm's practice-management system or a bookkeeping system?</w:t>
      </w:r>
    </w:p>
    <w:p>
      <w:pPr>
        <w:spacing w:after="60"/>
        <w:ind w:left="360"/>
      </w:pPr>
      <w:r>
        <w:t xml:space="preserve">AssurePro is the firm's practice-management system. It manages the operational relationship with clients, including onboarding, documents, workflows, engagement letters, time, billing, communications, and reporting. Bookkeeping work is handled in Assure Books when that product is available to the firm.</w:t>
      </w:r>
    </w:p>
    <w:p>
      <w:pPr>
        <w:spacing w:after="30" w:before="120"/>
      </w:pPr>
      <w:r>
        <w:rPr>
          <w:b/>
          <w:bCs/>
        </w:rPr>
        <w:t xml:space="preserve">4. What is on the AssurePro Overview?</w:t>
      </w:r>
    </w:p>
    <w:p>
      <w:pPr>
        <w:spacing w:after="60"/>
        <w:ind w:left="360"/>
      </w:pPr>
      <w:r>
        <w:t xml:space="preserve">Overview is the firm's operating dashboard. It combines an AI-generated daily briefing with configurable tiles and widgets for clients, engagements, team load, engagement letters, bottlenecks, billing, workflow mix, review status, service-line performance, top clients, current tasks, recent activity, and key filing dates. The figures are actionable: for example, Clients opens the client list, Engagements and Bottlenecks open Workflow, Team load opens Team &amp; Roles, and the financial Report link opens Billing. Use Edit layout to choose and arrange the widgets most useful to the signed-in user.</w:t>
      </w:r>
    </w:p>
    <w:p>
      <w:pPr>
        <w:spacing w:after="30" w:before="120"/>
      </w:pPr>
      <w:r>
        <w:rPr>
          <w:b/>
          <w:bCs/>
        </w:rPr>
        <w:t xml:space="preserve">5. Can the Overview dashboard be customized?</w:t>
      </w:r>
    </w:p>
    <w:p>
      <w:pPr>
        <w:spacing w:after="60"/>
        <w:ind w:left="360"/>
      </w:pPr>
      <w:r>
        <w:t xml:space="preserve">Yes. Select Edit layout to add or remove available widgets, drag them into the preferred order, and save the layout. This changes how the available Overview information is arranged for the user.</w:t>
      </w:r>
    </w:p>
    <w:p>
      <w:pPr>
        <w:spacing w:after="30" w:before="120"/>
      </w:pPr>
      <w:r>
        <w:rPr>
          <w:b/>
          <w:bCs/>
        </w:rPr>
        <w:t xml:space="preserve">6. How do I find information or start common work quickly?</w:t>
      </w:r>
    </w:p>
    <w:p>
      <w:pPr>
        <w:spacing w:after="20"/>
        <w:ind w:left="360"/>
      </w:pPr>
      <w:r>
        <w:t xml:space="preserve">Use search when the record already exists and + New when the work has not been created yet.</w:t>
      </w:r>
    </w:p>
    <w:p>
      <w:pPr>
        <w:pStyle w:val="ListParagraph"/>
        <w:numPr>
          <w:ilvl w:val="0"/>
          <w:numId w:val="2"/>
        </w:numPr>
        <w:spacing w:after="20"/>
        <w:ind w:left="720"/>
      </w:pPr>
      <w:r>
        <w:t xml:space="preserve">Select the header search or use its displayed keyboard shortcut.</w:t>
      </w:r>
    </w:p>
    <w:p>
      <w:pPr>
        <w:pStyle w:val="ListParagraph"/>
        <w:numPr>
          <w:ilvl w:val="0"/>
          <w:numId w:val="2"/>
        </w:numPr>
        <w:spacing w:after="20"/>
        <w:ind w:left="720"/>
      </w:pPr>
      <w:r>
        <w:t xml:space="preserve">Enter a client, document, or task name and open the matching result in its source module.</w:t>
      </w:r>
    </w:p>
    <w:p>
      <w:pPr>
        <w:pStyle w:val="ListParagraph"/>
        <w:numPr>
          <w:ilvl w:val="0"/>
          <w:numId w:val="2"/>
        </w:numPr>
        <w:spacing w:after="20"/>
        <w:ind w:left="720"/>
      </w:pPr>
      <w:r>
        <w:t xml:space="preserve">When starting new work, select + New in the header.</w:t>
      </w:r>
    </w:p>
    <w:p>
      <w:pPr>
        <w:pStyle w:val="ListParagraph"/>
        <w:numPr>
          <w:ilvl w:val="0"/>
          <w:numId w:val="2"/>
        </w:numPr>
        <w:spacing w:after="20"/>
        <w:ind w:left="720"/>
      </w:pPr>
      <w:r>
        <w:t xml:space="preserve">Choose Client, Task, Message, Invoice, Document Request, or Engagement Letter.</w:t>
      </w:r>
    </w:p>
    <w:p>
      <w:pPr>
        <w:pStyle w:val="ListParagraph"/>
        <w:numPr>
          <w:ilvl w:val="0"/>
          <w:numId w:val="2"/>
        </w:numPr>
        <w:spacing w:after="20"/>
        <w:ind w:left="720"/>
      </w:pPr>
      <w:r>
        <w:t xml:space="preserve">Complete and review the destination form before saving or sending.</w:t>
      </w:r>
    </w:p>
    <w:p>
      <w:pPr>
        <w:spacing w:after="60"/>
      </w:pPr>
    </w:p>
    <w:p>
      <w:pPr>
        <w:spacing w:after="30" w:before="120"/>
      </w:pPr>
      <w:r>
        <w:rPr>
          <w:b/>
          <w:bCs/>
        </w:rPr>
        <w:t xml:space="preserve">7. What can I create from the global + New menu?</w:t>
      </w:r>
    </w:p>
    <w:p>
      <w:pPr>
        <w:spacing w:after="20"/>
        <w:ind w:left="360"/>
      </w:pPr>
      <w:r>
        <w:t xml:space="preserve">The + New menu contains Client, Task, Message, Invoice, Document Request, and Engagement Letter. It is the fastest entry point when the user already knows which record or activity they need to start.</w:t>
      </w:r>
    </w:p>
    <w:p>
      <w:pPr>
        <w:pStyle w:val="ListParagraph"/>
        <w:numPr>
          <w:ilvl w:val="0"/>
          <w:numId w:val="2"/>
        </w:numPr>
        <w:spacing w:after="20"/>
        <w:ind w:left="720"/>
      </w:pPr>
      <w:r>
        <w:t xml:space="preserve">Select + New in the application header.</w:t>
      </w:r>
    </w:p>
    <w:p>
      <w:pPr>
        <w:pStyle w:val="ListParagraph"/>
        <w:numPr>
          <w:ilvl w:val="0"/>
          <w:numId w:val="2"/>
        </w:numPr>
        <w:spacing w:after="20"/>
        <w:ind w:left="720"/>
      </w:pPr>
      <w:r>
        <w:t xml:space="preserve">Choose Client, Task, Message, Invoice, Document Request, or Engagement Letter.</w:t>
      </w:r>
    </w:p>
    <w:p>
      <w:pPr>
        <w:pStyle w:val="ListParagraph"/>
        <w:numPr>
          <w:ilvl w:val="0"/>
          <w:numId w:val="2"/>
        </w:numPr>
        <w:spacing w:after="20"/>
        <w:ind w:left="720"/>
      </w:pPr>
      <w:r>
        <w:t xml:space="preserve">Complete the fields in the opened form and review the information before saving or sending.</w:t>
      </w:r>
    </w:p>
    <w:p>
      <w:pPr>
        <w:spacing w:after="60"/>
      </w:pPr>
    </w:p>
    <w:p>
      <w:pPr>
        <w:spacing w:after="30" w:before="120"/>
      </w:pPr>
      <w:r>
        <w:rPr>
          <w:b/>
          <w:bCs/>
        </w:rPr>
        <w:t xml:space="preserve">8. Where do firm users sign in?</w:t>
      </w:r>
    </w:p>
    <w:p>
      <w:pPr>
        <w:spacing w:after="60"/>
        <w:ind w:left="360"/>
      </w:pPr>
      <w:r>
        <w:t xml:space="preserve">Firm users use the AssurePro sign-in link supplied by their administrator or AssureOne. A new user first opens the invitation sent to their work email, accepts it, completes the requested email-code verification, and sets a password. Later sign-ins use the established account and open the staff-facing AssurePro dashboard; clients use the separate client portal or mobile app instead.</w:t>
      </w:r>
    </w:p>
    <w:p>
      <w:pPr>
        <w:spacing w:after="30" w:before="120"/>
      </w:pPr>
      <w:r>
        <w:rPr>
          <w:b/>
          <w:bCs/>
        </w:rPr>
        <w:t xml:space="preserve">9. Can we try AssurePro before committing to a migration?</w:t>
      </w:r>
    </w:p>
    <w:p>
      <w:pPr>
        <w:spacing w:after="60"/>
        <w:ind w:left="360"/>
      </w:pPr>
      <w:r>
        <w:t xml:space="preserve">Yes. AssureOne provides demo accounts so a firm can evaluate AssurePro before committing to onboarding and data migration. Use the demo to walk through the firm's highest-priority scenarios—creating a client, converting a prospect, requesting documents, creating an engagement, sending an engagement letter, recording time, invoicing, communicating with a client, and reviewing reports. Questions or configuration gaps identified during the evaluation can then be included in the implementation plan.</w:t>
      </w:r>
    </w:p>
    <w:p>
      <w:pPr>
        <w:spacing w:after="30" w:before="120"/>
      </w:pPr>
      <w:r>
        <w:rPr>
          <w:b/>
          <w:bCs/>
        </w:rPr>
        <w:t xml:space="preserve">10. What support channels are available if we run into an issue?</w:t>
      </w:r>
    </w:p>
    <w:p>
      <w:pPr>
        <w:spacing w:after="20"/>
        <w:ind w:left="360"/>
      </w:pPr>
      <w:r>
        <w:t xml:space="preserve">AssureOne provides direct email support, in-product issue reporting, and implementation assistance.</w:t>
      </w:r>
    </w:p>
    <w:p>
      <w:pPr>
        <w:pStyle w:val="ListParagraph"/>
        <w:numPr>
          <w:ilvl w:val="0"/>
          <w:numId w:val="2"/>
        </w:numPr>
        <w:spacing w:after="20"/>
        <w:ind w:left="720"/>
      </w:pPr>
      <w:r>
        <w:t xml:space="preserve">Email support@assureone.ai when you need help from the AssureOne support team.</w:t>
      </w:r>
    </w:p>
    <w:p>
      <w:pPr>
        <w:pStyle w:val="ListParagraph"/>
        <w:numPr>
          <w:ilvl w:val="0"/>
          <w:numId w:val="2"/>
        </w:numPr>
        <w:spacing w:after="20"/>
        <w:ind w:left="720"/>
      </w:pPr>
      <w:r>
        <w:t xml:space="preserve">Use Report a bug in the application header to report a product issue from the screen where it occurred. Include what you were doing, what you expected, what happened, and the affected area; attach a privacy-safe screenshot when it helps explain the problem.</w:t>
      </w:r>
    </w:p>
    <w:p>
      <w:pPr>
        <w:pStyle w:val="ListParagraph"/>
        <w:numPr>
          <w:ilvl w:val="0"/>
          <w:numId w:val="2"/>
        </w:numPr>
        <w:spacing w:after="20"/>
        <w:ind w:left="720"/>
      </w:pPr>
      <w:r>
        <w:t xml:space="preserve">For questions about configuration, onboarding, or data migration, contact the firm's AssureOne implementation or account contact because the answer may depend on the firm's plan and rollout.</w:t>
      </w:r>
    </w:p>
    <w:p>
      <w:pPr>
        <w:spacing w:after="60"/>
      </w:pPr>
    </w:p>
    <w:p>
      <w:pPr>
        <w:spacing w:after="30" w:before="120"/>
      </w:pPr>
      <w:r>
        <w:rPr>
          <w:b/>
          <w:bCs/>
        </w:rPr>
        <w:t xml:space="preserve">11. Is there an audit log of staff actions across the firm?</w:t>
      </w:r>
    </w:p>
    <w:p>
      <w:pPr>
        <w:spacing w:after="60"/>
        <w:ind w:left="360"/>
      </w:pPr>
      <w:r>
        <w:t xml:space="preserve">Yes. The Overview dashboard's Recent activity area gives administrators firm-wide visibility into staff and client actions. Each entry identifies what happened, the person or record involved, and the time—for example, an invitation sent or accepted, a portal password set, a client login, or a contact update. Use it to confirm recent changes and understand who performed an action without opening every client record individually.</w:t>
      </w:r>
    </w:p>
    <w:p>
      <w:pPr>
        <w:pStyle w:val="Heading2"/>
        <w:spacing w:after="80" w:before="200"/>
      </w:pPr>
      <w:r>
        <w:t xml:space="preserve">Settings  (20)</w:t>
      </w:r>
    </w:p>
    <w:p>
      <w:pPr>
        <w:spacing w:after="30" w:before="120"/>
      </w:pPr>
      <w:r>
        <w:rPr>
          <w:b/>
          <w:bCs/>
        </w:rPr>
        <w:t xml:space="preserve">1. What is included in AssurePro Settings?</w:t>
      </w:r>
    </w:p>
    <w:p>
      <w:pPr>
        <w:spacing w:after="20"/>
        <w:ind w:left="360"/>
      </w:pPr>
      <w:r>
        <w:t xml:space="preserve">Settings is the firm's central configuration area, organized into five groups so administrators can move from firm setup to day-to-day operating controls.</w:t>
      </w:r>
    </w:p>
    <w:p>
      <w:pPr>
        <w:pStyle w:val="ListParagraph"/>
        <w:numPr>
          <w:ilvl w:val="0"/>
          <w:numId w:val="2"/>
        </w:numPr>
        <w:spacing w:after="20"/>
        <w:ind w:left="720"/>
      </w:pPr>
      <w:r>
        <w:t xml:space="preserve">Firm: maintain Firm Profile, Client Portal, and Team &amp; Roles, including branding, portal access, members, teams, roles, and permissions.</w:t>
      </w:r>
    </w:p>
    <w:p>
      <w:pPr>
        <w:pStyle w:val="ListParagraph"/>
        <w:numPr>
          <w:ilvl w:val="0"/>
          <w:numId w:val="2"/>
        </w:numPr>
        <w:spacing w:after="20"/>
        <w:ind w:left="720"/>
      </w:pPr>
      <w:r>
        <w:t xml:space="preserve">Work: configure Engagement Types, Workflow, Firm SOP, Documents, Tags, and Onboarding Defaults so new clients and engagements begin with the correct structure.</w:t>
      </w:r>
    </w:p>
    <w:p>
      <w:pPr>
        <w:pStyle w:val="ListParagraph"/>
        <w:numPr>
          <w:ilvl w:val="0"/>
          <w:numId w:val="2"/>
        </w:numPr>
        <w:spacing w:after="20"/>
        <w:ind w:left="720"/>
      </w:pPr>
      <w:r>
        <w:t xml:space="preserve">Money: manage Billing &amp; Payments, AI Credits, and Platform Subscription.</w:t>
      </w:r>
    </w:p>
    <w:p>
      <w:pPr>
        <w:pStyle w:val="ListParagraph"/>
        <w:numPr>
          <w:ilvl w:val="0"/>
          <w:numId w:val="2"/>
        </w:numPr>
        <w:spacing w:after="20"/>
        <w:ind w:left="720"/>
      </w:pPr>
      <w:r>
        <w:t xml:space="preserve">Communication: configure Notifications &amp; Email, Email Templates, Reminders, Phone Numbers, and Email Log.</w:t>
      </w:r>
    </w:p>
    <w:p>
      <w:pPr>
        <w:pStyle w:val="ListParagraph"/>
        <w:numPr>
          <w:ilvl w:val="0"/>
          <w:numId w:val="2"/>
        </w:numPr>
        <w:spacing w:after="20"/>
        <w:ind w:left="720"/>
      </w:pPr>
      <w:r>
        <w:t xml:space="preserve">Access: manage Integrations, Tax Connector, Security, and Firm Credentials.</w:t>
      </w:r>
    </w:p>
    <w:p>
      <w:pPr>
        <w:pStyle w:val="ListParagraph"/>
        <w:numPr>
          <w:ilvl w:val="0"/>
          <w:numId w:val="2"/>
        </w:numPr>
        <w:spacing w:after="20"/>
        <w:ind w:left="720"/>
      </w:pPr>
      <w:r>
        <w:t xml:space="preserve">Use Search settings when the destination is known; selecting a result opens the corresponding configuration page without changing the underlying group structure.</w:t>
      </w:r>
    </w:p>
    <w:p>
      <w:pPr>
        <w:spacing w:after="60"/>
      </w:pPr>
    </w:p>
    <w:p>
      <w:pPr>
        <w:spacing w:after="30" w:before="120"/>
      </w:pPr>
      <w:r>
        <w:rPr>
          <w:b/>
          <w:bCs/>
        </w:rPr>
        <w:t xml:space="preserve">2. How do I find a particular setting?</w:t>
      </w:r>
    </w:p>
    <w:p>
      <w:pPr>
        <w:spacing w:after="20"/>
        <w:ind w:left="360"/>
      </w:pPr>
      <w:r>
        <w:t xml:space="preserve">Settings has 21 destinations grouped under Firm, Work, Money, Communication, and Access.</w:t>
      </w:r>
    </w:p>
    <w:p>
      <w:pPr>
        <w:pStyle w:val="ListParagraph"/>
        <w:numPr>
          <w:ilvl w:val="0"/>
          <w:numId w:val="2"/>
        </w:numPr>
        <w:spacing w:after="20"/>
        <w:ind w:left="720"/>
      </w:pPr>
      <w:r>
        <w:t xml:space="preserve">Open Settings from the Admin area of the main navigation.</w:t>
      </w:r>
    </w:p>
    <w:p>
      <w:pPr>
        <w:pStyle w:val="ListParagraph"/>
        <w:numPr>
          <w:ilvl w:val="0"/>
          <w:numId w:val="2"/>
        </w:numPr>
        <w:spacing w:after="20"/>
        <w:ind w:left="720"/>
      </w:pPr>
      <w:r>
        <w:t xml:space="preserve">Enter a term in Search settings, or scan the five setting groups.</w:t>
      </w:r>
    </w:p>
    <w:p>
      <w:pPr>
        <w:pStyle w:val="ListParagraph"/>
        <w:numPr>
          <w:ilvl w:val="0"/>
          <w:numId w:val="2"/>
        </w:numPr>
        <w:spacing w:after="20"/>
        <w:ind w:left="720"/>
      </w:pPr>
      <w:r>
        <w:t xml:space="preserve">Choose the matching destination; for example, Documents under Work or Notifications &amp; Email under Communication.</w:t>
      </w:r>
    </w:p>
    <w:p>
      <w:pPr>
        <w:spacing w:after="60"/>
      </w:pPr>
    </w:p>
    <w:p>
      <w:pPr>
        <w:spacing w:after="30" w:before="120"/>
      </w:pPr>
      <w:r>
        <w:rPr>
          <w:b/>
          <w:bCs/>
        </w:rPr>
        <w:t xml:space="preserve">3. What should an administrator configure first?</w:t>
      </w:r>
    </w:p>
    <w:p>
      <w:pPr>
        <w:spacing w:after="60"/>
        <w:ind w:left="360"/>
      </w:pPr>
      <w:r>
        <w:t xml:space="preserve">A practical setup order is Firm Profile, Team &amp; Roles, Engagement Types, Workflow, Documents, Tags, and Onboarding Defaults. Then configure money, communication, integrations, and access settings that apply to the firm's rollout.</w:t>
      </w:r>
    </w:p>
    <w:p>
      <w:pPr>
        <w:spacing w:after="30" w:before="120"/>
      </w:pPr>
      <w:r>
        <w:rPr>
          <w:b/>
          <w:bCs/>
        </w:rPr>
        <w:t xml:space="preserve">4. What can we maintain in Firm Profile?</w:t>
      </w:r>
    </w:p>
    <w:p>
      <w:pPr>
        <w:spacing w:after="20"/>
        <w:ind w:left="360"/>
      </w:pPr>
      <w:r>
        <w:t xml:space="preserve">Firm Profile contains the firm logo, contact information, mailing address, registration identifier, and portal branding. The logo field accepts PNG, JPG, WEBP, or SVG files up to 1 MB with a minimum 256×256 size, and the page provides primary and accent color choices.</w:t>
      </w:r>
    </w:p>
    <w:p>
      <w:pPr>
        <w:pStyle w:val="ListParagraph"/>
        <w:numPr>
          <w:ilvl w:val="0"/>
          <w:numId w:val="2"/>
        </w:numPr>
        <w:spacing w:after="20"/>
        <w:ind w:left="720"/>
      </w:pPr>
      <w:r>
        <w:t xml:space="preserve">Open Settings and choose Firm Profile.</w:t>
      </w:r>
    </w:p>
    <w:p>
      <w:pPr>
        <w:pStyle w:val="ListParagraph"/>
        <w:numPr>
          <w:ilvl w:val="0"/>
          <w:numId w:val="2"/>
        </w:numPr>
        <w:spacing w:after="20"/>
        <w:ind w:left="720"/>
      </w:pPr>
      <w:r>
        <w:t xml:space="preserve">Upload, preview, or remove the firm logo.</w:t>
      </w:r>
    </w:p>
    <w:p>
      <w:pPr>
        <w:pStyle w:val="ListParagraph"/>
        <w:numPr>
          <w:ilvl w:val="0"/>
          <w:numId w:val="2"/>
        </w:numPr>
        <w:spacing w:after="20"/>
        <w:ind w:left="720"/>
      </w:pPr>
      <w:r>
        <w:t xml:space="preserve">Review the firm name, phone, email, website, mailing address, and EIN.</w:t>
      </w:r>
    </w:p>
    <w:p>
      <w:pPr>
        <w:pStyle w:val="ListParagraph"/>
        <w:numPr>
          <w:ilvl w:val="0"/>
          <w:numId w:val="2"/>
        </w:numPr>
        <w:spacing w:after="20"/>
        <w:ind w:left="720"/>
      </w:pPr>
      <w:r>
        <w:t xml:space="preserve">Choose the primary and accent colors used on the portal, emails, and documents.</w:t>
      </w:r>
    </w:p>
    <w:p>
      <w:pPr>
        <w:pStyle w:val="ListParagraph"/>
        <w:numPr>
          <w:ilvl w:val="0"/>
          <w:numId w:val="2"/>
        </w:numPr>
        <w:spacing w:after="20"/>
        <w:ind w:left="720"/>
      </w:pPr>
      <w:r>
        <w:t xml:space="preserve">Use the client-facing preview to confirm how the firm identity will appear; the page indicates when all changes are saved.</w:t>
      </w:r>
    </w:p>
    <w:p>
      <w:pPr>
        <w:spacing w:after="60"/>
      </w:pPr>
    </w:p>
    <w:p>
      <w:pPr>
        <w:spacing w:after="30" w:before="120"/>
      </w:pPr>
      <w:r>
        <w:rPr>
          <w:b/>
          <w:bCs/>
        </w:rPr>
        <w:t xml:space="preserve">5. How is the client portal address configured?</w:t>
      </w:r>
    </w:p>
    <w:p>
      <w:pPr>
        <w:spacing w:after="20"/>
        <w:ind w:left="360"/>
      </w:pPr>
      <w:r>
        <w:t xml:space="preserve">Client Portal controls the always-on AssurePro address and supports a branded custom domain. The default slug accepts lowercase letters, numbers, and hyphens up to 63 characters, and availability is checked when it is saved.</w:t>
      </w:r>
    </w:p>
    <w:p>
      <w:pPr>
        <w:pStyle w:val="ListParagraph"/>
        <w:numPr>
          <w:ilvl w:val="0"/>
          <w:numId w:val="2"/>
        </w:numPr>
        <w:spacing w:after="20"/>
        <w:ind w:left="720"/>
      </w:pPr>
      <w:r>
        <w:t xml:space="preserve">Open Settings and choose Client Portal.</w:t>
      </w:r>
    </w:p>
    <w:p>
      <w:pPr>
        <w:pStyle w:val="ListParagraph"/>
        <w:numPr>
          <w:ilvl w:val="0"/>
          <w:numId w:val="2"/>
        </w:numPr>
        <w:spacing w:after="20"/>
        <w:ind w:left="720"/>
      </w:pPr>
      <w:r>
        <w:t xml:space="preserve">Enter the required Portal URL slug and select Save URL.</w:t>
      </w:r>
    </w:p>
    <w:p>
      <w:pPr>
        <w:pStyle w:val="ListParagraph"/>
        <w:numPr>
          <w:ilvl w:val="0"/>
          <w:numId w:val="2"/>
        </w:numPr>
        <w:spacing w:after="20"/>
        <w:ind w:left="720"/>
      </w:pPr>
      <w:r>
        <w:t xml:space="preserve">Use Copy beside Current default URL when sharing the active address.</w:t>
      </w:r>
    </w:p>
    <w:p>
      <w:pPr>
        <w:pStyle w:val="ListParagraph"/>
        <w:numPr>
          <w:ilvl w:val="0"/>
          <w:numId w:val="2"/>
        </w:numPr>
        <w:spacing w:after="20"/>
        <w:ind w:left="720"/>
      </w:pPr>
      <w:r>
        <w:t xml:space="preserve">To use a branded address, enter a domain such as portal.yourfirm.com and select Add domain.</w:t>
      </w:r>
    </w:p>
    <w:p>
      <w:pPr>
        <w:pStyle w:val="ListParagraph"/>
        <w:numPr>
          <w:ilvl w:val="0"/>
          <w:numId w:val="2"/>
        </w:numPr>
        <w:spacing w:after="20"/>
        <w:ind w:left="720"/>
      </w:pPr>
      <w:r>
        <w:t xml:space="preserve">Continue using the active standard portal route until AssurePro shows that the custom domain has passed activation.</w:t>
      </w:r>
    </w:p>
    <w:p>
      <w:pPr>
        <w:spacing w:after="60"/>
      </w:pPr>
    </w:p>
    <w:p>
      <w:pPr>
        <w:spacing w:after="30" w:before="120"/>
      </w:pPr>
      <w:r>
        <w:rPr>
          <w:b/>
          <w:bCs/>
        </w:rPr>
        <w:t xml:space="preserve">6. How are teams, members, invitations, and roles managed?</w:t>
      </w:r>
    </w:p>
    <w:p>
      <w:pPr>
        <w:spacing w:after="60"/>
        <w:ind w:left="360"/>
      </w:pPr>
      <w:r>
        <w:t xml:space="preserve">Team &amp; Roles has Teams, Members, and Invitations tabs. Teams define access and shared operating defaults; Members shows each user's product access, team or role, status, and permission count; Invitations records the team invited, date sent, and pending, accepted, or cancelled status.</w:t>
      </w:r>
    </w:p>
    <w:p>
      <w:pPr>
        <w:spacing w:after="30" w:before="120"/>
      </w:pPr>
      <w:r>
        <w:rPr>
          <w:b/>
          <w:bCs/>
        </w:rPr>
        <w:t xml:space="preserve">7. What can be configured for a team?</w:t>
      </w:r>
    </w:p>
    <w:p>
      <w:pPr>
        <w:spacing w:after="20"/>
        <w:ind w:left="360"/>
      </w:pPr>
      <w:r>
        <w:t xml:space="preserve">A team has a name, description, optional standard hourly rate, optional per-member AI credit allowance, client-access scope, members, and permissions. Access all clients lets the team bypass per-client assignment; otherwise access follows the firm's assignments.</w:t>
      </w:r>
    </w:p>
    <w:p>
      <w:pPr>
        <w:pStyle w:val="ListParagraph"/>
        <w:numPr>
          <w:ilvl w:val="0"/>
          <w:numId w:val="2"/>
        </w:numPr>
        <w:spacing w:after="20"/>
        <w:ind w:left="720"/>
      </w:pPr>
      <w:r>
        <w:t xml:space="preserve">Open Team &amp; Roles and choose Teams.</w:t>
      </w:r>
    </w:p>
    <w:p>
      <w:pPr>
        <w:pStyle w:val="ListParagraph"/>
        <w:numPr>
          <w:ilvl w:val="0"/>
          <w:numId w:val="2"/>
        </w:numPr>
        <w:spacing w:after="20"/>
        <w:ind w:left="720"/>
      </w:pPr>
      <w:r>
        <w:t xml:space="preserve">Select New team, or open Manage on an existing non-system team.</w:t>
      </w:r>
    </w:p>
    <w:p>
      <w:pPr>
        <w:pStyle w:val="ListParagraph"/>
        <w:numPr>
          <w:ilvl w:val="0"/>
          <w:numId w:val="2"/>
        </w:numPr>
        <w:spacing w:after="20"/>
        <w:ind w:left="720"/>
      </w:pPr>
      <w:r>
        <w:t xml:space="preserve">Set the team name and description.</w:t>
      </w:r>
    </w:p>
    <w:p>
      <w:pPr>
        <w:pStyle w:val="ListParagraph"/>
        <w:numPr>
          <w:ilvl w:val="0"/>
          <w:numId w:val="2"/>
        </w:numPr>
        <w:spacing w:after="20"/>
        <w:ind w:left="720"/>
      </w:pPr>
      <w:r>
        <w:t xml:space="preserve">Optionally set the standard hourly rate used when pricing logged time and an AI credit allowance for each member.</w:t>
      </w:r>
    </w:p>
    <w:p>
      <w:pPr>
        <w:pStyle w:val="ListParagraph"/>
        <w:numPr>
          <w:ilvl w:val="0"/>
          <w:numId w:val="2"/>
        </w:numPr>
        <w:spacing w:after="20"/>
        <w:ind w:left="720"/>
      </w:pPr>
      <w:r>
        <w:t xml:space="preserve">Choose whether the team can access all clients.</w:t>
      </w:r>
    </w:p>
    <w:p>
      <w:pPr>
        <w:pStyle w:val="ListParagraph"/>
        <w:numPr>
          <w:ilvl w:val="0"/>
          <w:numId w:val="2"/>
        </w:numPr>
        <w:spacing w:after="20"/>
        <w:ind w:left="720"/>
      </w:pPr>
      <w:r>
        <w:t xml:space="preserve">Select team members and configure the required permission groups.</w:t>
      </w:r>
    </w:p>
    <w:p>
      <w:pPr>
        <w:pStyle w:val="ListParagraph"/>
        <w:numPr>
          <w:ilvl w:val="0"/>
          <w:numId w:val="2"/>
        </w:numPr>
        <w:spacing w:after="20"/>
        <w:ind w:left="720"/>
      </w:pPr>
      <w:r>
        <w:t xml:space="preserve">Review the permission count before saving the team.</w:t>
      </w:r>
    </w:p>
    <w:p>
      <w:pPr>
        <w:spacing w:after="60"/>
      </w:pPr>
    </w:p>
    <w:p>
      <w:pPr>
        <w:spacing w:after="30" w:before="120"/>
      </w:pPr>
      <w:r>
        <w:rPr>
          <w:b/>
          <w:bCs/>
        </w:rPr>
        <w:t xml:space="preserve">8. How granular are team permissions?</w:t>
      </w:r>
    </w:p>
    <w:p>
      <w:pPr>
        <w:spacing w:after="60"/>
        <w:ind w:left="360"/>
      </w:pPr>
      <w:r>
        <w:t xml:space="preserve">The team editor provides 86 permissions grouped into Client Management, Content &amp; Documents, Work &amp; Operations, Communication, Finance &amp; Compliance, Reporting &amp; Analytics, and Administration. Controls include action-level permissions such as View, Create, Edit, Delete, and Assign where applicable, plus Select all for a group. System teams are identified separately from custom teams.</w:t>
      </w:r>
    </w:p>
    <w:p>
      <w:pPr>
        <w:spacing w:after="30" w:before="120"/>
      </w:pPr>
      <w:r>
        <w:rPr>
          <w:b/>
          <w:bCs/>
        </w:rPr>
        <w:t xml:space="preserve">9. How do administrators review members and invitations?</w:t>
      </w:r>
    </w:p>
    <w:p>
      <w:pPr>
        <w:spacing w:after="60"/>
        <w:ind w:left="360"/>
      </w:pPr>
      <w:r>
        <w:t xml:space="preserve">Members can be searched by name or email and filtered by role, with product access, active status, and permission totals visible in the table. Invitations shows the recipient, assigned team, sent date, and status; a pending invitation can be resent or cancelled.</w:t>
      </w:r>
    </w:p>
    <w:p>
      <w:pPr>
        <w:spacing w:after="30" w:before="120"/>
      </w:pPr>
      <w:r>
        <w:rPr>
          <w:b/>
          <w:bCs/>
        </w:rPr>
        <w:t xml:space="preserve">10. How do I invite a team member?</w:t>
      </w:r>
    </w:p>
    <w:p>
      <w:pPr>
        <w:spacing w:after="20"/>
        <w:ind w:left="360"/>
      </w:pPr>
      <w:r>
        <w:t xml:space="preserve">Team &amp; Roles manages Teams, Members, and Invitations in one place.</w:t>
      </w:r>
    </w:p>
    <w:p>
      <w:pPr>
        <w:pStyle w:val="ListParagraph"/>
        <w:numPr>
          <w:ilvl w:val="0"/>
          <w:numId w:val="2"/>
        </w:numPr>
        <w:spacing w:after="20"/>
        <w:ind w:left="720"/>
      </w:pPr>
      <w:r>
        <w:t xml:space="preserve">Open Settings and choose Team &amp; Roles, or use Team &amp; Roles in the main navigation.</w:t>
      </w:r>
    </w:p>
    <w:p>
      <w:pPr>
        <w:pStyle w:val="ListParagraph"/>
        <w:numPr>
          <w:ilvl w:val="0"/>
          <w:numId w:val="2"/>
        </w:numPr>
        <w:spacing w:after="20"/>
        <w:ind w:left="720"/>
      </w:pPr>
      <w:r>
        <w:t xml:space="preserve">Select Invite member.</w:t>
      </w:r>
    </w:p>
    <w:p>
      <w:pPr>
        <w:pStyle w:val="ListParagraph"/>
        <w:numPr>
          <w:ilvl w:val="0"/>
          <w:numId w:val="2"/>
        </w:numPr>
        <w:spacing w:after="20"/>
        <w:ind w:left="720"/>
      </w:pPr>
      <w:r>
        <w:t xml:space="preserve">Complete the member details and assign the appropriate role.</w:t>
      </w:r>
    </w:p>
    <w:p>
      <w:pPr>
        <w:pStyle w:val="ListParagraph"/>
        <w:numPr>
          <w:ilvl w:val="0"/>
          <w:numId w:val="2"/>
        </w:numPr>
        <w:spacing w:after="20"/>
        <w:ind w:left="720"/>
      </w:pPr>
      <w:r>
        <w:t xml:space="preserve">Send the invitation.</w:t>
      </w:r>
    </w:p>
    <w:p>
      <w:pPr>
        <w:pStyle w:val="ListParagraph"/>
        <w:numPr>
          <w:ilvl w:val="0"/>
          <w:numId w:val="2"/>
        </w:numPr>
        <w:spacing w:after="20"/>
        <w:ind w:left="720"/>
      </w:pPr>
      <w:r>
        <w:t xml:space="preserve">Use the Invitations tab to review invitations that are still pending.</w:t>
      </w:r>
    </w:p>
    <w:p>
      <w:pPr>
        <w:spacing w:after="60"/>
      </w:pPr>
    </w:p>
    <w:p>
      <w:pPr>
        <w:spacing w:after="30" w:before="120"/>
      </w:pPr>
      <w:r>
        <w:rPr>
          <w:b/>
          <w:bCs/>
        </w:rPr>
        <w:t xml:space="preserve">11. What are Engagement Types?</w:t>
      </w:r>
    </w:p>
    <w:p>
      <w:pPr>
        <w:spacing w:after="60"/>
        <w:ind w:left="360"/>
      </w:pPr>
      <w:r>
        <w:t xml:space="preserve">Engagement Types are the named services the firm delivers, organized by areas such as Bookkeeping, Audit &amp; Assurance, Accounting, Advisory, and Tax. Each type has a description and code and can control the custom fields displayed in that engagement's Context rail.</w:t>
      </w:r>
    </w:p>
    <w:p>
      <w:pPr>
        <w:spacing w:after="30" w:before="120"/>
      </w:pPr>
      <w:r>
        <w:rPr>
          <w:b/>
          <w:bCs/>
        </w:rPr>
        <w:t xml:space="preserve">12. How do I configure an engagement type's Context fields?</w:t>
      </w:r>
    </w:p>
    <w:p>
      <w:pPr>
        <w:spacing w:after="20"/>
        <w:ind w:left="360"/>
      </w:pPr>
      <w:r>
        <w:t xml:space="preserve">The editor supports Dropdown, People, Date, Files, Number, Money, Formula, and Text fields. Fields can be reordered, made required or inactive where supported, and deleted; Formula fields are identified as read-only.</w:t>
      </w:r>
    </w:p>
    <w:p>
      <w:pPr>
        <w:pStyle w:val="ListParagraph"/>
        <w:numPr>
          <w:ilvl w:val="0"/>
          <w:numId w:val="2"/>
        </w:numPr>
        <w:spacing w:after="20"/>
        <w:ind w:left="720"/>
      </w:pPr>
      <w:r>
        <w:t xml:space="preserve">Open Settings and choose Engagement Types.</w:t>
      </w:r>
    </w:p>
    <w:p>
      <w:pPr>
        <w:pStyle w:val="ListParagraph"/>
        <w:numPr>
          <w:ilvl w:val="0"/>
          <w:numId w:val="2"/>
        </w:numPr>
        <w:spacing w:after="20"/>
        <w:ind w:left="720"/>
      </w:pPr>
      <w:r>
        <w:t xml:space="preserve">Select the engagement type whose Context rail needs to change.</w:t>
      </w:r>
    </w:p>
    <w:p>
      <w:pPr>
        <w:pStyle w:val="ListParagraph"/>
        <w:numPr>
          <w:ilvl w:val="0"/>
          <w:numId w:val="2"/>
        </w:numPr>
        <w:spacing w:after="20"/>
        <w:ind w:left="720"/>
      </w:pPr>
      <w:r>
        <w:t xml:space="preserve">Select Add field and choose the appropriate field type.</w:t>
      </w:r>
    </w:p>
    <w:p>
      <w:pPr>
        <w:pStyle w:val="ListParagraph"/>
        <w:numPr>
          <w:ilvl w:val="0"/>
          <w:numId w:val="2"/>
        </w:numPr>
        <w:spacing w:after="20"/>
        <w:ind w:left="720"/>
      </w:pPr>
      <w:r>
        <w:t xml:space="preserve">Configure the field label and available options or rules.</w:t>
      </w:r>
    </w:p>
    <w:p>
      <w:pPr>
        <w:pStyle w:val="ListParagraph"/>
        <w:numPr>
          <w:ilvl w:val="0"/>
          <w:numId w:val="2"/>
        </w:numPr>
        <w:spacing w:after="20"/>
        <w:ind w:left="720"/>
      </w:pPr>
      <w:r>
        <w:t xml:space="preserve">Reorder fields with Move up or Move down and review required, inactive, or read-only indicators.</w:t>
      </w:r>
    </w:p>
    <w:p>
      <w:pPr>
        <w:pStyle w:val="ListParagraph"/>
        <w:numPr>
          <w:ilvl w:val="0"/>
          <w:numId w:val="2"/>
        </w:numPr>
        <w:spacing w:after="20"/>
        <w:ind w:left="720"/>
      </w:pPr>
      <w:r>
        <w:t xml:space="preserve">Open an engagement of that type to confirm the Context rail matches the configuration.</w:t>
      </w:r>
    </w:p>
    <w:p>
      <w:pPr>
        <w:spacing w:after="60"/>
      </w:pPr>
    </w:p>
    <w:p>
      <w:pPr>
        <w:spacing w:after="30" w:before="120"/>
      </w:pPr>
      <w:r>
        <w:rPr>
          <w:b/>
          <w:bCs/>
        </w:rPr>
        <w:t xml:space="preserve">13. What are Onboarding Defaults?</w:t>
      </w:r>
    </w:p>
    <w:p>
      <w:pPr>
        <w:spacing w:after="20"/>
        <w:ind w:left="360"/>
      </w:pPr>
      <w:r>
        <w:t xml:space="preserve">Onboarding Defaults pre-fill the first engagement assignee, engagement-letter template, and client folder structure. An unset assignee or template can auto-resolve, entity-type matches can override the general engagement-letter template, and selecting None for folders starts the client without a folder structure.</w:t>
      </w:r>
    </w:p>
    <w:p>
      <w:pPr>
        <w:pStyle w:val="ListParagraph"/>
        <w:numPr>
          <w:ilvl w:val="0"/>
          <w:numId w:val="2"/>
        </w:numPr>
        <w:spacing w:after="20"/>
        <w:ind w:left="720"/>
      </w:pPr>
      <w:r>
        <w:t xml:space="preserve">Open Settings and choose Onboarding Defaults.</w:t>
      </w:r>
    </w:p>
    <w:p>
      <w:pPr>
        <w:pStyle w:val="ListParagraph"/>
        <w:numPr>
          <w:ilvl w:val="0"/>
          <w:numId w:val="2"/>
        </w:numPr>
        <w:spacing w:after="20"/>
        <w:ind w:left="720"/>
      </w:pPr>
      <w:r>
        <w:t xml:space="preserve">Choose the Default assignee for the first engagement, or leave it unset for automatic resolution.</w:t>
      </w:r>
    </w:p>
    <w:p>
      <w:pPr>
        <w:pStyle w:val="ListParagraph"/>
        <w:numPr>
          <w:ilvl w:val="0"/>
          <w:numId w:val="2"/>
        </w:numPr>
        <w:spacing w:after="20"/>
        <w:ind w:left="720"/>
      </w:pPr>
      <w:r>
        <w:t xml:space="preserve">Choose a Default engagement letter template, or use None (auto-resolve).</w:t>
      </w:r>
    </w:p>
    <w:p>
      <w:pPr>
        <w:pStyle w:val="ListParagraph"/>
        <w:numPr>
          <w:ilvl w:val="0"/>
          <w:numId w:val="2"/>
        </w:numPr>
        <w:spacing w:after="20"/>
        <w:ind w:left="720"/>
      </w:pPr>
      <w:r>
        <w:t xml:space="preserve">Choose the Default folder structure; select None only when clients should begin without folders.</w:t>
      </w:r>
    </w:p>
    <w:p>
      <w:pPr>
        <w:pStyle w:val="ListParagraph"/>
        <w:numPr>
          <w:ilvl w:val="0"/>
          <w:numId w:val="2"/>
        </w:numPr>
        <w:spacing w:after="20"/>
        <w:ind w:left="720"/>
      </w:pPr>
      <w:r>
        <w:t xml:space="preserve">Confirm that the page reports All changes saved.</w:t>
      </w:r>
    </w:p>
    <w:p>
      <w:pPr>
        <w:spacing w:after="60"/>
      </w:pPr>
    </w:p>
    <w:p>
      <w:pPr>
        <w:spacing w:after="30" w:before="120"/>
      </w:pPr>
      <w:r>
        <w:rPr>
          <w:b/>
          <w:bCs/>
        </w:rPr>
        <w:t xml:space="preserve">14. How are tags created and maintained?</w:t>
      </w:r>
    </w:p>
    <w:p>
      <w:pPr>
        <w:spacing w:after="20"/>
        <w:ind w:left="360"/>
      </w:pPr>
      <w:r>
        <w:t xml:space="preserve">Tags categorize clients and engagements across the firm. Settings provides a simple tag list with add, edit, and delete controls.</w:t>
      </w:r>
    </w:p>
    <w:p>
      <w:pPr>
        <w:pStyle w:val="ListParagraph"/>
        <w:numPr>
          <w:ilvl w:val="0"/>
          <w:numId w:val="2"/>
        </w:numPr>
        <w:spacing w:after="20"/>
        <w:ind w:left="720"/>
      </w:pPr>
      <w:r>
        <w:t xml:space="preserve">Open Settings and choose Tags.</w:t>
      </w:r>
    </w:p>
    <w:p>
      <w:pPr>
        <w:pStyle w:val="ListParagraph"/>
        <w:numPr>
          <w:ilvl w:val="0"/>
          <w:numId w:val="2"/>
        </w:numPr>
        <w:spacing w:after="20"/>
        <w:ind w:left="720"/>
      </w:pPr>
      <w:r>
        <w:t xml:space="preserve">Enter the new tag name under Add a tag and select Add Tag.</w:t>
      </w:r>
    </w:p>
    <w:p>
      <w:pPr>
        <w:pStyle w:val="ListParagraph"/>
        <w:numPr>
          <w:ilvl w:val="0"/>
          <w:numId w:val="2"/>
        </w:numPr>
        <w:spacing w:after="20"/>
        <w:ind w:left="720"/>
      </w:pPr>
      <w:r>
        <w:t xml:space="preserve">Use Edit beside an existing tag to revise its name.</w:t>
      </w:r>
    </w:p>
    <w:p>
      <w:pPr>
        <w:pStyle w:val="ListParagraph"/>
        <w:numPr>
          <w:ilvl w:val="0"/>
          <w:numId w:val="2"/>
        </w:numPr>
        <w:spacing w:after="20"/>
        <w:ind w:left="720"/>
      </w:pPr>
      <w:r>
        <w:t xml:space="preserve">Use Delete only after confirming the tag is no longer needed on client or engagement records.</w:t>
      </w:r>
    </w:p>
    <w:p>
      <w:pPr>
        <w:spacing w:after="60"/>
      </w:pPr>
    </w:p>
    <w:p>
      <w:pPr>
        <w:spacing w:after="30" w:before="120"/>
      </w:pPr>
      <w:r>
        <w:rPr>
          <w:b/>
          <w:bCs/>
        </w:rPr>
        <w:t xml:space="preserve">15. How do I configure personal notification preferences?</w:t>
      </w:r>
    </w:p>
    <w:p>
      <w:pPr>
        <w:spacing w:after="20"/>
        <w:ind w:left="360"/>
      </w:pPr>
      <w:r>
        <w:t xml:space="preserve">Notifications &amp; Email provides separate email and in-app switches for new document uploads, client messages, invoice payments, upcoming deadlines, and overdue invoices. Emails received in a connected client inbox also have their own email preference.</w:t>
      </w:r>
    </w:p>
    <w:p>
      <w:pPr>
        <w:pStyle w:val="ListParagraph"/>
        <w:numPr>
          <w:ilvl w:val="0"/>
          <w:numId w:val="2"/>
        </w:numPr>
        <w:spacing w:after="20"/>
        <w:ind w:left="720"/>
      </w:pPr>
      <w:r>
        <w:t xml:space="preserve">Open Settings and choose Notifications &amp; Email.</w:t>
      </w:r>
    </w:p>
    <w:p>
      <w:pPr>
        <w:pStyle w:val="ListParagraph"/>
        <w:numPr>
          <w:ilvl w:val="0"/>
          <w:numId w:val="2"/>
        </w:numPr>
        <w:spacing w:after="20"/>
        <w:ind w:left="720"/>
      </w:pPr>
      <w:r>
        <w:t xml:space="preserve">Turn email and in-app delivery on or off for each event type.</w:t>
      </w:r>
    </w:p>
    <w:p>
      <w:pPr>
        <w:pStyle w:val="ListParagraph"/>
        <w:numPr>
          <w:ilvl w:val="0"/>
          <w:numId w:val="2"/>
        </w:numPr>
        <w:spacing w:after="20"/>
        <w:ind w:left="720"/>
      </w:pPr>
      <w:r>
        <w:t xml:space="preserve">Select Save Preferences.</w:t>
      </w:r>
    </w:p>
    <w:p>
      <w:pPr>
        <w:spacing w:after="60"/>
      </w:pPr>
    </w:p>
    <w:p>
      <w:pPr>
        <w:spacing w:after="30" w:before="120"/>
      </w:pPr>
      <w:r>
        <w:rPr>
          <w:b/>
          <w:bCs/>
        </w:rPr>
        <w:t xml:space="preserve">16. How do report alerts work?</w:t>
      </w:r>
    </w:p>
    <w:p>
      <w:pPr>
        <w:spacing w:after="20"/>
        <w:ind w:left="360"/>
      </w:pPr>
      <w:r>
        <w:t xml:space="preserve">The Report alerts area can notify subscribed users by email and the in-app bell when a KPI crosses a threshold, or send a scheduled digest of key firm metrics.</w:t>
      </w:r>
    </w:p>
    <w:p>
      <w:pPr>
        <w:pStyle w:val="ListParagraph"/>
        <w:numPr>
          <w:ilvl w:val="0"/>
          <w:numId w:val="2"/>
        </w:numPr>
        <w:spacing w:after="20"/>
        <w:ind w:left="720"/>
      </w:pPr>
      <w:r>
        <w:t xml:space="preserve">Open Settings and choose Notifications &amp; Email.</w:t>
      </w:r>
    </w:p>
    <w:p>
      <w:pPr>
        <w:pStyle w:val="ListParagraph"/>
        <w:numPr>
          <w:ilvl w:val="0"/>
          <w:numId w:val="2"/>
        </w:numPr>
        <w:spacing w:after="20"/>
        <w:ind w:left="720"/>
      </w:pPr>
      <w:r>
        <w:t xml:space="preserve">Go to Report alerts and select New alert.</w:t>
      </w:r>
    </w:p>
    <w:p>
      <w:pPr>
        <w:pStyle w:val="ListParagraph"/>
        <w:numPr>
          <w:ilvl w:val="0"/>
          <w:numId w:val="2"/>
        </w:numPr>
        <w:spacing w:after="20"/>
        <w:ind w:left="720"/>
      </w:pPr>
      <w:r>
        <w:t xml:space="preserve">Enter an alert name and choose KPI threshold or Scheduled digest.</w:t>
      </w:r>
    </w:p>
    <w:p>
      <w:pPr>
        <w:pStyle w:val="ListParagraph"/>
        <w:numPr>
          <w:ilvl w:val="0"/>
          <w:numId w:val="2"/>
        </w:numPr>
        <w:spacing w:after="20"/>
        <w:ind w:left="720"/>
      </w:pPr>
      <w:r>
        <w:t xml:space="preserve">For a threshold alert, choose the metric, condition, value, and reporting window.</w:t>
      </w:r>
    </w:p>
    <w:p>
      <w:pPr>
        <w:pStyle w:val="ListParagraph"/>
        <w:numPr>
          <w:ilvl w:val="0"/>
          <w:numId w:val="2"/>
        </w:numPr>
        <w:spacing w:after="20"/>
        <w:ind w:left="720"/>
      </w:pPr>
      <w:r>
        <w:t xml:space="preserve">Select the team-member subscribers and create the alert.</w:t>
      </w:r>
    </w:p>
    <w:p>
      <w:pPr>
        <w:pStyle w:val="ListParagraph"/>
        <w:numPr>
          <w:ilvl w:val="0"/>
          <w:numId w:val="2"/>
        </w:numPr>
        <w:spacing w:after="20"/>
        <w:ind w:left="720"/>
      </w:pPr>
      <w:r>
        <w:t xml:space="preserve">Review saved alerts in the Report alerts list.</w:t>
      </w:r>
    </w:p>
    <w:p>
      <w:pPr>
        <w:spacing w:after="60"/>
      </w:pPr>
    </w:p>
    <w:p>
      <w:pPr>
        <w:spacing w:after="30" w:before="120"/>
      </w:pPr>
      <w:r>
        <w:rPr>
          <w:b/>
          <w:bCs/>
        </w:rPr>
        <w:t xml:space="preserve">17. What is in the Template Library?</w:t>
      </w:r>
    </w:p>
    <w:p>
      <w:pPr>
        <w:spacing w:after="20"/>
        <w:ind w:left="360"/>
      </w:pPr>
      <w:r>
        <w:t xml:space="preserve">The Template Library gives the firm reusable starting points that can be added to its working configuration instead of rebuilding common content from scratch.</w:t>
      </w:r>
    </w:p>
    <w:p>
      <w:pPr>
        <w:pStyle w:val="ListParagraph"/>
        <w:numPr>
          <w:ilvl w:val="0"/>
          <w:numId w:val="2"/>
        </w:numPr>
        <w:spacing w:after="20"/>
        <w:ind w:left="720"/>
      </w:pPr>
      <w:r>
        <w:t xml:space="preserve">All combines the available library items in one view.</w:t>
      </w:r>
    </w:p>
    <w:p>
      <w:pPr>
        <w:pStyle w:val="ListParagraph"/>
        <w:numPr>
          <w:ilvl w:val="0"/>
          <w:numId w:val="2"/>
        </w:numPr>
        <w:spacing w:after="20"/>
        <w:ind w:left="720"/>
      </w:pPr>
      <w:r>
        <w:t xml:space="preserve">Engagement Letter Templates provide agreement wording, packages, services, pricing structures, and related signing content.</w:t>
      </w:r>
    </w:p>
    <w:p>
      <w:pPr>
        <w:pStyle w:val="ListParagraph"/>
        <w:numPr>
          <w:ilvl w:val="0"/>
          <w:numId w:val="2"/>
        </w:numPr>
        <w:spacing w:after="20"/>
        <w:ind w:left="720"/>
      </w:pPr>
      <w:r>
        <w:t xml:space="preserve">Workflows provide reusable stage and task sequences for recurring delivery processes.</w:t>
      </w:r>
    </w:p>
    <w:p>
      <w:pPr>
        <w:pStyle w:val="ListParagraph"/>
        <w:numPr>
          <w:ilvl w:val="0"/>
          <w:numId w:val="2"/>
        </w:numPr>
        <w:spacing w:after="20"/>
        <w:ind w:left="720"/>
      </w:pPr>
      <w:r>
        <w:t xml:space="preserve">Folders provide standardized client-document structures.</w:t>
      </w:r>
    </w:p>
    <w:p>
      <w:pPr>
        <w:pStyle w:val="ListParagraph"/>
        <w:numPr>
          <w:ilvl w:val="0"/>
          <w:numId w:val="2"/>
        </w:numPr>
        <w:spacing w:after="20"/>
        <w:ind w:left="720"/>
      </w:pPr>
      <w:r>
        <w:t xml:space="preserve">Messages provide reusable email and SMS wording for common client touchpoints.</w:t>
      </w:r>
    </w:p>
    <w:p>
      <w:pPr>
        <w:pStyle w:val="ListParagraph"/>
        <w:numPr>
          <w:ilvl w:val="0"/>
          <w:numId w:val="2"/>
        </w:numPr>
        <w:spacing w:after="20"/>
        <w:ind w:left="720"/>
      </w:pPr>
      <w:r>
        <w:t xml:space="preserve">Search or filter the library, preview an item, review its included content and tags, and select Add to Library.</w:t>
      </w:r>
    </w:p>
    <w:p>
      <w:pPr>
        <w:pStyle w:val="ListParagraph"/>
        <w:numPr>
          <w:ilvl w:val="0"/>
          <w:numId w:val="2"/>
        </w:numPr>
        <w:spacing w:after="20"/>
        <w:ind w:left="720"/>
      </w:pPr>
      <w:r>
        <w:t xml:space="preserve">Open the added item in its destination area and adapt the firm's copy before using it with a client.</w:t>
      </w:r>
    </w:p>
    <w:p>
      <w:pPr>
        <w:spacing w:after="60"/>
      </w:pPr>
    </w:p>
    <w:p>
      <w:pPr>
        <w:spacing w:after="30" w:before="120"/>
      </w:pPr>
      <w:r>
        <w:rPr>
          <w:b/>
          <w:bCs/>
        </w:rPr>
        <w:t xml:space="preserve">18. How do I find the right Template Library item?</w:t>
      </w:r>
    </w:p>
    <w:p>
      <w:pPr>
        <w:spacing w:after="20"/>
        <w:ind w:left="360"/>
      </w:pPr>
      <w:r>
        <w:t xml:space="preserve">The library can be searched by name, type, or tag, filtered by practice area, limited to items already added, sorted, or narrowed to one asset-type tab.</w:t>
      </w:r>
    </w:p>
    <w:p>
      <w:pPr>
        <w:pStyle w:val="ListParagraph"/>
        <w:numPr>
          <w:ilvl w:val="0"/>
          <w:numId w:val="2"/>
        </w:numPr>
        <w:spacing w:after="20"/>
        <w:ind w:left="720"/>
      </w:pPr>
      <w:r>
        <w:t xml:space="preserve">Open Template Library from Admin.</w:t>
      </w:r>
    </w:p>
    <w:p>
      <w:pPr>
        <w:pStyle w:val="ListParagraph"/>
        <w:numPr>
          <w:ilvl w:val="0"/>
          <w:numId w:val="2"/>
        </w:numPr>
        <w:spacing w:after="20"/>
        <w:ind w:left="720"/>
      </w:pPr>
      <w:r>
        <w:t xml:space="preserve">Choose All, Engagement Letter Templates, Workflows, Folders, or Messages.</w:t>
      </w:r>
    </w:p>
    <w:p>
      <w:pPr>
        <w:pStyle w:val="ListParagraph"/>
        <w:numPr>
          <w:ilvl w:val="0"/>
          <w:numId w:val="2"/>
        </w:numPr>
        <w:spacing w:after="20"/>
        <w:ind w:left="720"/>
      </w:pPr>
      <w:r>
        <w:t xml:space="preserve">Search by name, type, or tag and select a practice area when needed.</w:t>
      </w:r>
    </w:p>
    <w:p>
      <w:pPr>
        <w:pStyle w:val="ListParagraph"/>
        <w:numPr>
          <w:ilvl w:val="0"/>
          <w:numId w:val="2"/>
        </w:numPr>
        <w:spacing w:after="20"/>
        <w:ind w:left="720"/>
      </w:pPr>
      <w:r>
        <w:t xml:space="preserve">Turn on Added only to review the firm's activated items.</w:t>
      </w:r>
    </w:p>
    <w:p>
      <w:pPr>
        <w:pStyle w:val="ListParagraph"/>
        <w:numPr>
          <w:ilvl w:val="0"/>
          <w:numId w:val="2"/>
        </w:numPr>
        <w:spacing w:after="20"/>
        <w:ind w:left="720"/>
      </w:pPr>
      <w:r>
        <w:t xml:space="preserve">Use Sort to change the catalog order and Preview to inspect an item before adding it.</w:t>
      </w:r>
    </w:p>
    <w:p>
      <w:pPr>
        <w:spacing w:after="60"/>
      </w:pPr>
    </w:p>
    <w:p>
      <w:pPr>
        <w:spacing w:after="30" w:before="120"/>
      </w:pPr>
      <w:r>
        <w:rPr>
          <w:b/>
          <w:bCs/>
        </w:rPr>
        <w:t xml:space="preserve">19. How is a Template Library item added and edited?</w:t>
      </w:r>
    </w:p>
    <w:p>
      <w:pPr>
        <w:spacing w:after="20"/>
        <w:ind w:left="360"/>
      </w:pPr>
      <w:r>
        <w:t xml:space="preserve">Select Add to Library on an available item. An item already activated displays Added and provides a destination-specific link such as Open in Engagement Letter, Open in Workflows, or Open in Document settings. Adding a curated item makes it available to the firm; its downstream editor is where the firm reviews or adapts it.</w:t>
      </w:r>
    </w:p>
    <w:p>
      <w:pPr>
        <w:pStyle w:val="ListParagraph"/>
        <w:numPr>
          <w:ilvl w:val="0"/>
          <w:numId w:val="2"/>
        </w:numPr>
        <w:spacing w:after="20"/>
        <w:ind w:left="720"/>
      </w:pPr>
      <w:r>
        <w:t xml:space="preserve">Preview the template and review its practice-area and entity tags plus its package, service, stage, task, folder, or channel summary.</w:t>
      </w:r>
    </w:p>
    <w:p>
      <w:pPr>
        <w:pStyle w:val="ListParagraph"/>
        <w:numPr>
          <w:ilvl w:val="0"/>
          <w:numId w:val="2"/>
        </w:numPr>
        <w:spacing w:after="20"/>
        <w:ind w:left="720"/>
      </w:pPr>
      <w:r>
        <w:t xml:space="preserve">Select Add to Library.</w:t>
      </w:r>
    </w:p>
    <w:p>
      <w:pPr>
        <w:pStyle w:val="ListParagraph"/>
        <w:numPr>
          <w:ilvl w:val="0"/>
          <w:numId w:val="2"/>
        </w:numPr>
        <w:spacing w:after="20"/>
        <w:ind w:left="720"/>
      </w:pPr>
      <w:r>
        <w:t xml:space="preserve">Use the provided Open in… link to go to the correct working area.</w:t>
      </w:r>
    </w:p>
    <w:p>
      <w:pPr>
        <w:pStyle w:val="ListParagraph"/>
        <w:numPr>
          <w:ilvl w:val="0"/>
          <w:numId w:val="2"/>
        </w:numPr>
        <w:spacing w:after="20"/>
        <w:ind w:left="720"/>
      </w:pPr>
      <w:r>
        <w:t xml:space="preserve">Review and configure the firm's copy before using it in live client work.</w:t>
      </w:r>
    </w:p>
    <w:p>
      <w:pPr>
        <w:spacing w:after="60"/>
      </w:pPr>
    </w:p>
    <w:p>
      <w:pPr>
        <w:spacing w:after="30" w:before="120"/>
      </w:pPr>
      <w:r>
        <w:rPr>
          <w:b/>
          <w:bCs/>
        </w:rPr>
        <w:t xml:space="preserve">20. What does each Template Library type provide?</w:t>
      </w:r>
    </w:p>
    <w:p>
      <w:pPr>
        <w:spacing w:after="60"/>
        <w:ind w:left="360"/>
      </w:pPr>
      <w:r>
        <w:t xml:space="preserve">Engagement Letter Templates include agreement prose, packages, services, and billing structures. Workflows provide stage-and-task sequences. Folders provide reusable per-client folder layouts. Messages provide reusable email or SMS wording for client touchpoints.</w:t>
      </w:r>
    </w:p>
    <w:p>
      <w:pPr>
        <w:pStyle w:val="Heading2"/>
        <w:spacing w:after="80" w:before="200"/>
      </w:pPr>
      <w:r>
        <w:t xml:space="preserve">Clients &amp; prospects  (19)</w:t>
      </w:r>
    </w:p>
    <w:p>
      <w:pPr>
        <w:spacing w:after="30" w:before="120"/>
      </w:pPr>
      <w:r>
        <w:rPr>
          <w:b/>
          <w:bCs/>
        </w:rPr>
        <w:t xml:space="preserve">1. How is a new client added directly?</w:t>
      </w:r>
    </w:p>
    <w:p>
      <w:pPr>
        <w:spacing w:after="20"/>
        <w:ind w:left="360"/>
      </w:pPr>
      <w:r>
        <w:t xml:space="preserve">Use this path when the person or organization should begin as a client rather than first moving through the prospect pipeline.</w:t>
      </w:r>
    </w:p>
    <w:p>
      <w:pPr>
        <w:pStyle w:val="ListParagraph"/>
        <w:numPr>
          <w:ilvl w:val="0"/>
          <w:numId w:val="2"/>
        </w:numPr>
        <w:spacing w:after="20"/>
        <w:ind w:left="720"/>
      </w:pPr>
      <w:r>
        <w:t xml:space="preserve">Open Clients and select New Client, or choose Client from the global + New menu.</w:t>
      </w:r>
    </w:p>
    <w:p>
      <w:pPr>
        <w:pStyle w:val="ListParagraph"/>
        <w:numPr>
          <w:ilvl w:val="0"/>
          <w:numId w:val="2"/>
        </w:numPr>
        <w:spacing w:after="20"/>
        <w:ind w:left="720"/>
      </w:pPr>
      <w:r>
        <w:t xml:space="preserve">Enter the required Client Name and Entity Type.</w:t>
      </w:r>
    </w:p>
    <w:p>
      <w:pPr>
        <w:pStyle w:val="ListParagraph"/>
        <w:numPr>
          <w:ilvl w:val="0"/>
          <w:numId w:val="2"/>
        </w:numPr>
        <w:spacing w:after="20"/>
        <w:ind w:left="720"/>
      </w:pPr>
      <w:r>
        <w:t xml:space="preserve">Set the status, industry and sub-industry, assignees, folder template, country, and address as needed.</w:t>
      </w:r>
    </w:p>
    <w:p>
      <w:pPr>
        <w:pStyle w:val="ListParagraph"/>
        <w:numPr>
          <w:ilvl w:val="0"/>
          <w:numId w:val="2"/>
        </w:numPr>
        <w:spacing w:after="20"/>
        <w:ind w:left="720"/>
      </w:pPr>
      <w:r>
        <w:t xml:space="preserve">Optionally add the primary contact's name, phone number, and email.</w:t>
      </w:r>
    </w:p>
    <w:p>
      <w:pPr>
        <w:pStyle w:val="ListParagraph"/>
        <w:numPr>
          <w:ilvl w:val="0"/>
          <w:numId w:val="2"/>
        </w:numPr>
        <w:spacing w:after="20"/>
        <w:ind w:left="720"/>
      </w:pPr>
      <w:r>
        <w:t xml:space="preserve">Choose whether Send portal invite should remain selected.</w:t>
      </w:r>
    </w:p>
    <w:p>
      <w:pPr>
        <w:pStyle w:val="ListParagraph"/>
        <w:numPr>
          <w:ilvl w:val="0"/>
          <w:numId w:val="2"/>
        </w:numPr>
        <w:spacing w:after="20"/>
        <w:ind w:left="720"/>
      </w:pPr>
      <w:r>
        <w:t xml:space="preserve">Review the record and select Create Client.</w:t>
      </w:r>
    </w:p>
    <w:p>
      <w:pPr>
        <w:spacing w:after="60"/>
      </w:pPr>
    </w:p>
    <w:p>
      <w:pPr>
        <w:spacing w:after="30" w:before="120"/>
      </w:pPr>
      <w:r>
        <w:rPr>
          <w:b/>
          <w:bCs/>
        </w:rPr>
        <w:t xml:space="preserve">2. What are all the ways to add a client?</w:t>
      </w:r>
    </w:p>
    <w:p>
      <w:pPr>
        <w:spacing w:after="60"/>
        <w:ind w:left="360"/>
      </w:pPr>
      <w:r>
        <w:t xml:space="preserve">AssurePro provides several entry points for different onboarding situations: create one client directly, convert a qualified prospect by moving it to Won, import many clients from a CSV or Excel file, or create a missing client from the client picker while starting an engagement. The global + New menu is another shortcut to the direct-client form.</w:t>
      </w:r>
    </w:p>
    <w:p>
      <w:pPr>
        <w:spacing w:after="30" w:before="120"/>
      </w:pPr>
      <w:r>
        <w:rPr>
          <w:b/>
          <w:bCs/>
        </w:rPr>
        <w:t xml:space="preserve">3. How do I convert a prospect into a client?</w:t>
      </w:r>
    </w:p>
    <w:p>
      <w:pPr>
        <w:spacing w:after="20"/>
        <w:ind w:left="360"/>
      </w:pPr>
      <w:r>
        <w:t xml:space="preserve">Use the Won stage after the lead has completed the firm's prospect process. This preserves the prospect workflow and promotes the successful lead into client onboarding.</w:t>
      </w:r>
    </w:p>
    <w:p>
      <w:pPr>
        <w:pStyle w:val="ListParagraph"/>
        <w:numPr>
          <w:ilvl w:val="0"/>
          <w:numId w:val="2"/>
        </w:numPr>
        <w:spacing w:after="20"/>
        <w:ind w:left="720"/>
      </w:pPr>
      <w:r>
        <w:t xml:space="preserve">Open Prospects and find the lead in Board or List view.</w:t>
      </w:r>
    </w:p>
    <w:p>
      <w:pPr>
        <w:pStyle w:val="ListParagraph"/>
        <w:numPr>
          <w:ilvl w:val="0"/>
          <w:numId w:val="2"/>
        </w:numPr>
        <w:spacing w:after="20"/>
        <w:ind w:left="720"/>
      </w:pPr>
      <w:r>
        <w:t xml:space="preserve">Open the prospect record and review the company, contact, service interest, owners, deal value, and other details that should carry forward.</w:t>
      </w:r>
    </w:p>
    <w:p>
      <w:pPr>
        <w:pStyle w:val="ListParagraph"/>
        <w:numPr>
          <w:ilvl w:val="0"/>
          <w:numId w:val="2"/>
        </w:numPr>
        <w:spacing w:after="20"/>
        <w:ind w:left="720"/>
      </w:pPr>
      <w:r>
        <w:t xml:space="preserve">Open the Stage control and change the prospect to Won.</w:t>
      </w:r>
    </w:p>
    <w:p>
      <w:pPr>
        <w:pStyle w:val="ListParagraph"/>
        <w:numPr>
          <w:ilvl w:val="0"/>
          <w:numId w:val="2"/>
        </w:numPr>
        <w:spacing w:after="20"/>
        <w:ind w:left="720"/>
      </w:pPr>
      <w:r>
        <w:t xml:space="preserve">Open the resulting client record and complete any client-specific information, assignments, documents, portal access, or engagement setup that was not captured on the prospect.</w:t>
      </w:r>
    </w:p>
    <w:p>
      <w:pPr>
        <w:spacing w:after="60"/>
      </w:pPr>
    </w:p>
    <w:p>
      <w:pPr>
        <w:spacing w:after="30" w:before="120"/>
      </w:pPr>
      <w:r>
        <w:rPr>
          <w:b/>
          <w:bCs/>
        </w:rPr>
        <w:t xml:space="preserve">4. How do I import multiple clients?</w:t>
      </w:r>
    </w:p>
    <w:p>
      <w:pPr>
        <w:spacing w:after="20"/>
        <w:ind w:left="360"/>
      </w:pPr>
      <w:r>
        <w:t xml:space="preserve">The client import accepts CSV and XLSX files and provides a downloadable CSV template.</w:t>
      </w:r>
    </w:p>
    <w:p>
      <w:pPr>
        <w:pStyle w:val="ListParagraph"/>
        <w:numPr>
          <w:ilvl w:val="0"/>
          <w:numId w:val="2"/>
        </w:numPr>
        <w:spacing w:after="20"/>
        <w:ind w:left="720"/>
      </w:pPr>
      <w:r>
        <w:t xml:space="preserve">Open Clients.</w:t>
      </w:r>
    </w:p>
    <w:p>
      <w:pPr>
        <w:pStyle w:val="ListParagraph"/>
        <w:numPr>
          <w:ilvl w:val="0"/>
          <w:numId w:val="2"/>
        </w:numPr>
        <w:spacing w:after="20"/>
        <w:ind w:left="720"/>
      </w:pPr>
      <w:r>
        <w:t xml:space="preserve">Select More ways to add clients, then Import from CSV.</w:t>
      </w:r>
    </w:p>
    <w:p>
      <w:pPr>
        <w:pStyle w:val="ListParagraph"/>
        <w:numPr>
          <w:ilvl w:val="0"/>
          <w:numId w:val="2"/>
        </w:numPr>
        <w:spacing w:after="20"/>
        <w:ind w:left="720"/>
      </w:pPr>
      <w:r>
        <w:t xml:space="preserve">Download the CSV template if you need the expected structure, or prepare a supported .csv or .xlsx file.</w:t>
      </w:r>
    </w:p>
    <w:p>
      <w:pPr>
        <w:pStyle w:val="ListParagraph"/>
        <w:numPr>
          <w:ilvl w:val="0"/>
          <w:numId w:val="2"/>
        </w:numPr>
        <w:spacing w:after="20"/>
        <w:ind w:left="720"/>
      </w:pPr>
      <w:r>
        <w:t xml:space="preserve">Drop the file into the import dialog or select it with the file browser.</w:t>
      </w:r>
    </w:p>
    <w:p>
      <w:pPr>
        <w:pStyle w:val="ListParagraph"/>
        <w:numPr>
          <w:ilvl w:val="0"/>
          <w:numId w:val="2"/>
        </w:numPr>
        <w:spacing w:after="20"/>
        <w:ind w:left="720"/>
      </w:pPr>
      <w:r>
        <w:t xml:space="preserve">Follow the validation prompts shown for the uploaded file, then review the imported client records.</w:t>
      </w:r>
    </w:p>
    <w:p>
      <w:pPr>
        <w:spacing w:after="60"/>
      </w:pPr>
    </w:p>
    <w:p>
      <w:pPr>
        <w:spacing w:after="30" w:before="120"/>
      </w:pPr>
      <w:r>
        <w:rPr>
          <w:b/>
          <w:bCs/>
        </w:rPr>
        <w:t xml:space="preserve">5. Can I create a client while starting an engagement?</w:t>
      </w:r>
    </w:p>
    <w:p>
      <w:pPr>
        <w:spacing w:after="20"/>
        <w:ind w:left="360"/>
      </w:pPr>
      <w:r>
        <w:t xml:space="preserve">Yes. The New Engagement client chooser includes Create new client, so staff do not have to leave the workflow when the required client is missing.</w:t>
      </w:r>
    </w:p>
    <w:p>
      <w:pPr>
        <w:pStyle w:val="ListParagraph"/>
        <w:numPr>
          <w:ilvl w:val="0"/>
          <w:numId w:val="2"/>
        </w:numPr>
        <w:spacing w:after="20"/>
        <w:ind w:left="720"/>
      </w:pPr>
      <w:r>
        <w:t xml:space="preserve">Open Workflow and select New Engagement.</w:t>
      </w:r>
    </w:p>
    <w:p>
      <w:pPr>
        <w:pStyle w:val="ListParagraph"/>
        <w:numPr>
          <w:ilvl w:val="0"/>
          <w:numId w:val="2"/>
        </w:numPr>
        <w:spacing w:after="20"/>
        <w:ind w:left="720"/>
      </w:pPr>
      <w:r>
        <w:t xml:space="preserve">Open the Client chooser.</w:t>
      </w:r>
    </w:p>
    <w:p>
      <w:pPr>
        <w:pStyle w:val="ListParagraph"/>
        <w:numPr>
          <w:ilvl w:val="0"/>
          <w:numId w:val="2"/>
        </w:numPr>
        <w:spacing w:after="20"/>
        <w:ind w:left="720"/>
      </w:pPr>
      <w:r>
        <w:t xml:space="preserve">Select Create new client and complete the client record.</w:t>
      </w:r>
    </w:p>
    <w:p>
      <w:pPr>
        <w:pStyle w:val="ListParagraph"/>
        <w:numPr>
          <w:ilvl w:val="0"/>
          <w:numId w:val="2"/>
        </w:numPr>
        <w:spacing w:after="20"/>
        <w:ind w:left="720"/>
      </w:pPr>
      <w:r>
        <w:t xml:space="preserve">Return to the engagement setup, select the new client and an Engagement type, and continue creating the engagement.</w:t>
      </w:r>
    </w:p>
    <w:p>
      <w:pPr>
        <w:spacing w:after="60"/>
      </w:pPr>
    </w:p>
    <w:p>
      <w:pPr>
        <w:spacing w:after="30" w:before="120"/>
      </w:pPr>
      <w:r>
        <w:rPr>
          <w:b/>
          <w:bCs/>
        </w:rPr>
        <w:t xml:space="preserve">6. What can staff see in a client workspace?</w:t>
      </w:r>
    </w:p>
    <w:p>
      <w:pPr>
        <w:spacing w:after="60"/>
        <w:ind w:left="360"/>
      </w:pPr>
      <w:r>
        <w:t xml:space="preserve">Each client workspace has tabs for Overview, Info, Documents, Communications, Engagements, Billing, Engagement Letter, Credentials, Emails, and AI SOP. Overview summarizes items needing attention, engagements, open tasks, recent documents, balances, deadlines, client pending actions, communications, and recent activity.</w:t>
      </w:r>
    </w:p>
    <w:p>
      <w:pPr>
        <w:spacing w:after="30" w:before="120"/>
      </w:pPr>
      <w:r>
        <w:rPr>
          <w:b/>
          <w:bCs/>
        </w:rPr>
        <w:t xml:space="preserve">7. What information is kept on the client Info tab?</w:t>
      </w:r>
    </w:p>
    <w:p>
      <w:pPr>
        <w:spacing w:after="60"/>
        <w:ind w:left="360"/>
      </w:pPr>
      <w:r>
        <w:t xml:space="preserve">The Info tab includes profile completeness, contact information, entity details, contacts, tags, related entities, account roles, and notes. The displayed entity fields adjust to the client type; for an individual, the interface can request items such as SSN, date of birth, filing status, address, and period.</w:t>
      </w:r>
    </w:p>
    <w:p>
      <w:pPr>
        <w:spacing w:after="30" w:before="120"/>
      </w:pPr>
      <w:r>
        <w:rPr>
          <w:b/>
          <w:bCs/>
        </w:rPr>
        <w:t xml:space="preserve">8. Can a client have multiple contacts and relationship details?</w:t>
      </w:r>
    </w:p>
    <w:p>
      <w:pPr>
        <w:spacing w:after="60"/>
        <w:ind w:left="360"/>
      </w:pPr>
      <w:r>
        <w:t xml:space="preserve">Yes. The client record includes a Contacts section as well as Related Entities and Account Roles. These areas keep the people and relationships associated with the client separate from the primary client record.</w:t>
      </w:r>
    </w:p>
    <w:p>
      <w:pPr>
        <w:spacing w:after="30" w:before="120"/>
      </w:pPr>
      <w:r>
        <w:rPr>
          <w:b/>
          <w:bCs/>
        </w:rPr>
        <w:t xml:space="preserve">9. How does AssurePro help complete a client profile?</w:t>
      </w:r>
    </w:p>
    <w:p>
      <w:pPr>
        <w:spacing w:after="60"/>
        <w:ind w:left="360"/>
      </w:pPr>
      <w:r>
        <w:t xml:space="preserve">The Info tab shows a profile-completeness checklist and identifies missing fields. Staff can add missing contact, address, entity, and period information directly from that checklist.</w:t>
      </w:r>
    </w:p>
    <w:p>
      <w:pPr>
        <w:spacing w:after="30" w:before="120"/>
      </w:pPr>
      <w:r>
        <w:rPr>
          <w:b/>
          <w:bCs/>
        </w:rPr>
        <w:t xml:space="preserve">10. Can a portal invitation be sent again?</w:t>
      </w:r>
    </w:p>
    <w:p>
      <w:pPr>
        <w:spacing w:after="20"/>
        <w:ind w:left="360"/>
      </w:pPr>
      <w:r>
        <w:t xml:space="preserve">Yes. Portal access can be initiated during client creation or managed later from the client record.</w:t>
      </w:r>
    </w:p>
    <w:p>
      <w:pPr>
        <w:pStyle w:val="ListParagraph"/>
        <w:numPr>
          <w:ilvl w:val="0"/>
          <w:numId w:val="2"/>
        </w:numPr>
        <w:spacing w:after="20"/>
        <w:ind w:left="720"/>
      </w:pPr>
      <w:r>
        <w:t xml:space="preserve">Open the client and choose Info.</w:t>
      </w:r>
    </w:p>
    <w:p>
      <w:pPr>
        <w:pStyle w:val="ListParagraph"/>
        <w:numPr>
          <w:ilvl w:val="0"/>
          <w:numId w:val="2"/>
        </w:numPr>
        <w:spacing w:after="20"/>
        <w:ind w:left="720"/>
      </w:pPr>
      <w:r>
        <w:t xml:space="preserve">Find the contact who should have portal access and confirm the email address is correct.</w:t>
      </w:r>
    </w:p>
    <w:p>
      <w:pPr>
        <w:pStyle w:val="ListParagraph"/>
        <w:numPr>
          <w:ilvl w:val="0"/>
          <w:numId w:val="2"/>
        </w:numPr>
        <w:spacing w:after="20"/>
        <w:ind w:left="720"/>
      </w:pPr>
      <w:r>
        <w:t xml:space="preserve">Use Resend invite for a contact whose invitation needs to be issued again.</w:t>
      </w:r>
    </w:p>
    <w:p>
      <w:pPr>
        <w:pStyle w:val="ListParagraph"/>
        <w:numPr>
          <w:ilvl w:val="0"/>
          <w:numId w:val="2"/>
        </w:numPr>
        <w:spacing w:after="20"/>
        <w:ind w:left="720"/>
      </w:pPr>
      <w:r>
        <w:t xml:space="preserve">Ask the client to open the newest invitation, accept it, verify the invited email when prompted, and set their portal password.</w:t>
      </w:r>
    </w:p>
    <w:p>
      <w:pPr>
        <w:pStyle w:val="ListParagraph"/>
        <w:numPr>
          <w:ilvl w:val="0"/>
          <w:numId w:val="2"/>
        </w:numPr>
        <w:spacing w:after="20"/>
        <w:ind w:left="720"/>
      </w:pPr>
      <w:r>
        <w:t xml:space="preserve">Confirm successful access from the client's activity history or portal-access status.</w:t>
      </w:r>
    </w:p>
    <w:p>
      <w:pPr>
        <w:spacing w:after="60"/>
      </w:pPr>
    </w:p>
    <w:p>
      <w:pPr>
        <w:spacing w:after="30" w:before="120"/>
      </w:pPr>
      <w:r>
        <w:rPr>
          <w:b/>
          <w:bCs/>
        </w:rPr>
        <w:t xml:space="preserve">11. What can a client do through the client portal?</w:t>
      </w:r>
    </w:p>
    <w:p>
      <w:pPr>
        <w:spacing w:after="60"/>
        <w:ind w:left="360"/>
      </w:pPr>
      <w:r>
        <w:t xml:space="preserve">A client with portal access can work with the firm on the client-facing items made available to them, including engagement-letter review and signing, document requests and uploads, messages, and billing items. Portal access begins with the invitation sent during onboarding or from the client's Info tab.</w:t>
      </w:r>
    </w:p>
    <w:p>
      <w:pPr>
        <w:spacing w:after="30" w:before="120"/>
      </w:pPr>
      <w:r>
        <w:rPr>
          <w:b/>
          <w:bCs/>
        </w:rPr>
        <w:t xml:space="preserve">12. Does a client set a password for the client portal, or use a passwordless link?</w:t>
      </w:r>
    </w:p>
    <w:p>
      <w:pPr>
        <w:spacing w:after="60"/>
        <w:ind w:left="360"/>
      </w:pPr>
      <w:r>
        <w:t xml:space="preserve">The invitation flow uses an account password rather than a permanent passwordless link. The client opens the invitation sent to their email address, accepts it, completes the email-verification step when requested, and sets a password. Subsequent client activity—including invitation acceptance, password creation, and portal login—can appear in Recent activity for operational confirmation.</w:t>
      </w:r>
    </w:p>
    <w:p>
      <w:pPr>
        <w:spacing w:after="30" w:before="120"/>
      </w:pPr>
      <w:r>
        <w:rPr>
          <w:b/>
          <w:bCs/>
        </w:rPr>
        <w:t xml:space="preserve">13. Is there a mobile app for clients?</w:t>
      </w:r>
    </w:p>
    <w:p>
      <w:pPr>
        <w:spacing w:after="60"/>
        <w:ind w:left="360"/>
      </w:pPr>
      <w:r>
        <w:t xml:space="preserve">Yes. AssurePro provides a client mobile app for both iOS and Android. Clients can use the mobile experience for the work the firm makes available to them, including reviewing requests, uploading documents, communicating with the firm, signing documents, and handling billing-related actions. The client must first accept the firm's portal invitation and establish their account before signing in on a mobile device.</w:t>
      </w:r>
    </w:p>
    <w:p>
      <w:pPr>
        <w:spacing w:after="30" w:before="120"/>
      </w:pPr>
      <w:r>
        <w:rPr>
          <w:b/>
          <w:bCs/>
        </w:rPr>
        <w:t xml:space="preserve">14. Can we migrate data from our previous practice-management software?</w:t>
      </w:r>
    </w:p>
    <w:p>
      <w:pPr>
        <w:spacing w:after="60"/>
        <w:ind w:left="360"/>
      </w:pPr>
      <w:r>
        <w:t xml:space="preserve">Yes. AssurePro's implementation team supports migration from other practice-management platforms, including systems such as Karbon, Canopy, and TaxDome, as part of onboarding. The firm should identify the source system, records and documents to move, custom fields, user assignments, historical depth, and target cutover date. The implementation team then confirms the export format, field mapping, import sequence, exception handling, and validation process so the firm can review the migrated data before relying on it for live work.</w:t>
      </w:r>
    </w:p>
    <w:p>
      <w:pPr>
        <w:spacing w:after="30" w:before="120"/>
      </w:pPr>
      <w:r>
        <w:rPr>
          <w:b/>
          <w:bCs/>
        </w:rPr>
        <w:t xml:space="preserve">15. Does AssurePro include CRM capabilities?</w:t>
      </w:r>
    </w:p>
    <w:p>
      <w:pPr>
        <w:spacing w:after="60"/>
        <w:ind w:left="360"/>
      </w:pPr>
      <w:r>
        <w:t xml:space="preserve">Yes. AssurePro combines client records with a prospect pipeline. Firms can capture leads, owners, expected close dates, sources, service interests, deal values, and other prospect details, then manage active clients through dedicated workspaces containing contacts, engagements, documents, communications, billing, and related information.</w:t>
      </w:r>
    </w:p>
    <w:p>
      <w:pPr>
        <w:spacing w:after="30" w:before="120"/>
      </w:pPr>
      <w:r>
        <w:rPr>
          <w:b/>
          <w:bCs/>
        </w:rPr>
        <w:t xml:space="preserve">16. How are prospects managed before they become clients?</w:t>
      </w:r>
    </w:p>
    <w:p>
      <w:pPr>
        <w:spacing w:after="20"/>
        <w:ind w:left="360"/>
      </w:pPr>
      <w:r>
        <w:t xml:space="preserve">Prospects can be managed in Board or List view inside a firm-defined pipeline. The firm is not limited to one fixed sales process: administrators can create a new pipeline and define, rename, reorder, add, or restructure its stages to match the firm's qualification and proposal process.</w:t>
      </w:r>
    </w:p>
    <w:p>
      <w:pPr>
        <w:pStyle w:val="ListParagraph"/>
        <w:numPr>
          <w:ilvl w:val="0"/>
          <w:numId w:val="2"/>
        </w:numPr>
        <w:spacing w:after="20"/>
        <w:ind w:left="720"/>
      </w:pPr>
      <w:r>
        <w:t xml:space="preserve">Choose or create the pipeline used for the relevant service line or prospect process.</w:t>
      </w:r>
    </w:p>
    <w:p>
      <w:pPr>
        <w:pStyle w:val="ListParagraph"/>
        <w:numPr>
          <w:ilvl w:val="0"/>
          <w:numId w:val="2"/>
        </w:numPr>
        <w:spacing w:after="20"/>
        <w:ind w:left="720"/>
      </w:pPr>
      <w:r>
        <w:t xml:space="preserve">Configure the stages in the order work should move—for example, New lead, Discovery, Qualified, Proposal, Decision, Won, and Lost.</w:t>
      </w:r>
    </w:p>
    <w:p>
      <w:pPr>
        <w:pStyle w:val="ListParagraph"/>
        <w:numPr>
          <w:ilvl w:val="0"/>
          <w:numId w:val="2"/>
        </w:numPr>
        <w:spacing w:after="20"/>
        <w:ind w:left="720"/>
      </w:pPr>
      <w:r>
        <w:t xml:space="preserve">Use Board view to move prospects between stages and see the pipeline visually; use List view to search, filter, and compare prospect details in rows.</w:t>
      </w:r>
    </w:p>
    <w:p>
      <w:pPr>
        <w:pStyle w:val="ListParagraph"/>
        <w:numPr>
          <w:ilvl w:val="0"/>
          <w:numId w:val="2"/>
        </w:numPr>
        <w:spacing w:after="20"/>
        <w:ind w:left="720"/>
      </w:pPr>
      <w:r>
        <w:t xml:space="preserve">Open a prospect to manage owners, tasks, notes, emails, calls, service interest, deal value, expected close date, and engagement-letter activity.</w:t>
      </w:r>
    </w:p>
    <w:p>
      <w:pPr>
        <w:pStyle w:val="ListParagraph"/>
        <w:numPr>
          <w:ilvl w:val="0"/>
          <w:numId w:val="2"/>
        </w:numPr>
        <w:spacing w:after="20"/>
        <w:ind w:left="720"/>
      </w:pPr>
      <w:r>
        <w:t xml:space="preserve">Review lead count, pipeline value, won count and value, win rate, and average deal size for the selected pipeline.</w:t>
      </w:r>
    </w:p>
    <w:p>
      <w:pPr>
        <w:pStyle w:val="ListParagraph"/>
        <w:numPr>
          <w:ilvl w:val="0"/>
          <w:numId w:val="2"/>
        </w:numPr>
        <w:spacing w:after="20"/>
        <w:ind w:left="720"/>
      </w:pPr>
      <w:r>
        <w:t xml:space="preserve">Move the prospect to Won when the opportunity is accepted; AssurePro then creates or promotes the client record so onboarding can continue without re-entering the prospect information.</w:t>
      </w:r>
    </w:p>
    <w:p>
      <w:pPr>
        <w:spacing w:after="60"/>
      </w:pPr>
    </w:p>
    <w:p>
      <w:pPr>
        <w:spacing w:after="30" w:before="120"/>
      </w:pPr>
      <w:r>
        <w:rPr>
          <w:b/>
          <w:bCs/>
        </w:rPr>
        <w:t xml:space="preserve">17. How do I create a prospect?</w:t>
      </w:r>
    </w:p>
    <w:p>
      <w:pPr>
        <w:spacing w:after="60"/>
        <w:ind w:left="360"/>
      </w:pPr>
      <w:r>
        <w:t xml:space="preserve">Open Prospects and select New prospect. Enter the required name and email, then add any company, deal value, phone, stage, source, owners, expected close date, tags, lead type, referrer, industry, size, job role, designation, service interest, and linked contact. Select Add prospect to place the lead in the chosen pipeline stage.</w:t>
      </w:r>
    </w:p>
    <w:p>
      <w:pPr>
        <w:spacing w:after="30" w:before="120"/>
      </w:pPr>
      <w:r>
        <w:rPr>
          <w:b/>
          <w:bCs/>
        </w:rPr>
        <w:t xml:space="preserve">18. What information can be captured for a prospect?</w:t>
      </w:r>
    </w:p>
    <w:p>
      <w:pPr>
        <w:spacing w:after="20"/>
        <w:ind w:left="360"/>
      </w:pPr>
      <w:r>
        <w:t xml:space="preserve">A prospect record supports standard sales, contact, ownership, and qualification information, and the firm can extend the record with custom fields configured in Settings.</w:t>
      </w:r>
    </w:p>
    <w:p>
      <w:pPr>
        <w:pStyle w:val="ListParagraph"/>
        <w:numPr>
          <w:ilvl w:val="0"/>
          <w:numId w:val="2"/>
        </w:numPr>
        <w:spacing w:after="20"/>
        <w:ind w:left="720"/>
      </w:pPr>
      <w:r>
        <w:t xml:space="preserve">Capture the prospect or company name, email, phone number, linked contact, and other contact details.</w:t>
      </w:r>
    </w:p>
    <w:p>
      <w:pPr>
        <w:pStyle w:val="ListParagraph"/>
        <w:numPr>
          <w:ilvl w:val="0"/>
          <w:numId w:val="2"/>
        </w:numPr>
        <w:spacing w:after="20"/>
        <w:ind w:left="720"/>
      </w:pPr>
      <w:r>
        <w:t xml:space="preserve">Set the pipeline and stage, source, owner or owners, expected close date, deal value, lead type, referrer, and service interest.</w:t>
      </w:r>
    </w:p>
    <w:p>
      <w:pPr>
        <w:pStyle w:val="ListParagraph"/>
        <w:numPr>
          <w:ilvl w:val="0"/>
          <w:numId w:val="2"/>
        </w:numPr>
        <w:spacing w:after="20"/>
        <w:ind w:left="720"/>
      </w:pPr>
      <w:r>
        <w:t xml:space="preserve">Add segmentation details such as tags, industry, company size, job role, and designation.</w:t>
      </w:r>
    </w:p>
    <w:p>
      <w:pPr>
        <w:pStyle w:val="ListParagraph"/>
        <w:numPr>
          <w:ilvl w:val="0"/>
          <w:numId w:val="2"/>
        </w:numPr>
        <w:spacing w:after="20"/>
        <w:ind w:left="720"/>
      </w:pPr>
      <w:r>
        <w:t xml:space="preserve">When the firm needs information that is not part of the standard record, open Settings, create the appropriate prospect custom field, define its label and field type, and make it available for prospect records.</w:t>
      </w:r>
    </w:p>
    <w:p>
      <w:pPr>
        <w:pStyle w:val="ListParagraph"/>
        <w:numPr>
          <w:ilvl w:val="0"/>
          <w:numId w:val="2"/>
        </w:numPr>
        <w:spacing w:after="20"/>
        <w:ind w:left="720"/>
      </w:pPr>
      <w:r>
        <w:t xml:space="preserve">Use those custom fields consistently on new and existing prospects so filtering, qualification, handoff, and conversion follow the firm's process.</w:t>
      </w:r>
    </w:p>
    <w:p>
      <w:pPr>
        <w:pStyle w:val="ListParagraph"/>
        <w:numPr>
          <w:ilvl w:val="0"/>
          <w:numId w:val="2"/>
        </w:numPr>
        <w:spacing w:after="20"/>
        <w:ind w:left="720"/>
      </w:pPr>
      <w:r>
        <w:t xml:space="preserve">For a larger starting list, import prospects from CSV and map the available columns before completing the import.</w:t>
      </w:r>
    </w:p>
    <w:p>
      <w:pPr>
        <w:spacing w:after="60"/>
      </w:pPr>
    </w:p>
    <w:p>
      <w:pPr>
        <w:spacing w:after="30" w:before="120"/>
      </w:pPr>
      <w:r>
        <w:rPr>
          <w:b/>
          <w:bCs/>
        </w:rPr>
        <w:t xml:space="preserve">19. What work can be managed from a prospect record?</w:t>
      </w:r>
    </w:p>
    <w:p>
      <w:pPr>
        <w:spacing w:after="60"/>
        <w:ind w:left="360"/>
      </w:pPr>
      <w:r>
        <w:t xml:space="preserve">A prospect record keeps the lead information and pipeline stage together with tabs for Overview, Tasks, Email, Calls, and Engagement Letters. Staff can also add tasks and notes while the opportunity moves through Prospect, Discovery, Proposal, Won, or Lost.</w:t>
      </w:r>
    </w:p>
    <w:p>
      <w:pPr>
        <w:pStyle w:val="Heading2"/>
        <w:spacing w:after="80" w:before="200"/>
      </w:pPr>
      <w:r>
        <w:t xml:space="preserve">Documents  (14)</w:t>
      </w:r>
    </w:p>
    <w:p>
      <w:pPr>
        <w:spacing w:after="30" w:before="120"/>
      </w:pPr>
      <w:r>
        <w:rPr>
          <w:b/>
          <w:bCs/>
        </w:rPr>
        <w:t xml:space="preserve">1. How are documents organized across the firm?</w:t>
      </w:r>
    </w:p>
    <w:p>
      <w:pPr>
        <w:spacing w:after="60"/>
        <w:ind w:left="360"/>
      </w:pPr>
      <w:r>
        <w:t xml:space="preserve">The top-level Documents screen groups work by client and highlights clients that are awaiting documents. Inside a client workspace, documents are organized into folders and can be viewed by areas such as client uploads, messaging, engagement letters, tax returns, source documents, signed forms, correspondence, and miscellaneous files.</w:t>
      </w:r>
    </w:p>
    <w:p>
      <w:pPr>
        <w:spacing w:after="30" w:before="120"/>
      </w:pPr>
      <w:r>
        <w:rPr>
          <w:b/>
          <w:bCs/>
        </w:rPr>
        <w:t xml:space="preserve">2. Can firms standardize folder structures and document labels?</w:t>
      </w:r>
    </w:p>
    <w:p>
      <w:pPr>
        <w:spacing w:after="60"/>
        <w:ind w:left="360"/>
      </w:pPr>
      <w:r>
        <w:t xml:space="preserve">Yes. Documents settings contain Folder Templates, Document Types, and Work Types. Administrators can create folder templates, add folders, define document codes, labels, categories, descriptions, and fields, and control which definitions are active.</w:t>
      </w:r>
    </w:p>
    <w:p>
      <w:pPr>
        <w:spacing w:after="30" w:before="120"/>
      </w:pPr>
      <w:r>
        <w:rPr>
          <w:b/>
          <w:bCs/>
        </w:rPr>
        <w:t xml:space="preserve">3. How do I create or update a folder template?</w:t>
      </w:r>
    </w:p>
    <w:p>
      <w:pPr>
        <w:spacing w:after="60"/>
        <w:ind w:left="360"/>
      </w:pPr>
      <w:r>
        <w:t xml:space="preserve">Open Settings, choose Documents, and stay on Folder Templates. Select New template to create a structure or open an existing template, then use Add Folder to build its hierarchy. The finished template can be applied from a client's Documents tab or selected as an onboarding default.</w:t>
      </w:r>
    </w:p>
    <w:p>
      <w:pPr>
        <w:spacing w:after="30" w:before="120"/>
      </w:pPr>
      <w:r>
        <w:rPr>
          <w:b/>
          <w:bCs/>
        </w:rPr>
        <w:t xml:space="preserve">4. What can be configured for Document Types?</w:t>
      </w:r>
    </w:p>
    <w:p>
      <w:pPr>
        <w:spacing w:after="20"/>
        <w:ind w:left="360"/>
      </w:pPr>
      <w:r>
        <w:t xml:space="preserve">Document Types standardize how uploads are classified and which fields can be extracted. The table shows name, category, description, field count, status, and actions; system definitions are marked System. Categories can be filtered or managed, and new firm-specific document types can be added.</w:t>
      </w:r>
    </w:p>
    <w:p>
      <w:pPr>
        <w:pStyle w:val="ListParagraph"/>
        <w:numPr>
          <w:ilvl w:val="0"/>
          <w:numId w:val="2"/>
        </w:numPr>
        <w:spacing w:after="20"/>
        <w:ind w:left="720"/>
      </w:pPr>
      <w:r>
        <w:t xml:space="preserve">Open Settings, choose Documents, and select Document Types.</w:t>
      </w:r>
    </w:p>
    <w:p>
      <w:pPr>
        <w:pStyle w:val="ListParagraph"/>
        <w:numPr>
          <w:ilvl w:val="0"/>
          <w:numId w:val="2"/>
        </w:numPr>
        <w:spacing w:after="20"/>
        <w:ind w:left="720"/>
      </w:pPr>
      <w:r>
        <w:t xml:space="preserve">Filter by category or select Manage categories when the classification list needs maintenance.</w:t>
      </w:r>
    </w:p>
    <w:p>
      <w:pPr>
        <w:pStyle w:val="ListParagraph"/>
        <w:numPr>
          <w:ilvl w:val="0"/>
          <w:numId w:val="2"/>
        </w:numPr>
        <w:spacing w:after="20"/>
        <w:ind w:left="720"/>
      </w:pPr>
      <w:r>
        <w:t xml:space="preserve">Select New document type, or Edit beside an existing definition.</w:t>
      </w:r>
    </w:p>
    <w:p>
      <w:pPr>
        <w:pStyle w:val="ListParagraph"/>
        <w:numPr>
          <w:ilvl w:val="0"/>
          <w:numId w:val="2"/>
        </w:numPr>
        <w:spacing w:after="20"/>
        <w:ind w:left="720"/>
      </w:pPr>
      <w:r>
        <w:t xml:space="preserve">Set the name, category, description, fields, and active state offered by the editor.</w:t>
      </w:r>
    </w:p>
    <w:p>
      <w:pPr>
        <w:pStyle w:val="ListParagraph"/>
        <w:numPr>
          <w:ilvl w:val="0"/>
          <w:numId w:val="2"/>
        </w:numPr>
        <w:spacing w:after="20"/>
        <w:ind w:left="720"/>
      </w:pPr>
      <w:r>
        <w:t xml:space="preserve">Review the result in the Document Types table before using it in client work.</w:t>
      </w:r>
    </w:p>
    <w:p>
      <w:pPr>
        <w:spacing w:after="60"/>
      </w:pPr>
    </w:p>
    <w:p>
      <w:pPr>
        <w:spacing w:after="30" w:before="120"/>
      </w:pPr>
      <w:r>
        <w:rPr>
          <w:b/>
          <w:bCs/>
        </w:rPr>
        <w:t xml:space="preserve">5. What is available under Work Types in Documents settings?</w:t>
      </w:r>
    </w:p>
    <w:p>
      <w:pPr>
        <w:spacing w:after="20"/>
        <w:ind w:left="360"/>
      </w:pPr>
      <w:r>
        <w:t xml:space="preserve">Work Types defines the selectable work classifications used when staff create intake templates for bookkeeping, audit, accounting, advisory, and tax work. The table shows Code, Label, Description, Type, Active status, and Actions. AssurePro includes system types such as Monthly Bookkeeping, Quarterly Bookkeeping, Financial Statement Audit, Financial Statement Review, Financial Statement Compilation, Employee Benefit Plan Audit, Advisory Engagement, and tax-return types such as 1040. System types can be activated or deactivated but cannot be renamed or deleted; firm-created custom types can be maintained separately.</w:t>
      </w:r>
    </w:p>
    <w:p>
      <w:pPr>
        <w:pStyle w:val="ListParagraph"/>
        <w:numPr>
          <w:ilvl w:val="0"/>
          <w:numId w:val="2"/>
        </w:numPr>
        <w:spacing w:after="20"/>
        <w:ind w:left="720"/>
      </w:pPr>
      <w:r>
        <w:t xml:space="preserve">Open Settings, choose Documents, and select Work Types.</w:t>
      </w:r>
    </w:p>
    <w:p>
      <w:pPr>
        <w:pStyle w:val="ListParagraph"/>
        <w:numPr>
          <w:ilvl w:val="0"/>
          <w:numId w:val="2"/>
        </w:numPr>
        <w:spacing w:after="20"/>
        <w:ind w:left="720"/>
      </w:pPr>
      <w:r>
        <w:t xml:space="preserve">Search by code, label, or description; enable Show inactive when reviewing a type that was previously disabled.</w:t>
      </w:r>
    </w:p>
    <w:p>
      <w:pPr>
        <w:pStyle w:val="ListParagraph"/>
        <w:numPr>
          <w:ilvl w:val="0"/>
          <w:numId w:val="2"/>
        </w:numPr>
        <w:spacing w:after="20"/>
        <w:ind w:left="720"/>
      </w:pPr>
      <w:r>
        <w:t xml:space="preserve">Use the Active switch to control whether a system or custom type is available for new intake-template work.</w:t>
      </w:r>
    </w:p>
    <w:p>
      <w:pPr>
        <w:pStyle w:val="ListParagraph"/>
        <w:numPr>
          <w:ilvl w:val="0"/>
          <w:numId w:val="2"/>
        </w:numPr>
        <w:spacing w:after="20"/>
        <w:ind w:left="720"/>
      </w:pPr>
      <w:r>
        <w:t xml:space="preserve">Select Edit to review the fields that are editable for the chosen type; system identifiers remain protected.</w:t>
      </w:r>
    </w:p>
    <w:p>
      <w:pPr>
        <w:pStyle w:val="ListParagraph"/>
        <w:numPr>
          <w:ilvl w:val="0"/>
          <w:numId w:val="2"/>
        </w:numPr>
        <w:spacing w:after="20"/>
        <w:ind w:left="720"/>
      </w:pPr>
      <w:r>
        <w:t xml:space="preserve">To add a firm-specific classification, select New work type.</w:t>
      </w:r>
    </w:p>
    <w:p>
      <w:pPr>
        <w:pStyle w:val="ListParagraph"/>
        <w:numPr>
          <w:ilvl w:val="0"/>
          <w:numId w:val="2"/>
        </w:numPr>
        <w:spacing w:after="20"/>
        <w:ind w:left="720"/>
      </w:pPr>
      <w:r>
        <w:t xml:space="preserve">Enter a unique Code of no more than 20 characters, a client-friendly Label, and an optional Description of up to 500 characters explaining when the type applies.</w:t>
      </w:r>
    </w:p>
    <w:p>
      <w:pPr>
        <w:pStyle w:val="ListParagraph"/>
        <w:numPr>
          <w:ilvl w:val="0"/>
          <w:numId w:val="2"/>
        </w:numPr>
        <w:spacing w:after="20"/>
        <w:ind w:left="720"/>
      </w:pPr>
      <w:r>
        <w:t xml:space="preserve">Create the type, then confirm it appears as Custom and is active before using it in an intake template.</w:t>
      </w:r>
    </w:p>
    <w:p>
      <w:pPr>
        <w:pStyle w:val="ListParagraph"/>
        <w:numPr>
          <w:ilvl w:val="0"/>
          <w:numId w:val="2"/>
        </w:numPr>
        <w:spacing w:after="20"/>
        <w:ind w:left="720"/>
      </w:pPr>
      <w:r>
        <w:t xml:space="preserve">Delete a custom type only when it is no longer required; system types display a disabled delete action.</w:t>
      </w:r>
    </w:p>
    <w:p>
      <w:pPr>
        <w:spacing w:after="60"/>
      </w:pPr>
    </w:p>
    <w:p>
      <w:pPr>
        <w:spacing w:after="30" w:before="120"/>
      </w:pPr>
      <w:r>
        <w:rPr>
          <w:b/>
          <w:bCs/>
        </w:rPr>
        <w:t xml:space="preserve">6. How is a folder template applied to a client?</w:t>
      </w:r>
    </w:p>
    <w:p>
      <w:pPr>
        <w:spacing w:after="20"/>
        <w:ind w:left="360"/>
      </w:pPr>
      <w:r>
        <w:t xml:space="preserve">A template creates the firm's reusable folder structure inside a client workspace.</w:t>
      </w:r>
    </w:p>
    <w:p>
      <w:pPr>
        <w:pStyle w:val="ListParagraph"/>
        <w:numPr>
          <w:ilvl w:val="0"/>
          <w:numId w:val="2"/>
        </w:numPr>
        <w:spacing w:after="20"/>
        <w:ind w:left="720"/>
      </w:pPr>
      <w:r>
        <w:t xml:space="preserve">Open the client and choose Documents.</w:t>
      </w:r>
    </w:p>
    <w:p>
      <w:pPr>
        <w:pStyle w:val="ListParagraph"/>
        <w:numPr>
          <w:ilvl w:val="0"/>
          <w:numId w:val="2"/>
        </w:numPr>
        <w:spacing w:after="20"/>
        <w:ind w:left="720"/>
      </w:pPr>
      <w:r>
        <w:t xml:space="preserve">Select Apply Template and choose the appropriate firm template.</w:t>
      </w:r>
    </w:p>
    <w:p>
      <w:pPr>
        <w:pStyle w:val="ListParagraph"/>
        <w:numPr>
          <w:ilvl w:val="0"/>
          <w:numId w:val="2"/>
        </w:numPr>
        <w:spacing w:after="20"/>
        <w:ind w:left="720"/>
      </w:pPr>
      <w:r>
        <w:t xml:space="preserve">Review the folders that will be added and apply the template.</w:t>
      </w:r>
    </w:p>
    <w:p>
      <w:pPr>
        <w:pStyle w:val="ListParagraph"/>
        <w:numPr>
          <w:ilvl w:val="0"/>
          <w:numId w:val="2"/>
        </w:numPr>
        <w:spacing w:after="20"/>
        <w:ind w:left="720"/>
      </w:pPr>
      <w:r>
        <w:t xml:space="preserve">Use New Folder when the client needs an additional folder that is not part of the standard template.</w:t>
      </w:r>
    </w:p>
    <w:p>
      <w:pPr>
        <w:pStyle w:val="ListParagraph"/>
        <w:numPr>
          <w:ilvl w:val="0"/>
          <w:numId w:val="2"/>
        </w:numPr>
        <w:spacing w:after="20"/>
        <w:ind w:left="720"/>
      </w:pPr>
      <w:r>
        <w:t xml:space="preserve">For future clients, choose the default folder template during client creation or configure it in Settings &gt; Onboarding Defaults.</w:t>
      </w:r>
    </w:p>
    <w:p>
      <w:pPr>
        <w:spacing w:after="60"/>
      </w:pPr>
    </w:p>
    <w:p>
      <w:pPr>
        <w:spacing w:after="30" w:before="120"/>
      </w:pPr>
      <w:r>
        <w:rPr>
          <w:b/>
          <w:bCs/>
        </w:rPr>
        <w:t xml:space="preserve">7. How do I request documents from a client?</w:t>
      </w:r>
    </w:p>
    <w:p>
      <w:pPr>
        <w:spacing w:after="20"/>
        <w:ind w:left="360"/>
      </w:pPr>
      <w:r>
        <w:t xml:space="preserve">A document request tells the client exactly what the firm needs and keeps the response attached to the client workspace.</w:t>
      </w:r>
    </w:p>
    <w:p>
      <w:pPr>
        <w:pStyle w:val="ListParagraph"/>
        <w:numPr>
          <w:ilvl w:val="0"/>
          <w:numId w:val="2"/>
        </w:numPr>
        <w:spacing w:after="20"/>
        <w:ind w:left="720"/>
      </w:pPr>
      <w:r>
        <w:t xml:space="preserve">Open the client and choose Documents.</w:t>
      </w:r>
    </w:p>
    <w:p>
      <w:pPr>
        <w:pStyle w:val="ListParagraph"/>
        <w:numPr>
          <w:ilvl w:val="0"/>
          <w:numId w:val="2"/>
        </w:numPr>
        <w:spacing w:after="20"/>
        <w:ind w:left="720"/>
      </w:pPr>
      <w:r>
        <w:t xml:space="preserve">Select Request and describe each document or item needed.</w:t>
      </w:r>
    </w:p>
    <w:p>
      <w:pPr>
        <w:pStyle w:val="ListParagraph"/>
        <w:numPr>
          <w:ilvl w:val="0"/>
          <w:numId w:val="2"/>
        </w:numPr>
        <w:spacing w:after="20"/>
        <w:ind w:left="720"/>
      </w:pPr>
      <w:r>
        <w:t xml:space="preserve">Set any request details, destination, or due information offered by the form.</w:t>
      </w:r>
    </w:p>
    <w:p>
      <w:pPr>
        <w:pStyle w:val="ListParagraph"/>
        <w:numPr>
          <w:ilvl w:val="0"/>
          <w:numId w:val="2"/>
        </w:numPr>
        <w:spacing w:after="20"/>
        <w:ind w:left="720"/>
      </w:pPr>
      <w:r>
        <w:t xml:space="preserve">Review the recipient and send the request.</w:t>
      </w:r>
    </w:p>
    <w:p>
      <w:pPr>
        <w:pStyle w:val="ListParagraph"/>
        <w:numPr>
          <w:ilvl w:val="0"/>
          <w:numId w:val="2"/>
        </w:numPr>
        <w:spacing w:after="20"/>
        <w:ind w:left="720"/>
      </w:pPr>
      <w:r>
        <w:t xml:space="preserve">The client receives the request through the client experience and uploads the files against it.</w:t>
      </w:r>
    </w:p>
    <w:p>
      <w:pPr>
        <w:pStyle w:val="ListParagraph"/>
        <w:numPr>
          <w:ilvl w:val="0"/>
          <w:numId w:val="2"/>
        </w:numPr>
        <w:spacing w:after="20"/>
        <w:ind w:left="720"/>
      </w:pPr>
      <w:r>
        <w:t xml:space="preserve">Return to the Requests view to monitor the outstanding item; completed uploads remain available in the client's Documents workspace.</w:t>
      </w:r>
    </w:p>
    <w:p>
      <w:pPr>
        <w:spacing w:after="60"/>
      </w:pPr>
    </w:p>
    <w:p>
      <w:pPr>
        <w:spacing w:after="30" w:before="120"/>
      </w:pPr>
      <w:r>
        <w:rPr>
          <w:b/>
          <w:bCs/>
        </w:rPr>
        <w:t xml:space="preserve">8. What happens if a client doesn't respond to a document request?</w:t>
      </w:r>
    </w:p>
    <w:p>
      <w:pPr>
        <w:spacing w:after="20"/>
        <w:ind w:left="360"/>
      </w:pPr>
      <w:r>
        <w:t xml:space="preserve">AssurePro can continue following up through the configured Document requests reminder schedule, so staff do not have to rely only on manual chasing.</w:t>
      </w:r>
    </w:p>
    <w:p>
      <w:pPr>
        <w:pStyle w:val="ListParagraph"/>
        <w:numPr>
          <w:ilvl w:val="0"/>
          <w:numId w:val="2"/>
        </w:numPr>
        <w:spacing w:after="20"/>
        <w:ind w:left="720"/>
      </w:pPr>
      <w:r>
        <w:t xml:space="preserve">Open Settings and choose Reminders.</w:t>
      </w:r>
    </w:p>
    <w:p>
      <w:pPr>
        <w:pStyle w:val="ListParagraph"/>
        <w:numPr>
          <w:ilvl w:val="0"/>
          <w:numId w:val="2"/>
        </w:numPr>
        <w:spacing w:after="20"/>
        <w:ind w:left="720"/>
      </w:pPr>
      <w:r>
        <w:t xml:space="preserve">Confirm that Document requests reminders are enabled.</w:t>
      </w:r>
    </w:p>
    <w:p>
      <w:pPr>
        <w:pStyle w:val="ListParagraph"/>
        <w:numPr>
          <w:ilvl w:val="0"/>
          <w:numId w:val="2"/>
        </w:numPr>
        <w:spacing w:after="20"/>
        <w:ind w:left="720"/>
      </w:pPr>
      <w:r>
        <w:t xml:space="preserve">Review or edit the initial delay, repeat interval, and total number of reminders.</w:t>
      </w:r>
    </w:p>
    <w:p>
      <w:pPr>
        <w:pStyle w:val="ListParagraph"/>
        <w:numPr>
          <w:ilvl w:val="0"/>
          <w:numId w:val="2"/>
        </w:numPr>
        <w:spacing w:after="20"/>
        <w:ind w:left="720"/>
      </w:pPr>
      <w:r>
        <w:t xml:space="preserve">Monitor the request from the client's Documents &gt; Requests view.</w:t>
      </w:r>
    </w:p>
    <w:p>
      <w:pPr>
        <w:pStyle w:val="ListParagraph"/>
        <w:numPr>
          <w:ilvl w:val="0"/>
          <w:numId w:val="2"/>
        </w:numPr>
        <w:spacing w:after="20"/>
        <w:ind w:left="720"/>
      </w:pPr>
      <w:r>
        <w:t xml:space="preserve">If the request remains outstanding after the automated sequence, contact the client from Communications and document the follow-up in the shared conversation history.</w:t>
      </w:r>
    </w:p>
    <w:p>
      <w:pPr>
        <w:spacing w:after="60"/>
      </w:pPr>
    </w:p>
    <w:p>
      <w:pPr>
        <w:spacing w:after="30" w:before="120"/>
      </w:pPr>
      <w:r>
        <w:rPr>
          <w:b/>
          <w:bCs/>
        </w:rPr>
        <w:t xml:space="preserve">9. What is the difference between Request, Import, and Upload?</w:t>
      </w:r>
    </w:p>
    <w:p>
      <w:pPr>
        <w:spacing w:after="60"/>
        <w:ind w:left="360"/>
      </w:pPr>
      <w:r>
        <w:t xml:space="preserve">Request asks the client to provide documents through the portal. Import brings documents from connected Dropbox or OneDrive storage. Upload adds a file available on the user's computer directly to the selected client workspace. Choose the action based on who currently has the file and where it is stored.</w:t>
      </w:r>
    </w:p>
    <w:p>
      <w:pPr>
        <w:spacing w:after="30" w:before="120"/>
      </w:pPr>
      <w:r>
        <w:rPr>
          <w:b/>
          <w:bCs/>
        </w:rPr>
        <w:t xml:space="preserve">10. How do I upload a document to a client workspace?</w:t>
      </w:r>
    </w:p>
    <w:p>
      <w:pPr>
        <w:spacing w:after="20"/>
        <w:ind w:left="360"/>
      </w:pPr>
      <w:r>
        <w:t xml:space="preserve">Upload places a local file into the selected client's document structure.</w:t>
      </w:r>
    </w:p>
    <w:p>
      <w:pPr>
        <w:pStyle w:val="ListParagraph"/>
        <w:numPr>
          <w:ilvl w:val="0"/>
          <w:numId w:val="2"/>
        </w:numPr>
        <w:spacing w:after="20"/>
        <w:ind w:left="720"/>
      </w:pPr>
      <w:r>
        <w:t xml:space="preserve">Open Documents and select the client.</w:t>
      </w:r>
    </w:p>
    <w:p>
      <w:pPr>
        <w:pStyle w:val="ListParagraph"/>
        <w:numPr>
          <w:ilvl w:val="0"/>
          <w:numId w:val="2"/>
        </w:numPr>
        <w:spacing w:after="20"/>
        <w:ind w:left="720"/>
      </w:pPr>
      <w:r>
        <w:t xml:space="preserve">Choose the destination folder in the folder tree, or create a folder first with New Folder.</w:t>
      </w:r>
    </w:p>
    <w:p>
      <w:pPr>
        <w:pStyle w:val="ListParagraph"/>
        <w:numPr>
          <w:ilvl w:val="0"/>
          <w:numId w:val="2"/>
        </w:numPr>
        <w:spacing w:after="20"/>
        <w:ind w:left="720"/>
      </w:pPr>
      <w:r>
        <w:t xml:space="preserve">Select Upload and choose the local file.</w:t>
      </w:r>
    </w:p>
    <w:p>
      <w:pPr>
        <w:pStyle w:val="ListParagraph"/>
        <w:numPr>
          <w:ilvl w:val="0"/>
          <w:numId w:val="2"/>
        </w:numPr>
        <w:spacing w:after="20"/>
        <w:ind w:left="720"/>
      </w:pPr>
      <w:r>
        <w:t xml:space="preserve">Confirm the destination and review the uploaded file in the client workspace.</w:t>
      </w:r>
    </w:p>
    <w:p>
      <w:pPr>
        <w:spacing w:after="60"/>
      </w:pPr>
    </w:p>
    <w:p>
      <w:pPr>
        <w:spacing w:after="30" w:before="120"/>
      </w:pPr>
      <w:r>
        <w:rPr>
          <w:b/>
          <w:bCs/>
        </w:rPr>
        <w:t xml:space="preserve">11. How do I import documents from Dropbox or OneDrive?</w:t>
      </w:r>
    </w:p>
    <w:p>
      <w:pPr>
        <w:spacing w:after="20"/>
        <w:ind w:left="360"/>
      </w:pPr>
      <w:r>
        <w:t xml:space="preserve">A storage connection must be configured before cloud import is available. If neither provider is connected, AssurePro directs the user to Settings.</w:t>
      </w:r>
    </w:p>
    <w:p>
      <w:pPr>
        <w:pStyle w:val="ListParagraph"/>
        <w:numPr>
          <w:ilvl w:val="0"/>
          <w:numId w:val="2"/>
        </w:numPr>
        <w:spacing w:after="20"/>
        <w:ind w:left="720"/>
      </w:pPr>
      <w:r>
        <w:t xml:space="preserve">Open Settings, choose Integrations, and connect Dropbox or OneDrive.</w:t>
      </w:r>
    </w:p>
    <w:p>
      <w:pPr>
        <w:pStyle w:val="ListParagraph"/>
        <w:numPr>
          <w:ilvl w:val="0"/>
          <w:numId w:val="2"/>
        </w:numPr>
        <w:spacing w:after="20"/>
        <w:ind w:left="720"/>
      </w:pPr>
      <w:r>
        <w:t xml:space="preserve">Return to Documents and select the client and destination folder.</w:t>
      </w:r>
    </w:p>
    <w:p>
      <w:pPr>
        <w:pStyle w:val="ListParagraph"/>
        <w:numPr>
          <w:ilvl w:val="0"/>
          <w:numId w:val="2"/>
        </w:numPr>
        <w:spacing w:after="20"/>
        <w:ind w:left="720"/>
      </w:pPr>
      <w:r>
        <w:t xml:space="preserve">Select Import and choose content from the connected storage provider.</w:t>
      </w:r>
    </w:p>
    <w:p>
      <w:pPr>
        <w:pStyle w:val="ListParagraph"/>
        <w:numPr>
          <w:ilvl w:val="0"/>
          <w:numId w:val="2"/>
        </w:numPr>
        <w:spacing w:after="20"/>
        <w:ind w:left="720"/>
      </w:pPr>
      <w:r>
        <w:t xml:space="preserve">Complete the import and confirm the files in the client's document list.</w:t>
      </w:r>
    </w:p>
    <w:p>
      <w:pPr>
        <w:spacing w:after="60"/>
      </w:pPr>
    </w:p>
    <w:p>
      <w:pPr>
        <w:spacing w:after="30" w:before="120"/>
      </w:pPr>
      <w:r>
        <w:rPr>
          <w:b/>
          <w:bCs/>
        </w:rPr>
        <w:t xml:space="preserve">12. How do I find a file or review outstanding requests?</w:t>
      </w:r>
    </w:p>
    <w:p>
      <w:pPr>
        <w:spacing w:after="20"/>
        <w:ind w:left="360"/>
      </w:pPr>
      <w:r>
        <w:t xml:space="preserve">The client Documents workspace provides search, source filters, display controls, and separate Files and Requests views.</w:t>
      </w:r>
    </w:p>
    <w:p>
      <w:pPr>
        <w:pStyle w:val="ListParagraph"/>
        <w:numPr>
          <w:ilvl w:val="0"/>
          <w:numId w:val="2"/>
        </w:numPr>
        <w:spacing w:after="20"/>
        <w:ind w:left="720"/>
      </w:pPr>
      <w:r>
        <w:t xml:space="preserve">Select the client in Documents.</w:t>
      </w:r>
    </w:p>
    <w:p>
      <w:pPr>
        <w:pStyle w:val="ListParagraph"/>
        <w:numPr>
          <w:ilvl w:val="0"/>
          <w:numId w:val="2"/>
        </w:numPr>
        <w:spacing w:after="20"/>
        <w:ind w:left="720"/>
      </w:pPr>
      <w:r>
        <w:t xml:space="preserve">Use the folder tree or All Documents to set the scope.</w:t>
      </w:r>
    </w:p>
    <w:p>
      <w:pPr>
        <w:pStyle w:val="ListParagraph"/>
        <w:numPr>
          <w:ilvl w:val="0"/>
          <w:numId w:val="2"/>
        </w:numPr>
        <w:spacing w:after="20"/>
        <w:ind w:left="720"/>
      </w:pPr>
      <w:r>
        <w:t xml:space="preserve">Search by file name and narrow the source to All, Requested, or Internal when helpful.</w:t>
      </w:r>
    </w:p>
    <w:p>
      <w:pPr>
        <w:pStyle w:val="ListParagraph"/>
        <w:numPr>
          <w:ilvl w:val="0"/>
          <w:numId w:val="2"/>
        </w:numPr>
        <w:spacing w:after="20"/>
        <w:ind w:left="720"/>
      </w:pPr>
      <w:r>
        <w:t xml:space="preserve">Switch between Files and Requests, and use list or grid view and the file-type filter to refine the results.</w:t>
      </w:r>
    </w:p>
    <w:p>
      <w:pPr>
        <w:spacing w:after="60"/>
      </w:pPr>
    </w:p>
    <w:p>
      <w:pPr>
        <w:spacing w:after="30" w:before="120"/>
      </w:pPr>
      <w:r>
        <w:rPr>
          <w:b/>
          <w:bCs/>
        </w:rPr>
        <w:t xml:space="preserve">13. Can client documents be organized by tax year or reporting period?</w:t>
      </w:r>
    </w:p>
    <w:p>
      <w:pPr>
        <w:spacing w:after="60"/>
        <w:ind w:left="360"/>
      </w:pPr>
      <w:r>
        <w:t xml:space="preserve">Yes. Administrators can build year- or period-based folders into a Folder Template, and staff can also create folders directly in a client's Documents tab. Apply the appropriate template to keep the same structure across clients; AssurePro does not require every firm to use one fixed folder hierarchy.</w:t>
      </w:r>
    </w:p>
    <w:p>
      <w:pPr>
        <w:spacing w:after="30" w:before="120"/>
      </w:pPr>
      <w:r>
        <w:rPr>
          <w:b/>
          <w:bCs/>
        </w:rPr>
        <w:t xml:space="preserve">14. Can documents be brought in from cloud storage?</w:t>
      </w:r>
    </w:p>
    <w:p>
      <w:pPr>
        <w:spacing w:after="60"/>
        <w:ind w:left="360"/>
      </w:pPr>
      <w:r>
        <w:t xml:space="preserve">Integrations supports Dropbox and OneDrive. Staff can import client documents without first downloading and re-uploading them, and synced folders can automatically bring new files from a connected cloud folder into a client's documents.</w:t>
      </w:r>
    </w:p>
    <w:p>
      <w:pPr>
        <w:pStyle w:val="Heading2"/>
        <w:spacing w:after="80" w:before="200"/>
      </w:pPr>
      <w:r>
        <w:t xml:space="preserve">Workflow  (11)</w:t>
      </w:r>
    </w:p>
    <w:p>
      <w:pPr>
        <w:spacing w:after="30" w:before="120"/>
      </w:pPr>
      <w:r>
        <w:rPr>
          <w:b/>
          <w:bCs/>
        </w:rPr>
        <w:t xml:space="preserve">1. What views are available for engagement work?</w:t>
      </w:r>
    </w:p>
    <w:p>
      <w:pPr>
        <w:spacing w:after="60"/>
        <w:ind w:left="360"/>
      </w:pPr>
      <w:r>
        <w:t xml:space="preserve">Workflow provides Board, List, and Tasks views. Staff can select a workflow, search engagements, create a new engagement, customize displayed information, and open workflow configuration.</w:t>
      </w:r>
    </w:p>
    <w:p>
      <w:pPr>
        <w:spacing w:after="30" w:before="120"/>
      </w:pPr>
      <w:r>
        <w:rPr>
          <w:b/>
          <w:bCs/>
        </w:rPr>
        <w:t xml:space="preserve">2. What does the Workflow board show?</w:t>
      </w:r>
    </w:p>
    <w:p>
      <w:pPr>
        <w:spacing w:after="60"/>
        <w:ind w:left="360"/>
      </w:pPr>
      <w:r>
        <w:t xml:space="preserve">The Board groups engagements by configured stages and shows stage totals, engagement value, priority, role assignments, due dates, time in stage, start date, and task progress. The Overview also surfaces open, due-soon, past-due, stalled, and review-related work.</w:t>
      </w:r>
    </w:p>
    <w:p>
      <w:pPr>
        <w:spacing w:after="30" w:before="120"/>
      </w:pPr>
      <w:r>
        <w:rPr>
          <w:b/>
          <w:bCs/>
        </w:rPr>
        <w:t xml:space="preserve">3. How are engagement workflows configured?</w:t>
      </w:r>
    </w:p>
    <w:p>
      <w:pPr>
        <w:spacing w:after="20"/>
        <w:ind w:left="360"/>
      </w:pPr>
      <w:r>
        <w:t xml:space="preserve">A workflow is the reusable operating path applied to engagements of the relevant type. Administrators define the stages, the order in which work moves, the controls for advancing, and the task templates that should be created as an engagement reaches each stage.</w:t>
      </w:r>
    </w:p>
    <w:p>
      <w:pPr>
        <w:pStyle w:val="ListParagraph"/>
        <w:numPr>
          <w:ilvl w:val="0"/>
          <w:numId w:val="2"/>
        </w:numPr>
        <w:spacing w:after="20"/>
        <w:ind w:left="720"/>
      </w:pPr>
      <w:r>
        <w:t xml:space="preserve">Open Settings and choose Workflow, then open an existing workflow or select New Workflow.</w:t>
      </w:r>
    </w:p>
    <w:p>
      <w:pPr>
        <w:pStyle w:val="ListParagraph"/>
        <w:numPr>
          <w:ilvl w:val="0"/>
          <w:numId w:val="2"/>
        </w:numPr>
        <w:spacing w:after="20"/>
        <w:ind w:left="720"/>
      </w:pPr>
      <w:r>
        <w:t xml:space="preserve">Name the workflow and add the stages that represent the firm's delivery process, such as Intake, Document Collection, Preparation, Review, Client Approval, and Complete.</w:t>
      </w:r>
    </w:p>
    <w:p>
      <w:pPr>
        <w:pStyle w:val="ListParagraph"/>
        <w:numPr>
          <w:ilvl w:val="0"/>
          <w:numId w:val="2"/>
        </w:numPr>
        <w:spacing w:after="20"/>
        <w:ind w:left="720"/>
      </w:pPr>
      <w:r>
        <w:t xml:space="preserve">Drag the stages into the order staff should follow.</w:t>
      </w:r>
    </w:p>
    <w:p>
      <w:pPr>
        <w:pStyle w:val="ListParagraph"/>
        <w:numPr>
          <w:ilvl w:val="0"/>
          <w:numId w:val="2"/>
        </w:numPr>
        <w:spacing w:after="20"/>
        <w:ind w:left="720"/>
      </w:pPr>
      <w:r>
        <w:t xml:space="preserve">Choose strict stage behavior when required gates must be satisfied before an engagement advances; choose flexible behavior when staff may move work without every gate being mandatory.</w:t>
      </w:r>
    </w:p>
    <w:p>
      <w:pPr>
        <w:pStyle w:val="ListParagraph"/>
        <w:numPr>
          <w:ilvl w:val="0"/>
          <w:numId w:val="2"/>
        </w:numPr>
        <w:spacing w:after="20"/>
        <w:ind w:left="720"/>
      </w:pPr>
      <w:r>
        <w:t xml:space="preserve">Configure each stage's gates and add reusable task templates.</w:t>
      </w:r>
    </w:p>
    <w:p>
      <w:pPr>
        <w:pStyle w:val="ListParagraph"/>
        <w:numPr>
          <w:ilvl w:val="0"/>
          <w:numId w:val="2"/>
        </w:numPr>
        <w:spacing w:after="20"/>
        <w:ind w:left="720"/>
      </w:pPr>
      <w:r>
        <w:t xml:space="preserve">For every task template, enter a clear task name, assign the responsible role, set its relative due-date offset from the date the engagement enters the stage, and mark the task Required when it must be completed before progression.</w:t>
      </w:r>
    </w:p>
    <w:p>
      <w:pPr>
        <w:pStyle w:val="ListParagraph"/>
        <w:numPr>
          <w:ilvl w:val="0"/>
          <w:numId w:val="2"/>
        </w:numPr>
        <w:spacing w:after="20"/>
        <w:ind w:left="720"/>
      </w:pPr>
      <w:r>
        <w:t xml:space="preserve">Reorder the task templates so the generated engagement plan is easy for staff to follow.</w:t>
      </w:r>
    </w:p>
    <w:p>
      <w:pPr>
        <w:pStyle w:val="ListParagraph"/>
        <w:numPr>
          <w:ilvl w:val="0"/>
          <w:numId w:val="2"/>
        </w:numPr>
        <w:spacing w:after="20"/>
        <w:ind w:left="720"/>
      </w:pPr>
      <w:r>
        <w:t xml:space="preserve">Save the workflow, create or open a matching engagement, and confirm that its stages, generated tasks, assignee roles, due dates, and required controls behave as intended.</w:t>
      </w:r>
    </w:p>
    <w:p>
      <w:pPr>
        <w:pStyle w:val="ListParagraph"/>
        <w:numPr>
          <w:ilvl w:val="0"/>
          <w:numId w:val="2"/>
        </w:numPr>
        <w:spacing w:after="20"/>
        <w:ind w:left="720"/>
      </w:pPr>
      <w:r>
        <w:t xml:space="preserve">Use the active and overdue counts shown for each stage to maintain the workflow after rollout and correct recurring bottlenecks.</w:t>
      </w:r>
    </w:p>
    <w:p>
      <w:pPr>
        <w:spacing w:after="60"/>
      </w:pPr>
    </w:p>
    <w:p>
      <w:pPr>
        <w:spacing w:after="30" w:before="120"/>
      </w:pPr>
      <w:r>
        <w:rPr>
          <w:b/>
          <w:bCs/>
        </w:rPr>
        <w:t xml:space="preserve">4. How do I create a workflow?</w:t>
      </w:r>
    </w:p>
    <w:p>
      <w:pPr>
        <w:spacing w:after="60"/>
        <w:ind w:left="360"/>
      </w:pPr>
      <w:r>
        <w:t xml:space="preserve">Open Settings, choose Workflow, and select New Workflow. Add and order the required stages, then add task templates to each stage with the appropriate role, relative due date, and required status. The configured workflow becomes available when new engagements are created.</w:t>
      </w:r>
    </w:p>
    <w:p>
      <w:pPr>
        <w:spacing w:after="30" w:before="120"/>
      </w:pPr>
      <w:r>
        <w:rPr>
          <w:b/>
          <w:bCs/>
        </w:rPr>
        <w:t xml:space="preserve">5. What can be configured on workflow task templates?</w:t>
      </w:r>
    </w:p>
    <w:p>
      <w:pPr>
        <w:spacing w:after="60"/>
        <w:ind w:left="360"/>
      </w:pPr>
      <w:r>
        <w:t xml:space="preserve">A task template has a task name, responsible role, relative due-date offset from the time the engagement enters the stage, and an optional Required designation. Administrators can add, edit, delete, and drag task templates into the required order inside each stage.</w:t>
      </w:r>
    </w:p>
    <w:p>
      <w:pPr>
        <w:spacing w:after="30" w:before="120"/>
      </w:pPr>
      <w:r>
        <w:rPr>
          <w:b/>
          <w:bCs/>
        </w:rPr>
        <w:t xml:space="preserve">6. What is Firm SOP and how is it managed?</w:t>
      </w:r>
    </w:p>
    <w:p>
      <w:pPr>
        <w:spacing w:after="20"/>
        <w:ind w:left="360"/>
      </w:pPr>
      <w:r>
        <w:t xml:space="preserve">Firm SOP stores firm-wide procedures so preparers can follow one documented method. The page separates All, Pending, Active, Draft, and Rejected items and provides New SOP to start a procedure; client-specific procedures remain in the client's AI SOP tab.</w:t>
      </w:r>
    </w:p>
    <w:p>
      <w:pPr>
        <w:pStyle w:val="ListParagraph"/>
        <w:numPr>
          <w:ilvl w:val="0"/>
          <w:numId w:val="2"/>
        </w:numPr>
        <w:spacing w:after="20"/>
        <w:ind w:left="720"/>
      </w:pPr>
      <w:r>
        <w:t xml:space="preserve">Open Settings and choose Firm SOP.</w:t>
      </w:r>
    </w:p>
    <w:p>
      <w:pPr>
        <w:pStyle w:val="ListParagraph"/>
        <w:numPr>
          <w:ilvl w:val="0"/>
          <w:numId w:val="2"/>
        </w:numPr>
        <w:spacing w:after="20"/>
        <w:ind w:left="720"/>
      </w:pPr>
      <w:r>
        <w:t xml:space="preserve">Select New SOP and document the procedure.</w:t>
      </w:r>
    </w:p>
    <w:p>
      <w:pPr>
        <w:pStyle w:val="ListParagraph"/>
        <w:numPr>
          <w:ilvl w:val="0"/>
          <w:numId w:val="2"/>
        </w:numPr>
        <w:spacing w:after="20"/>
        <w:ind w:left="720"/>
      </w:pPr>
      <w:r>
        <w:t xml:space="preserve">Save it in the appropriate workflow state and use the status tabs to review Pending, Active, Draft, or Rejected SOPs.</w:t>
      </w:r>
    </w:p>
    <w:p>
      <w:pPr>
        <w:pStyle w:val="ListParagraph"/>
        <w:numPr>
          <w:ilvl w:val="0"/>
          <w:numId w:val="2"/>
        </w:numPr>
        <w:spacing w:after="20"/>
        <w:ind w:left="720"/>
      </w:pPr>
      <w:r>
        <w:t xml:space="preserve">Keep client-specific instructions in that client's AI SOP rather than in the firm-wide library.</w:t>
      </w:r>
    </w:p>
    <w:p>
      <w:pPr>
        <w:spacing w:after="60"/>
      </w:pPr>
    </w:p>
    <w:p>
      <w:pPr>
        <w:spacing w:after="30" w:before="120"/>
      </w:pPr>
      <w:r>
        <w:rPr>
          <w:b/>
          <w:bCs/>
        </w:rPr>
        <w:t xml:space="preserve">7. How is a new engagement created?</w:t>
      </w:r>
    </w:p>
    <w:p>
      <w:pPr>
        <w:spacing w:after="20"/>
        <w:ind w:left="360"/>
      </w:pPr>
      <w:r>
        <w:t xml:space="preserve">An engagement can be started from Workflow or from the selected client's Engagements tab.</w:t>
      </w:r>
    </w:p>
    <w:p>
      <w:pPr>
        <w:pStyle w:val="ListParagraph"/>
        <w:numPr>
          <w:ilvl w:val="0"/>
          <w:numId w:val="2"/>
        </w:numPr>
        <w:spacing w:after="20"/>
        <w:ind w:left="720"/>
      </w:pPr>
      <w:r>
        <w:t xml:space="preserve">Select New Engagement.</w:t>
      </w:r>
    </w:p>
    <w:p>
      <w:pPr>
        <w:pStyle w:val="ListParagraph"/>
        <w:numPr>
          <w:ilvl w:val="0"/>
          <w:numId w:val="2"/>
        </w:numPr>
        <w:spacing w:after="20"/>
        <w:ind w:left="720"/>
      </w:pPr>
      <w:r>
        <w:t xml:space="preserve">Search for and select the client; if the client is missing, choose Create new client.</w:t>
      </w:r>
    </w:p>
    <w:p>
      <w:pPr>
        <w:pStyle w:val="ListParagraph"/>
        <w:numPr>
          <w:ilvl w:val="0"/>
          <w:numId w:val="2"/>
        </w:numPr>
        <w:spacing w:after="20"/>
        <w:ind w:left="720"/>
      </w:pPr>
      <w:r>
        <w:t xml:space="preserve">Search for and select the Engagement type. AssurePro uses that selection to set up the rest of the engagement.</w:t>
      </w:r>
    </w:p>
    <w:p>
      <w:pPr>
        <w:pStyle w:val="ListParagraph"/>
        <w:numPr>
          <w:ilvl w:val="0"/>
          <w:numId w:val="2"/>
        </w:numPr>
        <w:spacing w:after="20"/>
        <w:ind w:left="720"/>
      </w:pPr>
      <w:r>
        <w:t xml:space="preserve">Complete the engagement details presented for that type and select Create Engagement.</w:t>
      </w:r>
    </w:p>
    <w:p>
      <w:pPr>
        <w:pStyle w:val="ListParagraph"/>
        <w:numPr>
          <w:ilvl w:val="0"/>
          <w:numId w:val="2"/>
        </w:numPr>
        <w:spacing w:after="20"/>
        <w:ind w:left="720"/>
      </w:pPr>
      <w:r>
        <w:t xml:space="preserve">Open the new engagement to review its configured workflow stages, tasks, roles, and dates.</w:t>
      </w:r>
    </w:p>
    <w:p>
      <w:pPr>
        <w:spacing w:after="60"/>
      </w:pPr>
    </w:p>
    <w:p>
      <w:pPr>
        <w:spacing w:after="30" w:before="120"/>
      </w:pPr>
      <w:r>
        <w:rPr>
          <w:b/>
          <w:bCs/>
        </w:rPr>
        <w:t xml:space="preserve">8. How should staff use Board, List, and Tasks views?</w:t>
      </w:r>
    </w:p>
    <w:p>
      <w:pPr>
        <w:spacing w:after="20"/>
        <w:ind w:left="360"/>
      </w:pPr>
      <w:r>
        <w:t xml:space="preserve">Board is best for seeing engagements by workflow stage, List is best for scanning engagement records in rows, and Tasks focuses on the work items assigned within engagements.</w:t>
      </w:r>
    </w:p>
    <w:p>
      <w:pPr>
        <w:pStyle w:val="ListParagraph"/>
        <w:numPr>
          <w:ilvl w:val="0"/>
          <w:numId w:val="2"/>
        </w:numPr>
        <w:spacing w:after="20"/>
        <w:ind w:left="720"/>
      </w:pPr>
      <w:r>
        <w:t xml:space="preserve">Open Workflow and select the workflow you want to review.</w:t>
      </w:r>
    </w:p>
    <w:p>
      <w:pPr>
        <w:pStyle w:val="ListParagraph"/>
        <w:numPr>
          <w:ilvl w:val="0"/>
          <w:numId w:val="2"/>
        </w:numPr>
        <w:spacing w:after="20"/>
        <w:ind w:left="720"/>
      </w:pPr>
      <w:r>
        <w:t xml:space="preserve">Use Board to identify stage volume, overdue work, role assignments, due dates, days in stage, and task progress.</w:t>
      </w:r>
    </w:p>
    <w:p>
      <w:pPr>
        <w:pStyle w:val="ListParagraph"/>
        <w:numPr>
          <w:ilvl w:val="0"/>
          <w:numId w:val="2"/>
        </w:numPr>
        <w:spacing w:after="20"/>
        <w:ind w:left="720"/>
      </w:pPr>
      <w:r>
        <w:t xml:space="preserve">Use List when you need a compact record-level view and search.</w:t>
      </w:r>
    </w:p>
    <w:p>
      <w:pPr>
        <w:pStyle w:val="ListParagraph"/>
        <w:numPr>
          <w:ilvl w:val="0"/>
          <w:numId w:val="2"/>
        </w:numPr>
        <w:spacing w:after="20"/>
        <w:ind w:left="720"/>
      </w:pPr>
      <w:r>
        <w:t xml:space="preserve">Use Tasks to focus on the individual work items and their status.</w:t>
      </w:r>
    </w:p>
    <w:p>
      <w:pPr>
        <w:spacing w:after="60"/>
      </w:pPr>
    </w:p>
    <w:p>
      <w:pPr>
        <w:spacing w:after="30" w:before="120"/>
      </w:pPr>
      <w:r>
        <w:rPr>
          <w:b/>
          <w:bCs/>
        </w:rPr>
        <w:t xml:space="preserve">9. Can an engagement repeat?</w:t>
      </w:r>
    </w:p>
    <w:p>
      <w:pPr>
        <w:spacing w:after="60"/>
        <w:ind w:left="360"/>
      </w:pPr>
      <w:r>
        <w:t xml:space="preserve">Yes. Workflow includes recurring engagements and shows recurrence badges such as monthly and semesterly, occurrence counts, and a Finished repeating state. Recurrence availability and options are determined during the selected engagement setup.</w:t>
      </w:r>
    </w:p>
    <w:p>
      <w:pPr>
        <w:spacing w:after="30" w:before="120"/>
      </w:pPr>
      <w:r>
        <w:rPr>
          <w:b/>
          <w:bCs/>
        </w:rPr>
        <w:t xml:space="preserve">10. How are tasks tracked?</w:t>
      </w:r>
    </w:p>
    <w:p>
      <w:pPr>
        <w:spacing w:after="60"/>
        <w:ind w:left="360"/>
      </w:pPr>
      <w:r>
        <w:t xml:space="preserve">Tasks can carry a priority, due date, assignee, completion state, and engagement context. They appear in Workflow, on the client Overview, and in dashboard task and review widgets, with overdue work called out separately.</w:t>
      </w:r>
    </w:p>
    <w:p>
      <w:pPr>
        <w:spacing w:after="30" w:before="120"/>
      </w:pPr>
      <w:r>
        <w:rPr>
          <w:b/>
          <w:bCs/>
        </w:rPr>
        <w:t xml:space="preserve">11. Can standard operating procedures be managed in AssurePro?</w:t>
      </w:r>
    </w:p>
    <w:p>
      <w:pPr>
        <w:spacing w:after="60"/>
        <w:ind w:left="360"/>
      </w:pPr>
      <w:r>
        <w:t xml:space="preserve">Yes. Firm SOP stores firm-wide procedures with Pending, Active, Draft, and Rejected states. A client's AI SOP tab stores client-specific procedures so the work can follow the same documented steps across preparers.</w:t>
      </w:r>
    </w:p>
    <w:p>
      <w:pPr>
        <w:pStyle w:val="Heading2"/>
        <w:spacing w:after="80" w:before="200"/>
      </w:pPr>
      <w:r>
        <w:t xml:space="preserve">Time Sheet  (4)</w:t>
      </w:r>
    </w:p>
    <w:p>
      <w:pPr>
        <w:spacing w:after="30" w:before="120"/>
      </w:pPr>
      <w:r>
        <w:rPr>
          <w:b/>
          <w:bCs/>
        </w:rPr>
        <w:t xml:space="preserve">1. How does the time tracker work?</w:t>
      </w:r>
    </w:p>
    <w:p>
      <w:pPr>
        <w:spacing w:after="20"/>
        <w:ind w:left="360"/>
      </w:pPr>
      <w:r>
        <w:t xml:space="preserve">The header timer records work while it is being performed and keeps the entry connected to the correct client, engagement, task, billing treatment, and staff member.</w:t>
      </w:r>
    </w:p>
    <w:p>
      <w:pPr>
        <w:pStyle w:val="ListParagraph"/>
        <w:numPr>
          <w:ilvl w:val="0"/>
          <w:numId w:val="2"/>
        </w:numPr>
        <w:spacing w:after="20"/>
        <w:ind w:left="720"/>
      </w:pPr>
      <w:r>
        <w:t xml:space="preserve">Open the timer from the application header.</w:t>
      </w:r>
    </w:p>
    <w:p>
      <w:pPr>
        <w:pStyle w:val="ListParagraph"/>
        <w:numPr>
          <w:ilvl w:val="0"/>
          <w:numId w:val="2"/>
        </w:numPr>
        <w:spacing w:after="20"/>
        <w:ind w:left="720"/>
      </w:pPr>
      <w:r>
        <w:t xml:space="preserve">Choose Client work or Internal work, then select the client and engagement when applicable.</w:t>
      </w:r>
    </w:p>
    <w:p>
      <w:pPr>
        <w:pStyle w:val="ListParagraph"/>
        <w:numPr>
          <w:ilvl w:val="0"/>
          <w:numId w:val="2"/>
        </w:numPr>
        <w:spacing w:after="20"/>
        <w:ind w:left="720"/>
      </w:pPr>
      <w:r>
        <w:t xml:space="preserve">Select an existing task or create the task needed for the entry.</w:t>
      </w:r>
    </w:p>
    <w:p>
      <w:pPr>
        <w:pStyle w:val="ListParagraph"/>
        <w:numPr>
          <w:ilvl w:val="0"/>
          <w:numId w:val="2"/>
        </w:numPr>
        <w:spacing w:after="20"/>
        <w:ind w:left="720"/>
      </w:pPr>
      <w:r>
        <w:t xml:space="preserve">Start the timer for live tracking, or enter the hours and minutes manually.</w:t>
      </w:r>
    </w:p>
    <w:p>
      <w:pPr>
        <w:pStyle w:val="ListParagraph"/>
        <w:numPr>
          <w:ilvl w:val="0"/>
          <w:numId w:val="2"/>
        </w:numPr>
        <w:spacing w:after="20"/>
        <w:ind w:left="720"/>
      </w:pPr>
      <w:r>
        <w:t xml:space="preserve">Confirm the work date, add a useful description, and mark the time billable or non-billable.</w:t>
      </w:r>
    </w:p>
    <w:p>
      <w:pPr>
        <w:pStyle w:val="ListParagraph"/>
        <w:numPr>
          <w:ilvl w:val="0"/>
          <w:numId w:val="2"/>
        </w:numPr>
        <w:spacing w:after="20"/>
        <w:ind w:left="720"/>
      </w:pPr>
      <w:r>
        <w:t xml:space="preserve">Save the entry and review it in Time Sheet, where the duration, rate, amount, billable status, and invoice status are visible.</w:t>
      </w:r>
    </w:p>
    <w:p>
      <w:pPr>
        <w:spacing w:after="60"/>
      </w:pPr>
    </w:p>
    <w:p>
      <w:pPr>
        <w:spacing w:after="30" w:before="120"/>
      </w:pPr>
      <w:r>
        <w:rPr>
          <w:b/>
          <w:bCs/>
        </w:rPr>
        <w:t xml:space="preserve">2. Can time be entered manually instead of using the timer?</w:t>
      </w:r>
    </w:p>
    <w:p>
      <w:pPr>
        <w:spacing w:after="20"/>
        <w:ind w:left="360"/>
      </w:pPr>
      <w:r>
        <w:t xml:space="preserve">Yes. Manual entry is useful for work completed away from the live timer, corrections, or time reconstructed from another reliable work record.</w:t>
      </w:r>
    </w:p>
    <w:p>
      <w:pPr>
        <w:pStyle w:val="ListParagraph"/>
        <w:numPr>
          <w:ilvl w:val="0"/>
          <w:numId w:val="2"/>
        </w:numPr>
        <w:spacing w:after="20"/>
        <w:ind w:left="720"/>
      </w:pPr>
      <w:r>
        <w:t xml:space="preserve">Open the time tracker and select the correct client or internal-work option.</w:t>
      </w:r>
    </w:p>
    <w:p>
      <w:pPr>
        <w:pStyle w:val="ListParagraph"/>
        <w:numPr>
          <w:ilvl w:val="0"/>
          <w:numId w:val="2"/>
        </w:numPr>
        <w:spacing w:after="20"/>
        <w:ind w:left="720"/>
      </w:pPr>
      <w:r>
        <w:t xml:space="preserve">Choose the engagement and task when the time relates to client work.</w:t>
      </w:r>
    </w:p>
    <w:p>
      <w:pPr>
        <w:pStyle w:val="ListParagraph"/>
        <w:numPr>
          <w:ilvl w:val="0"/>
          <w:numId w:val="2"/>
        </w:numPr>
        <w:spacing w:after="20"/>
        <w:ind w:left="720"/>
      </w:pPr>
      <w:r>
        <w:t xml:space="preserve">Enter the actual hours and minutes and select the date on which the work occurred.</w:t>
      </w:r>
    </w:p>
    <w:p>
      <w:pPr>
        <w:pStyle w:val="ListParagraph"/>
        <w:numPr>
          <w:ilvl w:val="0"/>
          <w:numId w:val="2"/>
        </w:numPr>
        <w:spacing w:after="20"/>
        <w:ind w:left="720"/>
      </w:pPr>
      <w:r>
        <w:t xml:space="preserve">Add a description that lets a reviewer understand what was completed.</w:t>
      </w:r>
    </w:p>
    <w:p>
      <w:pPr>
        <w:pStyle w:val="ListParagraph"/>
        <w:numPr>
          <w:ilvl w:val="0"/>
          <w:numId w:val="2"/>
        </w:numPr>
        <w:spacing w:after="20"/>
        <w:ind w:left="720"/>
      </w:pPr>
      <w:r>
        <w:t xml:space="preserve">Choose billable or non-billable and verify the rate when one applies.</w:t>
      </w:r>
    </w:p>
    <w:p>
      <w:pPr>
        <w:pStyle w:val="ListParagraph"/>
        <w:numPr>
          <w:ilvl w:val="0"/>
          <w:numId w:val="2"/>
        </w:numPr>
        <w:spacing w:after="20"/>
        <w:ind w:left="720"/>
      </w:pPr>
      <w:r>
        <w:t xml:space="preserve">Save the entry, then confirm its duration, amount, assignee, and invoice status in Time Sheet before it is included in billing.</w:t>
      </w:r>
    </w:p>
    <w:p>
      <w:pPr>
        <w:spacing w:after="60"/>
      </w:pPr>
    </w:p>
    <w:p>
      <w:pPr>
        <w:spacing w:after="30" w:before="120"/>
      </w:pPr>
      <w:r>
        <w:rPr>
          <w:b/>
          <w:bCs/>
        </w:rPr>
        <w:t xml:space="preserve">3. How does AssurePro support workload, capacity, and budget oversight?</w:t>
      </w:r>
    </w:p>
    <w:p>
      <w:pPr>
        <w:spacing w:after="20"/>
        <w:ind w:left="360"/>
      </w:pPr>
      <w:r>
        <w:t xml:space="preserve">AssurePro brings workload, progress, actual time, and financial reporting together so managers can decide where attention or reassignment is needed.</w:t>
      </w:r>
    </w:p>
    <w:p>
      <w:pPr>
        <w:pStyle w:val="ListParagraph"/>
        <w:numPr>
          <w:ilvl w:val="0"/>
          <w:numId w:val="2"/>
        </w:numPr>
        <w:spacing w:after="20"/>
        <w:ind w:left="720"/>
      </w:pPr>
      <w:r>
        <w:t xml:space="preserve">Use Team load to compare active staff, assigned task volume, overdue work, and members whose workload is marked as overloaded.</w:t>
      </w:r>
    </w:p>
    <w:p>
      <w:pPr>
        <w:pStyle w:val="ListParagraph"/>
        <w:numPr>
          <w:ilvl w:val="0"/>
          <w:numId w:val="2"/>
        </w:numPr>
        <w:spacing w:after="20"/>
        <w:ind w:left="720"/>
      </w:pPr>
      <w:r>
        <w:t xml:space="preserve">Use Workflow to review how many engagements sit in each stage, how long work has remained there, task completion, due dates, and bottlenecks that are affecting delivery.</w:t>
      </w:r>
    </w:p>
    <w:p>
      <w:pPr>
        <w:pStyle w:val="ListParagraph"/>
        <w:numPr>
          <w:ilvl w:val="0"/>
          <w:numId w:val="2"/>
        </w:numPr>
        <w:spacing w:after="20"/>
        <w:ind w:left="720"/>
      </w:pPr>
      <w:r>
        <w:t xml:space="preserve">Use Time Sheet to compare the actual hours recorded by client, engagement, task, or assignee and to distinguish billable, non-billable, invoiced, and uninvoiced time.</w:t>
      </w:r>
    </w:p>
    <w:p>
      <w:pPr>
        <w:pStyle w:val="ListParagraph"/>
        <w:numPr>
          <w:ilvl w:val="0"/>
          <w:numId w:val="2"/>
        </w:numPr>
        <w:spacing w:after="20"/>
        <w:ind w:left="720"/>
      </w:pPr>
      <w:r>
        <w:t xml:space="preserve">Use the available reporting widgets for time, utilization, workflow, and budget-versus-actual analysis when those measures are configured for the firm.</w:t>
      </w:r>
    </w:p>
    <w:p>
      <w:pPr>
        <w:pStyle w:val="ListParagraph"/>
        <w:numPr>
          <w:ilvl w:val="0"/>
          <w:numId w:val="2"/>
        </w:numPr>
        <w:spacing w:after="20"/>
        <w:ind w:left="720"/>
      </w:pPr>
      <w:r>
        <w:t xml:space="preserve">Example: if Team load shows one reviewer as overloaded, Workflow shows several files waiting in Review, and Time Sheet shows higher-than-expected actual hours, a manager can redistribute review tasks, update due dates, and investigate the source of the overrun.</w:t>
      </w:r>
    </w:p>
    <w:p>
      <w:pPr>
        <w:pStyle w:val="ListParagraph"/>
        <w:numPr>
          <w:ilvl w:val="0"/>
          <w:numId w:val="2"/>
        </w:numPr>
        <w:spacing w:after="20"/>
        <w:ind w:left="720"/>
      </w:pPr>
      <w:r>
        <w:t xml:space="preserve">Apply the same review on a regular cadence so capacity decisions use current assignments, deadlines, progress, and actual time rather than one isolated figure.</w:t>
      </w:r>
    </w:p>
    <w:p>
      <w:pPr>
        <w:spacing w:after="60"/>
      </w:pPr>
    </w:p>
    <w:p>
      <w:pPr>
        <w:spacing w:after="30" w:before="120"/>
      </w:pPr>
      <w:r>
        <w:rPr>
          <w:b/>
          <w:bCs/>
        </w:rPr>
        <w:t xml:space="preserve">4. What can we do in Time Sheet?</w:t>
      </w:r>
    </w:p>
    <w:p>
      <w:pPr>
        <w:spacing w:after="20"/>
        <w:ind w:left="360"/>
      </w:pPr>
      <w:r>
        <w:t xml:space="preserve">Time Sheet is the detailed register for reviewing recorded time and moving eligible billable entries into invoicing.</w:t>
      </w:r>
    </w:p>
    <w:p>
      <w:pPr>
        <w:pStyle w:val="ListParagraph"/>
        <w:numPr>
          <w:ilvl w:val="0"/>
          <w:numId w:val="2"/>
        </w:numPr>
        <w:spacing w:after="20"/>
        <w:ind w:left="720"/>
      </w:pPr>
      <w:r>
        <w:t xml:space="preserve">Review the date, start and end time, client, engagement, task, assignee, description, rate, duration, amount, billable status, and invoice status for each entry.</w:t>
      </w:r>
    </w:p>
    <w:p>
      <w:pPr>
        <w:pStyle w:val="ListParagraph"/>
        <w:numPr>
          <w:ilvl w:val="0"/>
          <w:numId w:val="2"/>
        </w:numPr>
        <w:spacing w:after="20"/>
        <w:ind w:left="720"/>
      </w:pPr>
      <w:r>
        <w:t xml:space="preserve">Search and filter the register to the client, engagement, task, assignee, date range, or status that needs review.</w:t>
      </w:r>
    </w:p>
    <w:p>
      <w:pPr>
        <w:pStyle w:val="ListParagraph"/>
        <w:numPr>
          <w:ilvl w:val="0"/>
          <w:numId w:val="2"/>
        </w:numPr>
        <w:spacing w:after="20"/>
        <w:ind w:left="720"/>
      </w:pPr>
      <w:r>
        <w:t xml:space="preserve">Group entries to compare time by client, engagement, task, or team member, and use the billable-only option when preparing billing.</w:t>
      </w:r>
    </w:p>
    <w:p>
      <w:pPr>
        <w:pStyle w:val="ListParagraph"/>
        <w:numPr>
          <w:ilvl w:val="0"/>
          <w:numId w:val="2"/>
        </w:numPr>
        <w:spacing w:after="20"/>
        <w:ind w:left="720"/>
      </w:pPr>
      <w:r>
        <w:t xml:space="preserve">Correct incomplete or inaccurate entries before they are invoiced, subject to the user's permissions.</w:t>
      </w:r>
    </w:p>
    <w:p>
      <w:pPr>
        <w:pStyle w:val="ListParagraph"/>
        <w:numPr>
          <w:ilvl w:val="0"/>
          <w:numId w:val="2"/>
        </w:numPr>
        <w:spacing w:after="20"/>
        <w:ind w:left="720"/>
      </w:pPr>
      <w:r>
        <w:t xml:space="preserve">Select eligible uninvoiced billable entries and choose Generate invoice, or import unbilled time from the invoice builder.</w:t>
      </w:r>
    </w:p>
    <w:p>
      <w:pPr>
        <w:pStyle w:val="ListParagraph"/>
        <w:numPr>
          <w:ilvl w:val="0"/>
          <w:numId w:val="2"/>
        </w:numPr>
        <w:spacing w:after="20"/>
        <w:ind w:left="720"/>
      </w:pPr>
      <w:r>
        <w:t xml:space="preserve">Export the filtered time data when the firm needs an external analysis or reconciliation.</w:t>
      </w:r>
    </w:p>
    <w:p>
      <w:pPr>
        <w:pStyle w:val="ListParagraph"/>
        <w:numPr>
          <w:ilvl w:val="0"/>
          <w:numId w:val="2"/>
        </w:numPr>
        <w:spacing w:after="20"/>
        <w:ind w:left="720"/>
      </w:pPr>
      <w:r>
        <w:t xml:space="preserve">Confirm invoice status after billing so the same time is not charged twice.</w:t>
      </w:r>
    </w:p>
    <w:p>
      <w:pPr>
        <w:spacing w:after="60"/>
      </w:pPr>
    </w:p>
    <w:p>
      <w:pPr>
        <w:pStyle w:val="Heading2"/>
        <w:spacing w:after="80" w:before="200"/>
      </w:pPr>
      <w:r>
        <w:t xml:space="preserve">Engagement letters  (14)</w:t>
      </w:r>
    </w:p>
    <w:p>
      <w:pPr>
        <w:spacing w:after="30" w:before="120"/>
      </w:pPr>
      <w:r>
        <w:rPr>
          <w:b/>
          <w:bCs/>
        </w:rPr>
        <w:t xml:space="preserve">1. What is the Engagement Letter area?</w:t>
      </w:r>
    </w:p>
    <w:p>
      <w:pPr>
        <w:spacing w:after="60"/>
        <w:ind w:left="360"/>
      </w:pPr>
      <w:r>
        <w:t xml:space="preserve">Engagement Letter is the hub for signing packages. It separates Sent, Drafts, Archived, and Templates, and the list tracks package name, ID, client, status, signing mode, tax year, sent and completed dates, creation date, and amount.</w:t>
      </w:r>
    </w:p>
    <w:p>
      <w:pPr>
        <w:spacing w:after="30" w:before="120"/>
      </w:pPr>
      <w:r>
        <w:rPr>
          <w:b/>
          <w:bCs/>
        </w:rPr>
        <w:t xml:space="preserve">2. How can a new signing package be started?</w:t>
      </w:r>
    </w:p>
    <w:p>
      <w:pPr>
        <w:spacing w:after="60"/>
        <w:ind w:left="360"/>
      </w:pPr>
      <w:r>
        <w:t xml:space="preserve">A signing package can start from scratch or from a saved or curated template. Import from agreement is displayed as Coming soon and is not currently available as a starting method.</w:t>
      </w:r>
    </w:p>
    <w:p>
      <w:pPr>
        <w:spacing w:after="30" w:before="120"/>
      </w:pPr>
      <w:r>
        <w:rPr>
          <w:b/>
          <w:bCs/>
        </w:rPr>
        <w:t xml:space="preserve">3. What are the main steps in the engagement-letter builder?</w:t>
      </w:r>
    </w:p>
    <w:p>
      <w:pPr>
        <w:spacing w:after="20"/>
        <w:ind w:left="360"/>
      </w:pPr>
      <w:r>
        <w:t xml:space="preserve">The engagement-letter builder separates the package into four connected sections so the firm can validate the client, commercial terms, agreement content, and delivery settings before sending.</w:t>
      </w:r>
    </w:p>
    <w:p>
      <w:pPr>
        <w:pStyle w:val="ListParagraph"/>
        <w:numPr>
          <w:ilvl w:val="0"/>
          <w:numId w:val="2"/>
        </w:numPr>
        <w:spacing w:after="20"/>
        <w:ind w:left="720"/>
      </w:pPr>
      <w:r>
        <w:t xml:space="preserve">Setup: select the client, name the signing package, and confirm the primary and any additional recipients.</w:t>
      </w:r>
    </w:p>
    <w:p>
      <w:pPr>
        <w:pStyle w:val="ListParagraph"/>
        <w:numPr>
          <w:ilvl w:val="0"/>
          <w:numId w:val="2"/>
        </w:numPr>
        <w:spacing w:after="20"/>
        <w:ind w:left="720"/>
      </w:pPr>
      <w:r>
        <w:t xml:space="preserve">Services &amp; Pricing: add the services, packages, add-ons, prices, discounts, billing method, and any client choices.</w:t>
      </w:r>
    </w:p>
    <w:p>
      <w:pPr>
        <w:pStyle w:val="ListParagraph"/>
        <w:numPr>
          <w:ilvl w:val="0"/>
          <w:numId w:val="2"/>
        </w:numPr>
        <w:spacing w:after="20"/>
        <w:ind w:left="720"/>
      </w:pPr>
      <w:r>
        <w:t xml:space="preserve">Agreement &amp; Terms: select or edit the agreement wording, decide whether explicit approval is required, and add supporting text, PDFs, terms, notes, payment capture, or approval automation where needed.</w:t>
      </w:r>
    </w:p>
    <w:p>
      <w:pPr>
        <w:pStyle w:val="ListParagraph"/>
        <w:numPr>
          <w:ilvl w:val="0"/>
          <w:numId w:val="2"/>
        </w:numPr>
        <w:spacing w:after="20"/>
        <w:ind w:left="720"/>
      </w:pPr>
      <w:r>
        <w:t xml:space="preserve">Review &amp; Send: confirm the recipients, sign-by and validity dates, reminder cadence, selected services, total, billing arrangement, terms, and approval requirements.</w:t>
      </w:r>
    </w:p>
    <w:p>
      <w:pPr>
        <w:pStyle w:val="ListParagraph"/>
        <w:numPr>
          <w:ilvl w:val="0"/>
          <w:numId w:val="2"/>
        </w:numPr>
        <w:spacing w:after="20"/>
        <w:ind w:left="720"/>
      </w:pPr>
      <w:r>
        <w:t xml:space="preserve">Use Preview to read the package as the client will see it and correct any unclear wording or choices.</w:t>
      </w:r>
    </w:p>
    <w:p>
      <w:pPr>
        <w:pStyle w:val="ListParagraph"/>
        <w:numPr>
          <w:ilvl w:val="0"/>
          <w:numId w:val="2"/>
        </w:numPr>
        <w:spacing w:after="20"/>
        <w:ind w:left="720"/>
      </w:pPr>
      <w:r>
        <w:t xml:space="preserve">Resolve every item in the missing-requirements list; Send remains unavailable until the required client, package, recipient, service, and agreement information is complete.</w:t>
      </w:r>
    </w:p>
    <w:p>
      <w:pPr>
        <w:spacing w:after="60"/>
      </w:pPr>
    </w:p>
    <w:p>
      <w:pPr>
        <w:spacing w:after="30" w:before="120"/>
      </w:pPr>
      <w:r>
        <w:rPr>
          <w:b/>
          <w:bCs/>
        </w:rPr>
        <w:t xml:space="preserve">4. How do I create and send an engagement letter?</w:t>
      </w:r>
    </w:p>
    <w:p>
      <w:pPr>
        <w:spacing w:after="20"/>
        <w:ind w:left="360"/>
      </w:pPr>
      <w:r>
        <w:t xml:space="preserve">The builder prevents sending until its required client, package, recipient, and service information is complete.</w:t>
      </w:r>
    </w:p>
    <w:p>
      <w:pPr>
        <w:pStyle w:val="ListParagraph"/>
        <w:numPr>
          <w:ilvl w:val="0"/>
          <w:numId w:val="2"/>
        </w:numPr>
        <w:spacing w:after="20"/>
        <w:ind w:left="720"/>
      </w:pPr>
      <w:r>
        <w:t xml:space="preserve">Open Engagement Letter and start a new Engagement Letter.</w:t>
      </w:r>
    </w:p>
    <w:p>
      <w:pPr>
        <w:pStyle w:val="ListParagraph"/>
        <w:numPr>
          <w:ilvl w:val="0"/>
          <w:numId w:val="2"/>
        </w:numPr>
        <w:spacing w:after="20"/>
        <w:ind w:left="720"/>
      </w:pPr>
      <w:r>
        <w:t xml:space="preserve">Start from scratch or choose a saved or curated template.</w:t>
      </w:r>
    </w:p>
    <w:p>
      <w:pPr>
        <w:pStyle w:val="ListParagraph"/>
        <w:numPr>
          <w:ilvl w:val="0"/>
          <w:numId w:val="2"/>
        </w:numPr>
        <w:spacing w:after="20"/>
        <w:ind w:left="720"/>
      </w:pPr>
      <w:r>
        <w:t xml:space="preserve">In Setup, select the client, name the package, and confirm the primary and any additional recipients.</w:t>
      </w:r>
    </w:p>
    <w:p>
      <w:pPr>
        <w:pStyle w:val="ListParagraph"/>
        <w:numPr>
          <w:ilvl w:val="0"/>
          <w:numId w:val="2"/>
        </w:numPr>
        <w:spacing w:after="20"/>
        <w:ind w:left="720"/>
      </w:pPr>
      <w:r>
        <w:t xml:space="preserve">Add Services &amp; Pricing and choose how each service is presented to the client.</w:t>
      </w:r>
    </w:p>
    <w:p>
      <w:pPr>
        <w:pStyle w:val="ListParagraph"/>
        <w:numPr>
          <w:ilvl w:val="0"/>
          <w:numId w:val="2"/>
        </w:numPr>
        <w:spacing w:after="20"/>
        <w:ind w:left="720"/>
      </w:pPr>
      <w:r>
        <w:t xml:space="preserve">Configure Agreement &amp; Terms, including approval requirements and supporting content.</w:t>
      </w:r>
    </w:p>
    <w:p>
      <w:pPr>
        <w:pStyle w:val="ListParagraph"/>
        <w:numPr>
          <w:ilvl w:val="0"/>
          <w:numId w:val="2"/>
        </w:numPr>
        <w:spacing w:after="20"/>
        <w:ind w:left="720"/>
      </w:pPr>
      <w:r>
        <w:t xml:space="preserve">Preview the client experience.</w:t>
      </w:r>
    </w:p>
    <w:p>
      <w:pPr>
        <w:pStyle w:val="ListParagraph"/>
        <w:numPr>
          <w:ilvl w:val="0"/>
          <w:numId w:val="2"/>
        </w:numPr>
        <w:spacing w:after="20"/>
        <w:ind w:left="720"/>
      </w:pPr>
      <w:r>
        <w:t xml:space="preserve">In Review &amp; Send, set the sign-by date, validity date, reminders, and other package details.</w:t>
      </w:r>
    </w:p>
    <w:p>
      <w:pPr>
        <w:pStyle w:val="ListParagraph"/>
        <w:numPr>
          <w:ilvl w:val="0"/>
          <w:numId w:val="2"/>
        </w:numPr>
        <w:spacing w:after="20"/>
        <w:ind w:left="720"/>
      </w:pPr>
      <w:r>
        <w:t xml:space="preserve">Resolve every missing requirement and select Send package.</w:t>
      </w:r>
    </w:p>
    <w:p>
      <w:pPr>
        <w:spacing w:after="60"/>
      </w:pPr>
    </w:p>
    <w:p>
      <w:pPr>
        <w:spacing w:after="30" w:before="120"/>
      </w:pPr>
      <w:r>
        <w:rPr>
          <w:b/>
          <w:bCs/>
        </w:rPr>
        <w:t xml:space="preserve">5. Can engagement letters be created and sent in bulk?</w:t>
      </w:r>
    </w:p>
    <w:p>
      <w:pPr>
        <w:spacing w:after="20"/>
        <w:ind w:left="360"/>
      </w:pPr>
      <w:r>
        <w:t xml:space="preserve">Engagement letters are currently created and sent as client-specific signing packages; the Engagement Letter screen does not provide a bulk-create or bulk-send action. This keeps each package tied to the correct client, recipients, services, pricing, terms, and signature requirements.</w:t>
      </w:r>
    </w:p>
    <w:p>
      <w:pPr>
        <w:pStyle w:val="ListParagraph"/>
        <w:numPr>
          <w:ilvl w:val="0"/>
          <w:numId w:val="2"/>
        </w:numPr>
        <w:spacing w:after="20"/>
        <w:ind w:left="720"/>
      </w:pPr>
      <w:r>
        <w:t xml:space="preserve">Open Engagement Letters and select New signing package.</w:t>
      </w:r>
    </w:p>
    <w:p>
      <w:pPr>
        <w:pStyle w:val="ListParagraph"/>
        <w:numPr>
          <w:ilvl w:val="0"/>
          <w:numId w:val="2"/>
        </w:numPr>
        <w:spacing w:after="20"/>
        <w:ind w:left="720"/>
      </w:pPr>
      <w:r>
        <w:t xml:space="preserve">Choose the client and add the required recipients.</w:t>
      </w:r>
    </w:p>
    <w:p>
      <w:pPr>
        <w:pStyle w:val="ListParagraph"/>
        <w:numPr>
          <w:ilvl w:val="0"/>
          <w:numId w:val="2"/>
        </w:numPr>
        <w:spacing w:after="20"/>
        <w:ind w:left="720"/>
      </w:pPr>
      <w:r>
        <w:t xml:space="preserve">Build the letter from scratch, a firm template, or a curated template.</w:t>
      </w:r>
    </w:p>
    <w:p>
      <w:pPr>
        <w:pStyle w:val="ListParagraph"/>
        <w:numPr>
          <w:ilvl w:val="0"/>
          <w:numId w:val="2"/>
        </w:numPr>
        <w:spacing w:after="20"/>
        <w:ind w:left="720"/>
      </w:pPr>
      <w:r>
        <w:t xml:space="preserve">Review the services, pricing, billing schedule, terms, and signature fields for that client.</w:t>
      </w:r>
    </w:p>
    <w:p>
      <w:pPr>
        <w:pStyle w:val="ListParagraph"/>
        <w:numPr>
          <w:ilvl w:val="0"/>
          <w:numId w:val="2"/>
        </w:numPr>
        <w:spacing w:after="20"/>
        <w:ind w:left="720"/>
      </w:pPr>
      <w:r>
        <w:t xml:space="preserve">Send the package and monitor its status from Engagement Letters.</w:t>
      </w:r>
    </w:p>
    <w:p>
      <w:pPr>
        <w:pStyle w:val="ListParagraph"/>
        <w:numPr>
          <w:ilvl w:val="0"/>
          <w:numId w:val="2"/>
        </w:numPr>
        <w:spacing w:after="20"/>
        <w:ind w:left="720"/>
      </w:pPr>
      <w:r>
        <w:t xml:space="preserve">Repeat the package flow for the next client; reusable templates reduce repeated drafting even though sending remains client-specific.</w:t>
      </w:r>
    </w:p>
    <w:p>
      <w:pPr>
        <w:spacing w:after="60"/>
      </w:pPr>
    </w:p>
    <w:p>
      <w:pPr>
        <w:spacing w:after="30" w:before="120"/>
      </w:pPr>
      <w:r>
        <w:rPr>
          <w:b/>
          <w:bCs/>
        </w:rPr>
        <w:t xml:space="preserve">6. How can services be presented to a client in a signing package?</w:t>
      </w:r>
    </w:p>
    <w:p>
      <w:pPr>
        <w:spacing w:after="60"/>
        <w:ind w:left="360"/>
      </w:pPr>
      <w:r>
        <w:t xml:space="preserve">Services &amp; Pricing supports three structures: Client picks one for choose-one packages, Client can add it for optional add-ons, and No client choice for services that are always included. The builder also supports billing software as part of the package.</w:t>
      </w:r>
    </w:p>
    <w:p>
      <w:pPr>
        <w:spacing w:after="30" w:before="120"/>
      </w:pPr>
      <w:r>
        <w:rPr>
          <w:b/>
          <w:bCs/>
        </w:rPr>
        <w:t xml:space="preserve">7. Can a package include more than one recipient?</w:t>
      </w:r>
    </w:p>
    <w:p>
      <w:pPr>
        <w:spacing w:after="60"/>
        <w:ind w:left="360"/>
      </w:pPr>
      <w:r>
        <w:t xml:space="preserve">Yes. After selecting the client in Setup, confirm the primary recipient and use Add additional recipient for every other required signer. Review each recipient's name and email before sending, then confirm the package's signing mode and recipient summary in Review &amp; Send. After delivery, the package status can distinguish a partially signed package from one completed by all required recipients.</w:t>
      </w:r>
    </w:p>
    <w:p>
      <w:pPr>
        <w:spacing w:after="30" w:before="120"/>
      </w:pPr>
      <w:r>
        <w:rPr>
          <w:b/>
          <w:bCs/>
        </w:rPr>
        <w:t xml:space="preserve">8. Can the firm customize the introduction and agreement terms?</w:t>
      </w:r>
    </w:p>
    <w:p>
      <w:pPr>
        <w:spacing w:after="60"/>
        <w:ind w:left="360"/>
      </w:pPr>
      <w:r>
        <w:t xml:space="preserve">Yes. A package can include an introduction with a selected or custom message. Agreement &amp; Terms uses a terms template, can require explicit approval before signing, and can add supporting material such as text pages, PDFs, extra terms, notes, payment capture, or approval automation.</w:t>
      </w:r>
    </w:p>
    <w:p>
      <w:pPr>
        <w:spacing w:after="30" w:before="120"/>
      </w:pPr>
      <w:r>
        <w:rPr>
          <w:b/>
          <w:bCs/>
        </w:rPr>
        <w:t xml:space="preserve">9. What is checked before a package is sent?</w:t>
      </w:r>
    </w:p>
    <w:p>
      <w:pPr>
        <w:spacing w:after="60"/>
        <w:ind w:left="360"/>
      </w:pPr>
      <w:r>
        <w:t xml:space="preserve">Review &amp; Send summarizes the client, package name, recipients, sign-by date, validity date, reminder cadence, billing, terms, and approval requirement. The builder lists each unresolved requirement and keeps Send disabled until required items are resolved.</w:t>
      </w:r>
    </w:p>
    <w:p>
      <w:pPr>
        <w:spacing w:after="30" w:before="120"/>
      </w:pPr>
      <w:r>
        <w:rPr>
          <w:b/>
          <w:bCs/>
        </w:rPr>
        <w:t xml:space="preserve">10. Can AssurePro remind a client to sign an engagement letter?</w:t>
      </w:r>
    </w:p>
    <w:p>
      <w:pPr>
        <w:spacing w:after="60"/>
        <w:ind w:left="360"/>
      </w:pPr>
      <w:r>
        <w:t xml:space="preserve">Yes. Review &amp; Send includes a reminder cadence for the signing package. Set the sign-by and validity dates as needed, choose the reminder schedule, and confirm the reminder details before sending.</w:t>
      </w:r>
    </w:p>
    <w:p>
      <w:pPr>
        <w:spacing w:after="30" w:before="120"/>
      </w:pPr>
      <w:r>
        <w:rPr>
          <w:b/>
          <w:bCs/>
        </w:rPr>
        <w:t xml:space="preserve">11. Which signing statuses can staff track?</w:t>
      </w:r>
    </w:p>
    <w:p>
      <w:pPr>
        <w:spacing w:after="60"/>
        <w:ind w:left="360"/>
      </w:pPr>
      <w:r>
        <w:t xml:space="preserve">The package list shows states including Draft, Sent, Viewed, Partial, Signed, Declined, and Archived. Rows also show events such as sent, completed, partially signed, backdated, and consent status where applicable.</w:t>
      </w:r>
    </w:p>
    <w:p>
      <w:pPr>
        <w:spacing w:after="30" w:before="120"/>
      </w:pPr>
      <w:r>
        <w:rPr>
          <w:b/>
          <w:bCs/>
        </w:rPr>
        <w:t xml:space="preserve">12. How does the engagement-letter signature process work?</w:t>
      </w:r>
    </w:p>
    <w:p>
      <w:pPr>
        <w:spacing w:after="20"/>
        <w:ind w:left="360"/>
      </w:pPr>
      <w:r>
        <w:t xml:space="preserve">The signer opens the client-facing engagement package, reviews the offered services, pricing, agreement terms, and supporting content, and then completes the required signature step by drawing a signature or typing the signer's name.</w:t>
      </w:r>
    </w:p>
    <w:p>
      <w:pPr>
        <w:pStyle w:val="ListParagraph"/>
        <w:numPr>
          <w:ilvl w:val="0"/>
          <w:numId w:val="2"/>
        </w:numPr>
        <w:spacing w:after="20"/>
        <w:ind w:left="720"/>
      </w:pPr>
      <w:r>
        <w:t xml:space="preserve">Confirm the correct client, recipients, services, price, terms, sign-by date, and approval requirements before sending.</w:t>
      </w:r>
    </w:p>
    <w:p>
      <w:pPr>
        <w:pStyle w:val="ListParagraph"/>
        <w:numPr>
          <w:ilvl w:val="0"/>
          <w:numId w:val="2"/>
        </w:numPr>
        <w:spacing w:after="20"/>
        <w:ind w:left="720"/>
      </w:pPr>
      <w:r>
        <w:t xml:space="preserve">The recipient opens the engagement package from the delivered client link and completes any required selections or approvals.</w:t>
      </w:r>
    </w:p>
    <w:p>
      <w:pPr>
        <w:pStyle w:val="ListParagraph"/>
        <w:numPr>
          <w:ilvl w:val="0"/>
          <w:numId w:val="2"/>
        </w:numPr>
        <w:spacing w:after="20"/>
        <w:ind w:left="720"/>
      </w:pPr>
      <w:r>
        <w:t xml:space="preserve">The recipient draws a signature or types the signer's name and submits the package.</w:t>
      </w:r>
    </w:p>
    <w:p>
      <w:pPr>
        <w:pStyle w:val="ListParagraph"/>
        <w:numPr>
          <w:ilvl w:val="0"/>
          <w:numId w:val="2"/>
        </w:numPr>
        <w:spacing w:after="20"/>
        <w:ind w:left="720"/>
      </w:pPr>
      <w:r>
        <w:t xml:space="preserve">AssurePro updates the package through statuses such as Sent, Viewed, Partial, Signed, or Declined so the firm can follow up with the correct recipient.</w:t>
      </w:r>
    </w:p>
    <w:p>
      <w:pPr>
        <w:pStyle w:val="ListParagraph"/>
        <w:numPr>
          <w:ilvl w:val="0"/>
          <w:numId w:val="2"/>
        </w:numPr>
        <w:spacing w:after="20"/>
        <w:ind w:left="720"/>
      </w:pPr>
      <w:r>
        <w:t xml:space="preserve">When more than one signature is required, Partial indicates that at least one required signer still needs to complete the package.</w:t>
      </w:r>
    </w:p>
    <w:p>
      <w:pPr>
        <w:pStyle w:val="ListParagraph"/>
        <w:numPr>
          <w:ilvl w:val="0"/>
          <w:numId w:val="2"/>
        </w:numPr>
        <w:spacing w:after="20"/>
        <w:ind w:left="720"/>
      </w:pPr>
      <w:r>
        <w:t xml:space="preserve">Open the completed package from the client or Engagement Letter record to retain and review the accepted services, pricing, terms, recipients, consent, signature result, and audit history.</w:t>
      </w:r>
    </w:p>
    <w:p>
      <w:pPr>
        <w:spacing w:after="60"/>
      </w:pPr>
    </w:p>
    <w:p>
      <w:pPr>
        <w:spacing w:after="30" w:before="120"/>
      </w:pPr>
      <w:r>
        <w:rPr>
          <w:b/>
          <w:bCs/>
        </w:rPr>
        <w:t xml:space="preserve">13. What are the magic link and audit log for a sent engagement letter?</w:t>
      </w:r>
    </w:p>
    <w:p>
      <w:pPr>
        <w:spacing w:after="20"/>
        <w:ind w:left="360"/>
      </w:pPr>
      <w:r>
        <w:t xml:space="preserve">After an engagement letter has been sent, previewing the sent package provides the operational actions for that delivery, including its magic link and audit log.</w:t>
      </w:r>
    </w:p>
    <w:p>
      <w:pPr>
        <w:pStyle w:val="ListParagraph"/>
        <w:numPr>
          <w:ilvl w:val="0"/>
          <w:numId w:val="2"/>
        </w:numPr>
        <w:spacing w:after="20"/>
        <w:ind w:left="720"/>
      </w:pPr>
      <w:r>
        <w:t xml:space="preserve">Open Engagement Letter and select the package from Sent.</w:t>
      </w:r>
    </w:p>
    <w:p>
      <w:pPr>
        <w:pStyle w:val="ListParagraph"/>
        <w:numPr>
          <w:ilvl w:val="0"/>
          <w:numId w:val="2"/>
        </w:numPr>
        <w:spacing w:after="20"/>
        <w:ind w:left="720"/>
      </w:pPr>
      <w:r>
        <w:t xml:space="preserve">Preview the sent engagement letter rather than reopening the draft builder.</w:t>
      </w:r>
    </w:p>
    <w:p>
      <w:pPr>
        <w:pStyle w:val="ListParagraph"/>
        <w:numPr>
          <w:ilvl w:val="0"/>
          <w:numId w:val="2"/>
        </w:numPr>
        <w:spacing w:after="20"/>
        <w:ind w:left="720"/>
      </w:pPr>
      <w:r>
        <w:t xml:space="preserve">Use the magic-link option to open or copy the client-facing route for that specific sent package when the recipient needs help accessing it.</w:t>
      </w:r>
    </w:p>
    <w:p>
      <w:pPr>
        <w:pStyle w:val="ListParagraph"/>
        <w:numPr>
          <w:ilvl w:val="0"/>
          <w:numId w:val="2"/>
        </w:numPr>
        <w:spacing w:after="20"/>
        <w:ind w:left="720"/>
      </w:pPr>
      <w:r>
        <w:t xml:space="preserve">Confirm the package and intended recipient before sharing the link; the link belongs to that engagement-letter delivery and should not be reused for a different client.</w:t>
      </w:r>
    </w:p>
    <w:p>
      <w:pPr>
        <w:pStyle w:val="ListParagraph"/>
        <w:numPr>
          <w:ilvl w:val="0"/>
          <w:numId w:val="2"/>
        </w:numPr>
        <w:spacing w:after="20"/>
        <w:ind w:left="720"/>
      </w:pPr>
      <w:r>
        <w:t xml:space="preserve">Open the audit log to review the package's recorded delivery and signing activity, such as when it was sent, opened or viewed, and signed or otherwise acted on.</w:t>
      </w:r>
    </w:p>
    <w:p>
      <w:pPr>
        <w:pStyle w:val="ListParagraph"/>
        <w:numPr>
          <w:ilvl w:val="0"/>
          <w:numId w:val="2"/>
        </w:numPr>
        <w:spacing w:after="20"/>
        <w:ind w:left="720"/>
      </w:pPr>
      <w:r>
        <w:t xml:space="preserve">Use the recipient status and audit events together when following up—for example, distinguish a delivery problem from a package that was viewed but is still awaiting a signature.</w:t>
      </w:r>
    </w:p>
    <w:p>
      <w:pPr>
        <w:spacing w:after="60"/>
      </w:pPr>
    </w:p>
    <w:p>
      <w:pPr>
        <w:spacing w:after="30" w:before="120"/>
      </w:pPr>
      <w:r>
        <w:rPr>
          <w:b/>
          <w:bCs/>
        </w:rPr>
        <w:t xml:space="preserve">14. Can a client sign an engagement letter from a mobile device?</w:t>
      </w:r>
    </w:p>
    <w:p>
      <w:pPr>
        <w:spacing w:after="20"/>
        <w:ind w:left="360"/>
      </w:pPr>
      <w:r>
        <w:t xml:space="preserve">Yes. The client can review and sign the engagement package from a supported mobile device.</w:t>
      </w:r>
    </w:p>
    <w:p>
      <w:pPr>
        <w:pStyle w:val="ListParagraph"/>
        <w:numPr>
          <w:ilvl w:val="0"/>
          <w:numId w:val="2"/>
        </w:numPr>
        <w:spacing w:after="20"/>
        <w:ind w:left="720"/>
      </w:pPr>
      <w:r>
        <w:t xml:space="preserve">Open the engagement-package link from the firm's invitation or client experience.</w:t>
      </w:r>
    </w:p>
    <w:p>
      <w:pPr>
        <w:pStyle w:val="ListParagraph"/>
        <w:numPr>
          <w:ilvl w:val="0"/>
          <w:numId w:val="2"/>
        </w:numPr>
        <w:spacing w:after="20"/>
        <w:ind w:left="720"/>
      </w:pPr>
      <w:r>
        <w:t xml:space="preserve">Review the introduction, selected services and pricing, agreement terms, and any supporting pages or PDFs.</w:t>
      </w:r>
    </w:p>
    <w:p>
      <w:pPr>
        <w:pStyle w:val="ListParagraph"/>
        <w:numPr>
          <w:ilvl w:val="0"/>
          <w:numId w:val="2"/>
        </w:numPr>
        <w:spacing w:after="20"/>
        <w:ind w:left="720"/>
      </w:pPr>
      <w:r>
        <w:t xml:space="preserve">Complete any required service selections, approvals, or payment-capture step included by the firm.</w:t>
      </w:r>
    </w:p>
    <w:p>
      <w:pPr>
        <w:pStyle w:val="ListParagraph"/>
        <w:numPr>
          <w:ilvl w:val="0"/>
          <w:numId w:val="2"/>
        </w:numPr>
        <w:spacing w:after="20"/>
        <w:ind w:left="720"/>
      </w:pPr>
      <w:r>
        <w:t xml:space="preserve">Draw the signature or type the signer's name and submit the signed package.</w:t>
      </w:r>
    </w:p>
    <w:p>
      <w:pPr>
        <w:pStyle w:val="ListParagraph"/>
        <w:numPr>
          <w:ilvl w:val="0"/>
          <w:numId w:val="2"/>
        </w:numPr>
        <w:spacing w:after="20"/>
        <w:ind w:left="720"/>
      </w:pPr>
      <w:r>
        <w:t xml:space="preserve">The firm can then track the package as Viewed, Partial, or Signed and open the completed agreement from the client record.</w:t>
      </w:r>
    </w:p>
    <w:p>
      <w:pPr>
        <w:spacing w:after="60"/>
      </w:pPr>
    </w:p>
    <w:p>
      <w:pPr>
        <w:pStyle w:val="Heading2"/>
        <w:spacing w:after="80" w:before="200"/>
      </w:pPr>
      <w:r>
        <w:t xml:space="preserve">Billing &amp; services  (22)</w:t>
      </w:r>
    </w:p>
    <w:p>
      <w:pPr>
        <w:spacing w:after="30" w:before="120"/>
      </w:pPr>
      <w:r>
        <w:rPr>
          <w:b/>
          <w:bCs/>
        </w:rPr>
        <w:t xml:space="preserve">1. How is the Billing area organized?</w:t>
      </w:r>
    </w:p>
    <w:p>
      <w:pPr>
        <w:spacing w:after="60"/>
        <w:ind w:left="360"/>
      </w:pPr>
      <w:r>
        <w:t xml:space="preserve">Billing has three tabs. Invoices combines receivable summaries, agreement-generated drafts, search, filters, and the invoice register. Recurring manages automated billing schedules. Referrals tracks MyCPEOne referrals and commissions.</w:t>
      </w:r>
    </w:p>
    <w:p>
      <w:pPr>
        <w:spacing w:after="30" w:before="120"/>
      </w:pPr>
      <w:r>
        <w:rPr>
          <w:b/>
          <w:bCs/>
        </w:rPr>
        <w:t xml:space="preserve">2. What does the Invoices overview show?</w:t>
      </w:r>
    </w:p>
    <w:p>
      <w:pPr>
        <w:spacing w:after="60"/>
        <w:ind w:left="360"/>
      </w:pPr>
      <w:r>
        <w:t xml:space="preserve">The overview summarizes Outstanding, Overdue, Awaiting payment, Collected in the last 30 days, and Drafts. Selecting a summary card filters the register to that group. The register can also be searched by invoice number or client and filtered by status, client, source, and date; Columns controls which fields are visible.</w:t>
      </w:r>
    </w:p>
    <w:p>
      <w:pPr>
        <w:spacing w:after="30" w:before="120"/>
      </w:pPr>
      <w:r>
        <w:rPr>
          <w:b/>
          <w:bCs/>
        </w:rPr>
        <w:t xml:space="preserve">3. Which invoice sources and statuses are tracked?</w:t>
      </w:r>
    </w:p>
    <w:p>
      <w:pPr>
        <w:spacing w:after="60"/>
        <w:ind w:left="360"/>
      </w:pPr>
      <w:r>
        <w:t xml:space="preserve">The invoice register distinguishes Manual, Agreement, and Time sources. Visible statuses include Draft, Sent, Viewed, Overdue, Paid, and Cancelled. Total, remaining balance, and due date are shown separately so a status does not need to be inferred from the invoice amount.</w:t>
      </w:r>
    </w:p>
    <w:p>
      <w:pPr>
        <w:spacing w:after="30" w:before="120"/>
      </w:pPr>
      <w:r>
        <w:rPr>
          <w:b/>
          <w:bCs/>
        </w:rPr>
        <w:t xml:space="preserve">4. How is a new invoice created?</w:t>
      </w:r>
    </w:p>
    <w:p>
      <w:pPr>
        <w:spacing w:after="20"/>
        <w:ind w:left="360"/>
      </w:pPr>
      <w:r>
        <w:t xml:space="preserve">An invoice cannot be sent until a client, due date, and at least one priced line item are present.</w:t>
      </w:r>
    </w:p>
    <w:p>
      <w:pPr>
        <w:pStyle w:val="ListParagraph"/>
        <w:numPr>
          <w:ilvl w:val="0"/>
          <w:numId w:val="2"/>
        </w:numPr>
        <w:spacing w:after="20"/>
        <w:ind w:left="720"/>
      </w:pPr>
      <w:r>
        <w:t xml:space="preserve">Open Billing and select Create invoice, or choose Invoice from the global + New menu.</w:t>
      </w:r>
    </w:p>
    <w:p>
      <w:pPr>
        <w:pStyle w:val="ListParagraph"/>
        <w:numPr>
          <w:ilvl w:val="0"/>
          <w:numId w:val="2"/>
        </w:numPr>
        <w:spacing w:after="20"/>
        <w:ind w:left="720"/>
      </w:pPr>
      <w:r>
        <w:t xml:space="preserve">Select the client; optionally associate an engagement after the client is selected.</w:t>
      </w:r>
    </w:p>
    <w:p>
      <w:pPr>
        <w:pStyle w:val="ListParagraph"/>
        <w:numPr>
          <w:ilvl w:val="0"/>
          <w:numId w:val="2"/>
        </w:numPr>
        <w:spacing w:after="20"/>
        <w:ind w:left="720"/>
      </w:pPr>
      <w:r>
        <w:t xml:space="preserve">Confirm the invoice number, issue date, and due date.</w:t>
      </w:r>
    </w:p>
    <w:p>
      <w:pPr>
        <w:pStyle w:val="ListParagraph"/>
        <w:numPr>
          <w:ilvl w:val="0"/>
          <w:numId w:val="2"/>
        </w:numPr>
        <w:spacing w:after="20"/>
        <w:ind w:left="720"/>
      </w:pPr>
      <w:r>
        <w:t xml:space="preserve">Add a service-catalog item or a custom line, then enter quantity and unit price.</w:t>
      </w:r>
    </w:p>
    <w:p>
      <w:pPr>
        <w:pStyle w:val="ListParagraph"/>
        <w:numPr>
          <w:ilvl w:val="0"/>
          <w:numId w:val="2"/>
        </w:numPr>
        <w:spacing w:after="20"/>
        <w:ind w:left="720"/>
      </w:pPr>
      <w:r>
        <w:t xml:space="preserve">If applicable, import unbilled time and apply a dollar or percentage discount and tax.</w:t>
      </w:r>
    </w:p>
    <w:p>
      <w:pPr>
        <w:pStyle w:val="ListParagraph"/>
        <w:numPr>
          <w:ilvl w:val="0"/>
          <w:numId w:val="2"/>
        </w:numPr>
        <w:spacing w:after="20"/>
        <w:ind w:left="720"/>
      </w:pPr>
      <w:r>
        <w:t xml:space="preserve">Add a description, client note, or internal note as needed.</w:t>
      </w:r>
    </w:p>
    <w:p>
      <w:pPr>
        <w:pStyle w:val="ListParagraph"/>
        <w:numPr>
          <w:ilvl w:val="0"/>
          <w:numId w:val="2"/>
        </w:numPr>
        <w:spacing w:after="20"/>
        <w:ind w:left="720"/>
      </w:pPr>
      <w:r>
        <w:t xml:space="preserve">Review the live invoice preview.</w:t>
      </w:r>
    </w:p>
    <w:p>
      <w:pPr>
        <w:pStyle w:val="ListParagraph"/>
        <w:numPr>
          <w:ilvl w:val="0"/>
          <w:numId w:val="2"/>
        </w:numPr>
        <w:spacing w:after="20"/>
        <w:ind w:left="720"/>
      </w:pPr>
      <w:r>
        <w:t xml:space="preserve">Choose Save as draft or Create &amp; send.</w:t>
      </w:r>
    </w:p>
    <w:p>
      <w:pPr>
        <w:spacing w:after="60"/>
      </w:pPr>
    </w:p>
    <w:p>
      <w:pPr>
        <w:spacing w:after="30" w:before="120"/>
      </w:pPr>
      <w:r>
        <w:rPr>
          <w:b/>
          <w:bCs/>
        </w:rPr>
        <w:t xml:space="preserve">5. What can staff review on an individual invoice?</w:t>
      </w:r>
    </w:p>
    <w:p>
      <w:pPr>
        <w:spacing w:after="60"/>
        <w:ind w:left="360"/>
      </w:pPr>
      <w:r>
        <w:t xml:space="preserve">The invoice record shows its status and source, balance, issue and due dates, subtotal, discount, tax, amount paid, client, related signed agreement when applicable, description, and line items. Payment history and an audit trail show what happened after creation. Available actions include Download PDF, Edit, Send invoice, and Cancel, depending on the invoice state.</w:t>
      </w:r>
    </w:p>
    <w:p>
      <w:pPr>
        <w:spacing w:after="30" w:before="120"/>
      </w:pPr>
      <w:r>
        <w:rPr>
          <w:b/>
          <w:bCs/>
        </w:rPr>
        <w:t xml:space="preserve">6. How can clients pay an AssurePro invoice?</w:t>
      </w:r>
    </w:p>
    <w:p>
      <w:pPr>
        <w:spacing w:after="60"/>
        <w:ind w:left="360"/>
      </w:pPr>
      <w:r>
        <w:t xml:space="preserve">Client payment collection uses the payment processor connected in Integrations and the firm's Billing &amp; Payments configuration. An invoice tracks its total, balance, due date, and payment status; the payment methods presented to a client depend on the connected processor and the options enabled for the firm.</w:t>
      </w:r>
    </w:p>
    <w:p>
      <w:pPr>
        <w:spacing w:after="30" w:before="120"/>
      </w:pPr>
      <w:r>
        <w:rPr>
          <w:b/>
          <w:bCs/>
        </w:rPr>
        <w:t xml:space="preserve">7. Can the firm record a payment received outside AssurePro?</w:t>
      </w:r>
    </w:p>
    <w:p>
      <w:pPr>
        <w:spacing w:after="60"/>
        <w:ind w:left="360"/>
      </w:pPr>
      <w:r>
        <w:t xml:space="preserve">Yes. Open the invoice and use Add payment to record an off-platform payment. Select the payment method, enter the payment date and required details, and save it so the invoice balance and status reflect the payment received.</w:t>
      </w:r>
    </w:p>
    <w:p>
      <w:pPr>
        <w:spacing w:after="30" w:before="120"/>
      </w:pPr>
      <w:r>
        <w:rPr>
          <w:b/>
          <w:bCs/>
        </w:rPr>
        <w:t xml:space="preserve">8. Can signed agreements create billing work?</w:t>
      </w:r>
    </w:p>
    <w:p>
      <w:pPr>
        <w:spacing w:after="60"/>
        <w:ind w:left="360"/>
      </w:pPr>
      <w:r>
        <w:t xml:space="preserve">Yes. Signed engagements can create invoice drafts and recurring schedules from their agreed billing terms. Billing places them in Agreements awaiting billing so staff can review the generated work before it reaches the client.</w:t>
      </w:r>
    </w:p>
    <w:p>
      <w:pPr>
        <w:spacing w:after="30" w:before="120"/>
      </w:pPr>
      <w:r>
        <w:rPr>
          <w:b/>
          <w:bCs/>
        </w:rPr>
        <w:t xml:space="preserve">9. How do I review billing created by a signed agreement?</w:t>
      </w:r>
    </w:p>
    <w:p>
      <w:pPr>
        <w:spacing w:after="20"/>
        <w:ind w:left="360"/>
      </w:pPr>
      <w:r>
        <w:t xml:space="preserve">Agreement billing is separated by what still needs attention.</w:t>
      </w:r>
    </w:p>
    <w:p>
      <w:pPr>
        <w:pStyle w:val="ListParagraph"/>
        <w:numPr>
          <w:ilvl w:val="0"/>
          <w:numId w:val="2"/>
        </w:numPr>
        <w:spacing w:after="20"/>
        <w:ind w:left="720"/>
      </w:pPr>
      <w:r>
        <w:t xml:space="preserve">Open Billing and select the signed-agreements banner.</w:t>
      </w:r>
    </w:p>
    <w:p>
      <w:pPr>
        <w:pStyle w:val="ListParagraph"/>
        <w:numPr>
          <w:ilvl w:val="0"/>
          <w:numId w:val="2"/>
        </w:numPr>
        <w:spacing w:after="20"/>
        <w:ind w:left="720"/>
      </w:pPr>
      <w:r>
        <w:t xml:space="preserve">Search by client or agreement if needed.</w:t>
      </w:r>
    </w:p>
    <w:p>
      <w:pPr>
        <w:pStyle w:val="ListParagraph"/>
        <w:numPr>
          <w:ilvl w:val="0"/>
          <w:numId w:val="2"/>
        </w:numPr>
        <w:spacing w:after="20"/>
        <w:ind w:left="720"/>
      </w:pPr>
      <w:r>
        <w:t xml:space="preserve">Under Pending review, check the signed date, number of drafts or schedules, and amount.</w:t>
      </w:r>
    </w:p>
    <w:p>
      <w:pPr>
        <w:pStyle w:val="ListParagraph"/>
        <w:numPr>
          <w:ilvl w:val="0"/>
          <w:numId w:val="2"/>
        </w:numPr>
        <w:spacing w:after="20"/>
        <w:ind w:left="720"/>
      </w:pPr>
      <w:r>
        <w:t xml:space="preserve">Select Review &amp; send and inspect the generated invoice, line items, dates, and agreement link.</w:t>
      </w:r>
    </w:p>
    <w:p>
      <w:pPr>
        <w:pStyle w:val="ListParagraph"/>
        <w:numPr>
          <w:ilvl w:val="0"/>
          <w:numId w:val="2"/>
        </w:numPr>
        <w:spacing w:after="20"/>
        <w:ind w:left="720"/>
      </w:pPr>
      <w:r>
        <w:t xml:space="preserve">Edit the draft if the billing details need correction, then send it when ready.</w:t>
      </w:r>
    </w:p>
    <w:p>
      <w:pPr>
        <w:pStyle w:val="ListParagraph"/>
        <w:numPr>
          <w:ilvl w:val="0"/>
          <w:numId w:val="2"/>
        </w:numPr>
        <w:spacing w:after="20"/>
        <w:ind w:left="720"/>
      </w:pPr>
      <w:r>
        <w:t xml:space="preserve">Use Active for agreements already producing billing; items marked Manual, no priced services have no automatically billable service to create.</w:t>
      </w:r>
    </w:p>
    <w:p>
      <w:pPr>
        <w:spacing w:after="60"/>
      </w:pPr>
    </w:p>
    <w:p>
      <w:pPr>
        <w:spacing w:after="30" w:before="120"/>
      </w:pPr>
      <w:r>
        <w:rPr>
          <w:b/>
          <w:bCs/>
        </w:rPr>
        <w:t xml:space="preserve">10. How does recurring billing work?</w:t>
      </w:r>
    </w:p>
    <w:p>
      <w:pPr>
        <w:spacing w:after="60"/>
        <w:ind w:left="360"/>
      </w:pPr>
      <w:r>
        <w:t xml:space="preserve">Recurring contains schedules that generate invoices on a configured cadence. Auto-send schedules bill the client automatically; Manual send schedules wait for firm review. The list shows client, cadence, service, send mode, status, next invoice date, amount, and actions.</w:t>
      </w:r>
    </w:p>
    <w:p>
      <w:pPr>
        <w:spacing w:after="30" w:before="120"/>
      </w:pPr>
      <w:r>
        <w:rPr>
          <w:b/>
          <w:bCs/>
        </w:rPr>
        <w:t xml:space="preserve">11. How do I review or control a recurring schedule?</w:t>
      </w:r>
    </w:p>
    <w:p>
      <w:pPr>
        <w:spacing w:after="20"/>
        <w:ind w:left="360"/>
      </w:pPr>
      <w:r>
        <w:t xml:space="preserve">A schedule can be inspected without opening the client record.</w:t>
      </w:r>
    </w:p>
    <w:p>
      <w:pPr>
        <w:pStyle w:val="ListParagraph"/>
        <w:numPr>
          <w:ilvl w:val="0"/>
          <w:numId w:val="2"/>
        </w:numPr>
        <w:spacing w:after="20"/>
        <w:ind w:left="720"/>
      </w:pPr>
      <w:r>
        <w:t xml:space="preserve">Open Billing and choose Recurring.</w:t>
      </w:r>
    </w:p>
    <w:p>
      <w:pPr>
        <w:pStyle w:val="ListParagraph"/>
        <w:numPr>
          <w:ilvl w:val="0"/>
          <w:numId w:val="2"/>
        </w:numPr>
        <w:spacing w:after="20"/>
        <w:ind w:left="720"/>
      </w:pPr>
      <w:r>
        <w:t xml:space="preserve">Find the schedule in tile or list view.</w:t>
      </w:r>
    </w:p>
    <w:p>
      <w:pPr>
        <w:pStyle w:val="ListParagraph"/>
        <w:numPr>
          <w:ilvl w:val="0"/>
          <w:numId w:val="2"/>
        </w:numPr>
        <w:spacing w:after="20"/>
        <w:ind w:left="720"/>
      </w:pPr>
      <w:r>
        <w:t xml:space="preserve">Select View details to review client, email, status, total billed, total received, pending amount, and invoice history.</w:t>
      </w:r>
    </w:p>
    <w:p>
      <w:pPr>
        <w:pStyle w:val="ListParagraph"/>
        <w:numPr>
          <w:ilvl w:val="0"/>
          <w:numId w:val="2"/>
        </w:numPr>
        <w:spacing w:after="20"/>
        <w:ind w:left="720"/>
      </w:pPr>
      <w:r>
        <w:t xml:space="preserve">Use Pause or Resume schedule when the cadence should stop or restart.</w:t>
      </w:r>
    </w:p>
    <w:p>
      <w:pPr>
        <w:pStyle w:val="ListParagraph"/>
        <w:numPr>
          <w:ilvl w:val="0"/>
          <w:numId w:val="2"/>
        </w:numPr>
        <w:spacing w:after="20"/>
        <w:ind w:left="720"/>
      </w:pPr>
      <w:r>
        <w:t xml:space="preserve">Use Bill now when an immediate invoice is needed; this action is unavailable while the schedule is paused.</w:t>
      </w:r>
    </w:p>
    <w:p>
      <w:pPr>
        <w:pStyle w:val="ListParagraph"/>
        <w:numPr>
          <w:ilvl w:val="0"/>
          <w:numId w:val="2"/>
        </w:numPr>
        <w:spacing w:after="20"/>
        <w:ind w:left="720"/>
      </w:pPr>
      <w:r>
        <w:t xml:space="preserve">Review any displayed future price change before the next invoice date.</w:t>
      </w:r>
    </w:p>
    <w:p>
      <w:pPr>
        <w:spacing w:after="60"/>
      </w:pPr>
    </w:p>
    <w:p>
      <w:pPr>
        <w:spacing w:after="30" w:before="120"/>
      </w:pPr>
      <w:r>
        <w:rPr>
          <w:b/>
          <w:bCs/>
        </w:rPr>
        <w:t xml:space="preserve">12. What is the Services catalog?</w:t>
      </w:r>
    </w:p>
    <w:p>
      <w:pPr>
        <w:spacing w:after="60"/>
        <w:ind w:left="360"/>
      </w:pPr>
      <w:r>
        <w:t xml:space="preserve">Services is the reusable catalog behind invoice line items and engagement packages. Search and filters narrow the list by name or description, kind, pricing, and active state. Each row shows the service kind, SOP, category, pricing model, default amount, and active status.</w:t>
      </w:r>
    </w:p>
    <w:p>
      <w:pPr>
        <w:spacing w:after="30" w:before="120"/>
      </w:pPr>
      <w:r>
        <w:rPr>
          <w:b/>
          <w:bCs/>
        </w:rPr>
        <w:t xml:space="preserve">13. Which service kinds and pricing models are available?</w:t>
      </w:r>
    </w:p>
    <w:p>
      <w:pPr>
        <w:spacing w:after="60"/>
        <w:ind w:left="360"/>
      </w:pPr>
      <w:r>
        <w:t xml:space="preserve">The New service form offers Bundle, Add-on, Hourly, Retainer, and Service as kinds. Pricing is configured separately as Fixed, Hourly, or Retainer. Bundles represent packaged items and display the number included; Add-on identifies an optional catalog item.</w:t>
      </w:r>
    </w:p>
    <w:p>
      <w:pPr>
        <w:spacing w:after="30" w:before="120"/>
      </w:pPr>
      <w:r>
        <w:rPr>
          <w:b/>
          <w:bCs/>
        </w:rPr>
        <w:t xml:space="preserve">14. How do I create a service?</w:t>
      </w:r>
    </w:p>
    <w:p>
      <w:pPr>
        <w:spacing w:after="20"/>
        <w:ind w:left="360"/>
      </w:pPr>
      <w:r>
        <w:t xml:space="preserve">A catalog item can carry the defaults that staff would otherwise re-enter during billing.</w:t>
      </w:r>
    </w:p>
    <w:p>
      <w:pPr>
        <w:pStyle w:val="ListParagraph"/>
        <w:numPr>
          <w:ilvl w:val="0"/>
          <w:numId w:val="2"/>
        </w:numPr>
        <w:spacing w:after="20"/>
        <w:ind w:left="720"/>
      </w:pPr>
      <w:r>
        <w:t xml:space="preserve">Open Services and select New service.</w:t>
      </w:r>
    </w:p>
    <w:p>
      <w:pPr>
        <w:pStyle w:val="ListParagraph"/>
        <w:numPr>
          <w:ilvl w:val="0"/>
          <w:numId w:val="2"/>
        </w:numPr>
        <w:spacing w:after="20"/>
        <w:ind w:left="720"/>
      </w:pPr>
      <w:r>
        <w:t xml:space="preserve">Enter the service name and optional description.</w:t>
      </w:r>
    </w:p>
    <w:p>
      <w:pPr>
        <w:pStyle w:val="ListParagraph"/>
        <w:numPr>
          <w:ilvl w:val="0"/>
          <w:numId w:val="2"/>
        </w:numPr>
        <w:spacing w:after="20"/>
        <w:ind w:left="720"/>
      </w:pPr>
      <w:r>
        <w:t xml:space="preserve">Choose Bundle, Add-on, Hourly, Retainer, or Service as the kind.</w:t>
      </w:r>
    </w:p>
    <w:p>
      <w:pPr>
        <w:pStyle w:val="ListParagraph"/>
        <w:numPr>
          <w:ilvl w:val="0"/>
          <w:numId w:val="2"/>
        </w:numPr>
        <w:spacing w:after="20"/>
        <w:ind w:left="720"/>
      </w:pPr>
      <w:r>
        <w:t xml:space="preserve">Choose the category and Fixed, Hourly, or Retainer as the pricing model.</w:t>
      </w:r>
    </w:p>
    <w:p>
      <w:pPr>
        <w:pStyle w:val="ListParagraph"/>
        <w:numPr>
          <w:ilvl w:val="0"/>
          <w:numId w:val="2"/>
        </w:numPr>
        <w:spacing w:after="20"/>
        <w:ind w:left="720"/>
      </w:pPr>
      <w:r>
        <w:t xml:space="preserve">Set the default price and optional default discount.</w:t>
      </w:r>
    </w:p>
    <w:p>
      <w:pPr>
        <w:pStyle w:val="ListParagraph"/>
        <w:numPr>
          <w:ilvl w:val="0"/>
          <w:numId w:val="2"/>
        </w:numPr>
        <w:spacing w:after="20"/>
        <w:ind w:left="720"/>
      </w:pPr>
      <w:r>
        <w:t xml:space="preserve">Set the default tax rate and whether the item is taxable by default.</w:t>
      </w:r>
    </w:p>
    <w:p>
      <w:pPr>
        <w:pStyle w:val="ListParagraph"/>
        <w:numPr>
          <w:ilvl w:val="0"/>
          <w:numId w:val="2"/>
        </w:numPr>
        <w:spacing w:after="20"/>
        <w:ind w:left="720"/>
      </w:pPr>
      <w:r>
        <w:t xml:space="preserve">Select Create service after all required fields are complete.</w:t>
      </w:r>
    </w:p>
    <w:p>
      <w:pPr>
        <w:spacing w:after="60"/>
      </w:pPr>
    </w:p>
    <w:p>
      <w:pPr>
        <w:spacing w:after="30" w:before="120"/>
      </w:pPr>
      <w:r>
        <w:rPr>
          <w:b/>
          <w:bCs/>
        </w:rPr>
        <w:t xml:space="preserve">15. How do I find, deactivate, or archive a service?</w:t>
      </w:r>
    </w:p>
    <w:p>
      <w:pPr>
        <w:spacing w:after="60"/>
        <w:ind w:left="360"/>
      </w:pPr>
      <w:r>
        <w:t xml:space="preserve">Search by name or description, or filter the catalog by kind and pricing. Use the Active switch on a row to make an item inactive, and enable Show inactive when it needs to be found again. Archive is available from the row action menu and is distinct from simply switching the item inactive.</w:t>
      </w:r>
    </w:p>
    <w:p>
      <w:pPr>
        <w:spacing w:after="30" w:before="120"/>
      </w:pPr>
      <w:r>
        <w:rPr>
          <w:b/>
          <w:bCs/>
        </w:rPr>
        <w:t xml:space="preserve">16. How is a standard operating procedure attached to a service?</w:t>
      </w:r>
    </w:p>
    <w:p>
      <w:pPr>
        <w:spacing w:after="60"/>
        <w:ind w:left="360"/>
      </w:pPr>
      <w:r>
        <w:t xml:space="preserve">Select the plus control in the service's SOP column or choose SOPs from its action menu. The Standard Operating Procedures dialog is labeled for the selected service and is where the firm records how that service is performed.</w:t>
      </w:r>
    </w:p>
    <w:p>
      <w:pPr>
        <w:spacing w:after="30" w:before="120"/>
      </w:pPr>
      <w:r>
        <w:rPr>
          <w:b/>
          <w:bCs/>
        </w:rPr>
        <w:t xml:space="preserve">17. How are time entries turned into invoices?</w:t>
      </w:r>
    </w:p>
    <w:p>
      <w:pPr>
        <w:spacing w:after="60"/>
        <w:ind w:left="360"/>
      </w:pPr>
      <w:r>
        <w:t xml:space="preserve">Uninvoiced time entries can be selected in Time Sheet and passed to Generate invoice. The invoice editor also includes Import unbilled time so billable work can be added while drafting an invoice.</w:t>
      </w:r>
    </w:p>
    <w:p>
      <w:pPr>
        <w:spacing w:after="30" w:before="120"/>
      </w:pPr>
      <w:r>
        <w:rPr>
          <w:b/>
          <w:bCs/>
        </w:rPr>
        <w:t xml:space="preserve">18. What is the difference between Billing &amp; Payments and Platform Subscription?</w:t>
      </w:r>
    </w:p>
    <w:p>
      <w:pPr>
        <w:spacing w:after="60"/>
        <w:ind w:left="360"/>
      </w:pPr>
      <w:r>
        <w:t xml:space="preserve">Billing &amp; Payments identifies the firm's Stripe payout account and directs administrators to Integrations to manage that connection. Its additional invoicing defaults, accepted payment methods, and late-fee settings are marked In development in staging. Platform Subscription contains charges from AssureOne Technologies LLC to the firm and keeps the related purchase invoices and receipts.</w:t>
      </w:r>
    </w:p>
    <w:p>
      <w:pPr>
        <w:spacing w:after="30" w:before="120"/>
      </w:pPr>
      <w:r>
        <w:rPr>
          <w:b/>
          <w:bCs/>
        </w:rPr>
        <w:t xml:space="preserve">19. How do I review AssureOne platform purchases and receipts?</w:t>
      </w:r>
    </w:p>
    <w:p>
      <w:pPr>
        <w:spacing w:after="20"/>
        <w:ind w:left="360"/>
      </w:pPr>
      <w:r>
        <w:t xml:space="preserve">Platform Subscription is separate from client billing. It summarizes firm purchases from AssureOne Technologies LLC and lists the purchase, date, status, amount, and payment-card summary for each invoice.</w:t>
      </w:r>
    </w:p>
    <w:p>
      <w:pPr>
        <w:pStyle w:val="ListParagraph"/>
        <w:numPr>
          <w:ilvl w:val="0"/>
          <w:numId w:val="2"/>
        </w:numPr>
        <w:spacing w:after="20"/>
        <w:ind w:left="720"/>
      </w:pPr>
      <w:r>
        <w:t xml:space="preserve">Open Settings and choose Platform Subscription.</w:t>
      </w:r>
    </w:p>
    <w:p>
      <w:pPr>
        <w:pStyle w:val="ListParagraph"/>
        <w:numPr>
          <w:ilvl w:val="0"/>
          <w:numId w:val="2"/>
        </w:numPr>
        <w:spacing w:after="20"/>
        <w:ind w:left="720"/>
      </w:pPr>
      <w:r>
        <w:t xml:space="preserve">Filter invoices by status or date when needed.</w:t>
      </w:r>
    </w:p>
    <w:p>
      <w:pPr>
        <w:pStyle w:val="ListParagraph"/>
        <w:numPr>
          <w:ilvl w:val="0"/>
          <w:numId w:val="2"/>
        </w:numPr>
        <w:spacing w:after="20"/>
        <w:ind w:left="720"/>
      </w:pPr>
      <w:r>
        <w:t xml:space="preserve">Select Preview for an on-screen invoice review.</w:t>
      </w:r>
    </w:p>
    <w:p>
      <w:pPr>
        <w:pStyle w:val="ListParagraph"/>
        <w:numPr>
          <w:ilvl w:val="0"/>
          <w:numId w:val="2"/>
        </w:numPr>
        <w:spacing w:after="20"/>
        <w:ind w:left="720"/>
      </w:pPr>
      <w:r>
        <w:t xml:space="preserve">Select Download to save the invoice or receipt for the firm's records.</w:t>
      </w:r>
    </w:p>
    <w:p>
      <w:pPr>
        <w:spacing w:after="60"/>
      </w:pPr>
    </w:p>
    <w:p>
      <w:pPr>
        <w:spacing w:after="30" w:before="120"/>
      </w:pPr>
      <w:r>
        <w:rPr>
          <w:b/>
          <w:bCs/>
        </w:rPr>
        <w:t xml:space="preserve">20. What payment and accounting connections are available?</w:t>
      </w:r>
    </w:p>
    <w:p>
      <w:pPr>
        <w:spacing w:after="60"/>
        <w:ind w:left="360"/>
      </w:pPr>
      <w:r>
        <w:t xml:space="preserve">The Integrations screen provides a payment-processor connection for client payments and a QuickBooks Online connection so paid AssurePro invoices can sync into accounting. Billing &amp; Payments points administrators to Integrations for payout-account management.</w:t>
      </w:r>
    </w:p>
    <w:p>
      <w:pPr>
        <w:spacing w:after="30" w:before="120"/>
      </w:pPr>
      <w:r>
        <w:rPr>
          <w:b/>
          <w:bCs/>
        </w:rPr>
        <w:t xml:space="preserve">21. Does AssurePro include referral tracking?</w:t>
      </w:r>
    </w:p>
    <w:p>
      <w:pPr>
        <w:spacing w:after="60"/>
        <w:ind w:left="360"/>
      </w:pPr>
      <w:r>
        <w:t xml:space="preserve">Yes. Billing includes a Referrals tab for MyCPEOne referrals. It supports bulk import and individual referral, and tracks referred clients, active or paying referrals, monthly commission, lifetime earnings, engagement, status, total paid, commission rate, accrued commission, and pending payout.</w:t>
      </w:r>
    </w:p>
    <w:p>
      <w:pPr>
        <w:spacing w:after="30" w:before="120"/>
      </w:pPr>
      <w:r>
        <w:rPr>
          <w:b/>
          <w:bCs/>
        </w:rPr>
        <w:t xml:space="preserve">22. How do I refer a client to MyCPEOne?</w:t>
      </w:r>
    </w:p>
    <w:p>
      <w:pPr>
        <w:spacing w:after="20"/>
        <w:ind w:left="360"/>
      </w:pPr>
      <w:r>
        <w:t xml:space="preserve">A referral can use an existing AssurePro client or create a new referral contact.</w:t>
      </w:r>
    </w:p>
    <w:p>
      <w:pPr>
        <w:pStyle w:val="ListParagraph"/>
        <w:numPr>
          <w:ilvl w:val="0"/>
          <w:numId w:val="2"/>
        </w:numPr>
        <w:spacing w:after="20"/>
        <w:ind w:left="720"/>
      </w:pPr>
      <w:r>
        <w:t xml:space="preserve">Open Billing and choose Referrals.</w:t>
      </w:r>
    </w:p>
    <w:p>
      <w:pPr>
        <w:pStyle w:val="ListParagraph"/>
        <w:numPr>
          <w:ilvl w:val="0"/>
          <w:numId w:val="2"/>
        </w:numPr>
        <w:spacing w:after="20"/>
        <w:ind w:left="720"/>
      </w:pPr>
      <w:r>
        <w:t xml:space="preserve">Select Refer a client.</w:t>
      </w:r>
    </w:p>
    <w:p>
      <w:pPr>
        <w:pStyle w:val="ListParagraph"/>
        <w:numPr>
          <w:ilvl w:val="0"/>
          <w:numId w:val="2"/>
        </w:numPr>
        <w:spacing w:after="20"/>
        <w:ind w:left="720"/>
      </w:pPr>
      <w:r>
        <w:t xml:space="preserve">Choose New client or From my clients.</w:t>
      </w:r>
    </w:p>
    <w:p>
      <w:pPr>
        <w:pStyle w:val="ListParagraph"/>
        <w:numPr>
          <w:ilvl w:val="0"/>
          <w:numId w:val="2"/>
        </w:numPr>
        <w:spacing w:after="20"/>
        <w:ind w:left="720"/>
      </w:pPr>
      <w:r>
        <w:t xml:space="preserve">Enter the required client name, entity type, contact email, and service line.</w:t>
      </w:r>
    </w:p>
    <w:p>
      <w:pPr>
        <w:pStyle w:val="ListParagraph"/>
        <w:numPr>
          <w:ilvl w:val="0"/>
          <w:numId w:val="2"/>
        </w:numPr>
        <w:spacing w:after="20"/>
        <w:ind w:left="720"/>
      </w:pPr>
      <w:r>
        <w:t xml:space="preserve">Add contact name, phone, address, ZIP code, requested services, or notes when useful.</w:t>
      </w:r>
    </w:p>
    <w:p>
      <w:pPr>
        <w:pStyle w:val="ListParagraph"/>
        <w:numPr>
          <w:ilvl w:val="0"/>
          <w:numId w:val="2"/>
        </w:numPr>
        <w:spacing w:after="20"/>
        <w:ind w:left="720"/>
      </w:pPr>
      <w:r>
        <w:t xml:space="preserve">Review the details and submit the referral. MyCPEOne then sends the portal invitation, and the referral remains visible for commission tracking.</w:t>
      </w:r>
    </w:p>
    <w:p>
      <w:pPr>
        <w:spacing w:after="60"/>
      </w:pPr>
    </w:p>
    <w:p>
      <w:pPr>
        <w:pStyle w:val="Heading2"/>
        <w:spacing w:after="80" w:before="200"/>
      </w:pPr>
      <w:r>
        <w:t xml:space="preserve">Communications  (16)</w:t>
      </w:r>
    </w:p>
    <w:p>
      <w:pPr>
        <w:spacing w:after="30" w:before="120"/>
      </w:pPr>
      <w:r>
        <w:rPr>
          <w:b/>
          <w:bCs/>
        </w:rPr>
        <w:t xml:space="preserve">1. Which communication channels are available?</w:t>
      </w:r>
    </w:p>
    <w:p>
      <w:pPr>
        <w:spacing w:after="60"/>
        <w:ind w:left="360"/>
      </w:pPr>
      <w:r>
        <w:t xml:space="preserve">Communications brings together Chat, Email, SMS, Call, and Team chat. Chat keeps the conversation in the client experience; Email uses the firm's connected email service; SMS uses the firm's connected Twilio number; Call records the call workflow available to the firm; and Team chat supports internal discussion. Use the shared Communications area for a cross-client inbox or open a client's Communications tab when the conversation should begin with that client already selected.</w:t>
      </w:r>
    </w:p>
    <w:p>
      <w:pPr>
        <w:spacing w:after="30" w:before="120"/>
      </w:pPr>
      <w:r>
        <w:rPr>
          <w:b/>
          <w:bCs/>
        </w:rPr>
        <w:t xml:space="preserve">2. How do I start a client conversation?</w:t>
      </w:r>
    </w:p>
    <w:p>
      <w:pPr>
        <w:spacing w:after="20"/>
        <w:ind w:left="360"/>
      </w:pPr>
      <w:r>
        <w:t xml:space="preserve">A conversation can begin in the shared Communications area or in the selected client's workspace.</w:t>
      </w:r>
    </w:p>
    <w:p>
      <w:pPr>
        <w:pStyle w:val="ListParagraph"/>
        <w:numPr>
          <w:ilvl w:val="0"/>
          <w:numId w:val="2"/>
        </w:numPr>
        <w:spacing w:after="20"/>
        <w:ind w:left="720"/>
      </w:pPr>
      <w:r>
        <w:t xml:space="preserve">Open Communications and choose the required channel, or open the client's Communications tab.</w:t>
      </w:r>
    </w:p>
    <w:p>
      <w:pPr>
        <w:pStyle w:val="ListParagraph"/>
        <w:numPr>
          <w:ilvl w:val="0"/>
          <w:numId w:val="2"/>
        </w:numPr>
        <w:spacing w:after="20"/>
        <w:ind w:left="720"/>
      </w:pPr>
      <w:r>
        <w:t xml:space="preserve">Select New Conversation.</w:t>
      </w:r>
    </w:p>
    <w:p>
      <w:pPr>
        <w:pStyle w:val="ListParagraph"/>
        <w:numPr>
          <w:ilvl w:val="0"/>
          <w:numId w:val="2"/>
        </w:numPr>
        <w:spacing w:after="20"/>
        <w:ind w:left="720"/>
      </w:pPr>
      <w:r>
        <w:t xml:space="preserve">Choose the client and channel.</w:t>
      </w:r>
    </w:p>
    <w:p>
      <w:pPr>
        <w:pStyle w:val="ListParagraph"/>
        <w:numPr>
          <w:ilvl w:val="0"/>
          <w:numId w:val="2"/>
        </w:numPr>
        <w:spacing w:after="20"/>
        <w:ind w:left="720"/>
      </w:pPr>
      <w:r>
        <w:t xml:space="preserve">Add the recipients, subject, message, or other details required by that channel.</w:t>
      </w:r>
    </w:p>
    <w:p>
      <w:pPr>
        <w:pStyle w:val="ListParagraph"/>
        <w:numPr>
          <w:ilvl w:val="0"/>
          <w:numId w:val="2"/>
        </w:numPr>
        <w:spacing w:after="20"/>
        <w:ind w:left="720"/>
      </w:pPr>
      <w:r>
        <w:t xml:space="preserve">Review and send the conversation.</w:t>
      </w:r>
    </w:p>
    <w:p>
      <w:pPr>
        <w:pStyle w:val="ListParagraph"/>
        <w:numPr>
          <w:ilvl w:val="0"/>
          <w:numId w:val="2"/>
        </w:numPr>
        <w:spacing w:after="20"/>
        <w:ind w:left="720"/>
      </w:pPr>
      <w:r>
        <w:t xml:space="preserve">Use the shared inbox to monitor its response and handling status.</w:t>
      </w:r>
    </w:p>
    <w:p>
      <w:pPr>
        <w:spacing w:after="60"/>
      </w:pPr>
    </w:p>
    <w:p>
      <w:pPr>
        <w:spacing w:after="30" w:before="120"/>
      </w:pPr>
      <w:r>
        <w:rPr>
          <w:b/>
          <w:bCs/>
        </w:rPr>
        <w:t xml:space="preserve">3. What is the difference between portal chat and SMS?</w:t>
      </w:r>
    </w:p>
    <w:p>
      <w:pPr>
        <w:spacing w:after="60"/>
        <w:ind w:left="360"/>
      </w:pPr>
      <w:r>
        <w:t xml:space="preserve">Chat is a conversation inside the AssurePro client experience, so the client reads and replies through their portal access. SMS uses the firm's connected Twilio phone number and reaches the client's mobile number. Both channels remain visible to authorized firm staff in Communications and in the client's workspace.</w:t>
      </w:r>
    </w:p>
    <w:p>
      <w:pPr>
        <w:spacing w:after="30" w:before="120"/>
      </w:pPr>
      <w:r>
        <w:rPr>
          <w:b/>
          <w:bCs/>
        </w:rPr>
        <w:t xml:space="preserve">4. How can the communications inbox be organized?</w:t>
      </w:r>
    </w:p>
    <w:p>
      <w:pPr>
        <w:spacing w:after="60"/>
        <w:ind w:left="360"/>
      </w:pPr>
      <w:r>
        <w:t xml:space="preserve">First choose the required channel, then narrow the inbox to All, Unread, Assigned to me, or Resolved. Use Unread for new activity, Assigned to me for the signed-in user's queue, and Resolved to review completed threads. Conversation labels such as Awaiting Reply, Needs Action, and FYI communicate the expected next step so staff can separate client follow-up from informational messages.</w:t>
      </w:r>
    </w:p>
    <w:p>
      <w:pPr>
        <w:spacing w:after="30" w:before="120"/>
      </w:pPr>
      <w:r>
        <w:rPr>
          <w:b/>
          <w:bCs/>
        </w:rPr>
        <w:t xml:space="preserve">5. Can client-facing emails be standardized?</w:t>
      </w:r>
    </w:p>
    <w:p>
      <w:pPr>
        <w:spacing w:after="60"/>
        <w:ind w:left="360"/>
      </w:pPr>
      <w:r>
        <w:t xml:space="preserve">Email Templates centralizes the automated messages AssurePro sends on the firm's behalf. Verified groups cover Billing, Tax &amp; intake, Documents, E-sign, Client portal, and Internal alerts. Each template indicates its trigger and can expose editable subject, heading, introduction, body, button label, and footer content as applicable.</w:t>
      </w:r>
    </w:p>
    <w:p>
      <w:pPr>
        <w:spacing w:after="30" w:before="120"/>
      </w:pPr>
      <w:r>
        <w:rPr>
          <w:b/>
          <w:bCs/>
        </w:rPr>
        <w:t xml:space="preserve">6. How do I edit and test an automated email template?</w:t>
      </w:r>
    </w:p>
    <w:p>
      <w:pPr>
        <w:spacing w:after="20"/>
        <w:ind w:left="360"/>
      </w:pPr>
      <w:r>
        <w:t xml:space="preserve">The editor supports placeholders, rich-text controls, desktop and mobile preview widths, and a test-send action. Edited templates are marked so administrators can find customized wording.</w:t>
      </w:r>
    </w:p>
    <w:p>
      <w:pPr>
        <w:pStyle w:val="ListParagraph"/>
        <w:numPr>
          <w:ilvl w:val="0"/>
          <w:numId w:val="2"/>
        </w:numPr>
        <w:spacing w:after="20"/>
        <w:ind w:left="720"/>
      </w:pPr>
      <w:r>
        <w:t xml:space="preserve">Open Settings and choose Email Templates.</w:t>
      </w:r>
    </w:p>
    <w:p>
      <w:pPr>
        <w:pStyle w:val="ListParagraph"/>
        <w:numPr>
          <w:ilvl w:val="0"/>
          <w:numId w:val="2"/>
        </w:numPr>
        <w:spacing w:after="20"/>
        <w:ind w:left="720"/>
      </w:pPr>
      <w:r>
        <w:t xml:space="preserve">Search for the email or select it from its functional group.</w:t>
      </w:r>
    </w:p>
    <w:p>
      <w:pPr>
        <w:pStyle w:val="ListParagraph"/>
        <w:numPr>
          <w:ilvl w:val="0"/>
          <w:numId w:val="2"/>
        </w:numPr>
        <w:spacing w:after="20"/>
        <w:ind w:left="720"/>
      </w:pPr>
      <w:r>
        <w:t xml:space="preserve">Edit the subject and the available message sections, inserting supported placeholders with the { } control.</w:t>
      </w:r>
    </w:p>
    <w:p>
      <w:pPr>
        <w:pStyle w:val="ListParagraph"/>
        <w:numPr>
          <w:ilvl w:val="0"/>
          <w:numId w:val="2"/>
        </w:numPr>
        <w:spacing w:after="20"/>
        <w:ind w:left="720"/>
      </w:pPr>
      <w:r>
        <w:t xml:space="preserve">Review the desktop and mobile previews.</w:t>
      </w:r>
    </w:p>
    <w:p>
      <w:pPr>
        <w:pStyle w:val="ListParagraph"/>
        <w:numPr>
          <w:ilvl w:val="0"/>
          <w:numId w:val="2"/>
        </w:numPr>
        <w:spacing w:after="20"/>
        <w:ind w:left="720"/>
      </w:pPr>
      <w:r>
        <w:t xml:space="preserve">Use Send test to me to inspect the current on-screen wording.</w:t>
      </w:r>
    </w:p>
    <w:p>
      <w:pPr>
        <w:pStyle w:val="ListParagraph"/>
        <w:numPr>
          <w:ilvl w:val="0"/>
          <w:numId w:val="2"/>
        </w:numPr>
        <w:spacing w:after="20"/>
        <w:ind w:left="720"/>
      </w:pPr>
      <w:r>
        <w:t xml:space="preserve">Save the final version and confirm it appears under the Edited filter.</w:t>
      </w:r>
    </w:p>
    <w:p>
      <w:pPr>
        <w:spacing w:after="60"/>
      </w:pPr>
    </w:p>
    <w:p>
      <w:pPr>
        <w:spacing w:after="30" w:before="120"/>
      </w:pPr>
      <w:r>
        <w:rPr>
          <w:b/>
          <w:bCs/>
        </w:rPr>
        <w:t xml:space="preserve">7. Can administrators audit automated email delivery?</w:t>
      </w:r>
    </w:p>
    <w:p>
      <w:pPr>
        <w:spacing w:after="60"/>
        <w:ind w:left="360"/>
      </w:pPr>
      <w:r>
        <w:t xml:space="preserve">Yes. Email Log records sent time, status, recipient, client, subject, type, and a delivery error when one is returned. It can be searched by recipient or subject and filtered by All, Sent, Failed, or Not sent. Verification codes and temporary-password emails are intentionally excluded.</w:t>
      </w:r>
    </w:p>
    <w:p>
      <w:pPr>
        <w:spacing w:after="30" w:before="120"/>
      </w:pPr>
      <w:r>
        <w:rPr>
          <w:b/>
          <w:bCs/>
        </w:rPr>
        <w:t xml:space="preserve">8. How do I investigate an email that was not delivered?</w:t>
      </w:r>
    </w:p>
    <w:p>
      <w:pPr>
        <w:spacing w:after="20"/>
        <w:ind w:left="360"/>
      </w:pPr>
      <w:r>
        <w:t xml:space="preserve">Use Email Log rather than the client's general communications history when checking an automated AssurePro email.</w:t>
      </w:r>
    </w:p>
    <w:p>
      <w:pPr>
        <w:pStyle w:val="ListParagraph"/>
        <w:numPr>
          <w:ilvl w:val="0"/>
          <w:numId w:val="2"/>
        </w:numPr>
        <w:spacing w:after="20"/>
        <w:ind w:left="720"/>
      </w:pPr>
      <w:r>
        <w:t xml:space="preserve">Open Settings and choose Email Log.</w:t>
      </w:r>
    </w:p>
    <w:p>
      <w:pPr>
        <w:pStyle w:val="ListParagraph"/>
        <w:numPr>
          <w:ilvl w:val="0"/>
          <w:numId w:val="2"/>
        </w:numPr>
        <w:spacing w:after="20"/>
        <w:ind w:left="720"/>
      </w:pPr>
      <w:r>
        <w:t xml:space="preserve">Search by recipient or subject.</w:t>
      </w:r>
    </w:p>
    <w:p>
      <w:pPr>
        <w:pStyle w:val="ListParagraph"/>
        <w:numPr>
          <w:ilvl w:val="0"/>
          <w:numId w:val="2"/>
        </w:numPr>
        <w:spacing w:after="20"/>
        <w:ind w:left="720"/>
      </w:pPr>
      <w:r>
        <w:t xml:space="preserve">Filter to Failed or Not sent.</w:t>
      </w:r>
    </w:p>
    <w:p>
      <w:pPr>
        <w:pStyle w:val="ListParagraph"/>
        <w:numPr>
          <w:ilvl w:val="0"/>
          <w:numId w:val="2"/>
        </w:numPr>
        <w:spacing w:after="20"/>
        <w:ind w:left="720"/>
      </w:pPr>
      <w:r>
        <w:t xml:space="preserve">Review the sent time, client, subject, message type, and any error text shown on the row.</w:t>
      </w:r>
    </w:p>
    <w:p>
      <w:pPr>
        <w:pStyle w:val="ListParagraph"/>
        <w:numPr>
          <w:ilvl w:val="0"/>
          <w:numId w:val="2"/>
        </w:numPr>
        <w:spacing w:after="20"/>
        <w:ind w:left="720"/>
      </w:pPr>
      <w:r>
        <w:t xml:space="preserve">Correct the underlying address, connection, or template issue before retrying the associated workflow.</w:t>
      </w:r>
    </w:p>
    <w:p>
      <w:pPr>
        <w:spacing w:after="60"/>
      </w:pPr>
    </w:p>
    <w:p>
      <w:pPr>
        <w:spacing w:after="30" w:before="120"/>
      </w:pPr>
      <w:r>
        <w:rPr>
          <w:b/>
          <w:bCs/>
        </w:rPr>
        <w:t xml:space="preserve">9. What reminders can be automated?</w:t>
      </w:r>
    </w:p>
    <w:p>
      <w:pPr>
        <w:spacing w:after="60"/>
        <w:ind w:left="360"/>
      </w:pPr>
      <w:r>
        <w:t xml:space="preserve">Reminders provides separate automatic nudges for document requests, unanswered messages, tax organizers, and signature requests. Each reminder type has its own on/off switch and editable schedule showing the first delay, repeat interval, and total number of reminders.</w:t>
      </w:r>
    </w:p>
    <w:p>
      <w:pPr>
        <w:spacing w:after="30" w:before="120"/>
      </w:pPr>
      <w:r>
        <w:rPr>
          <w:b/>
          <w:bCs/>
        </w:rPr>
        <w:t xml:space="preserve">10. How do I change an automatic reminder schedule?</w:t>
      </w:r>
    </w:p>
    <w:p>
      <w:pPr>
        <w:spacing w:after="20"/>
        <w:ind w:left="360"/>
      </w:pPr>
      <w:r>
        <w:t xml:space="preserve">Reminder schedules are configured independently so the firm can use different follow-up timing for different kinds of client work.</w:t>
      </w:r>
    </w:p>
    <w:p>
      <w:pPr>
        <w:pStyle w:val="ListParagraph"/>
        <w:numPr>
          <w:ilvl w:val="0"/>
          <w:numId w:val="2"/>
        </w:numPr>
        <w:spacing w:after="20"/>
        <w:ind w:left="720"/>
      </w:pPr>
      <w:r>
        <w:t xml:space="preserve">Open Settings and choose Reminders.</w:t>
      </w:r>
    </w:p>
    <w:p>
      <w:pPr>
        <w:pStyle w:val="ListParagraph"/>
        <w:numPr>
          <w:ilvl w:val="0"/>
          <w:numId w:val="2"/>
        </w:numPr>
        <w:spacing w:after="20"/>
        <w:ind w:left="720"/>
      </w:pPr>
      <w:r>
        <w:t xml:space="preserve">Find Document requests, Unanswered messages, Tax organizers, or Signature requests.</w:t>
      </w:r>
    </w:p>
    <w:p>
      <w:pPr>
        <w:pStyle w:val="ListParagraph"/>
        <w:numPr>
          <w:ilvl w:val="0"/>
          <w:numId w:val="2"/>
        </w:numPr>
        <w:spacing w:after="20"/>
        <w:ind w:left="720"/>
      </w:pPr>
      <w:r>
        <w:t xml:space="preserve">Use the switch to enable or disable that reminder type.</w:t>
      </w:r>
    </w:p>
    <w:p>
      <w:pPr>
        <w:pStyle w:val="ListParagraph"/>
        <w:numPr>
          <w:ilvl w:val="0"/>
          <w:numId w:val="2"/>
        </w:numPr>
        <w:spacing w:after="20"/>
        <w:ind w:left="720"/>
      </w:pPr>
      <w:r>
        <w:t xml:space="preserve">Select Edit schedule and set the initial delay, repeat cadence, and total number of reminders offered by the editor.</w:t>
      </w:r>
    </w:p>
    <w:p>
      <w:pPr>
        <w:pStyle w:val="ListParagraph"/>
        <w:numPr>
          <w:ilvl w:val="0"/>
          <w:numId w:val="2"/>
        </w:numPr>
        <w:spacing w:after="20"/>
        <w:ind w:left="720"/>
      </w:pPr>
      <w:r>
        <w:t xml:space="preserve">Review the schedule summary shown on the reminder card.</w:t>
      </w:r>
    </w:p>
    <w:p>
      <w:pPr>
        <w:spacing w:after="60"/>
      </w:pPr>
    </w:p>
    <w:p>
      <w:pPr>
        <w:spacing w:after="30" w:before="120"/>
      </w:pPr>
      <w:r>
        <w:rPr>
          <w:b/>
          <w:bCs/>
        </w:rPr>
        <w:t xml:space="preserve">11. Can AssurePro follow up when a client has not responded?</w:t>
      </w:r>
    </w:p>
    <w:p>
      <w:pPr>
        <w:spacing w:after="60"/>
        <w:ind w:left="360"/>
      </w:pPr>
      <w:r>
        <w:t xml:space="preserve">Yes, for the supported reminder types. Reminders can automatically nudge clients about unanswered messages, document requests, tax organizers, and signature requests. Configure each reminder type separately so its cadence matches the firm's process.</w:t>
      </w:r>
    </w:p>
    <w:p>
      <w:pPr>
        <w:spacing w:after="30" w:before="120"/>
      </w:pPr>
      <w:r>
        <w:rPr>
          <w:b/>
          <w:bCs/>
        </w:rPr>
        <w:t xml:space="preserve">12. Can AssurePro send and receive client text messages?</w:t>
      </w:r>
    </w:p>
    <w:p>
      <w:pPr>
        <w:spacing w:after="60"/>
        <w:ind w:left="360"/>
      </w:pPr>
      <w:r>
        <w:t xml:space="preserve">Yes, through a connected Twilio account. Phone Numbers lets the firm link an owned number or add a new one and shows whether it supports SMS, MMS, and Voice. It also exposes A2P 10DLC registration status because unregistered US carrier traffic may be filtered or blocked.</w:t>
      </w:r>
    </w:p>
    <w:p>
      <w:pPr>
        <w:spacing w:after="30" w:before="120"/>
      </w:pPr>
      <w:r>
        <w:rPr>
          <w:b/>
          <w:bCs/>
        </w:rPr>
        <w:t xml:space="preserve">13. How do I configure a firm phone number for SMS?</w:t>
      </w:r>
    </w:p>
    <w:p>
      <w:pPr>
        <w:spacing w:after="20"/>
        <w:ind w:left="360"/>
      </w:pPr>
      <w:r>
        <w:t xml:space="preserve">The firm first connects Twilio in Integrations, then manages usable numbers in Phone Numbers.</w:t>
      </w:r>
    </w:p>
    <w:p>
      <w:pPr>
        <w:pStyle w:val="ListParagraph"/>
        <w:numPr>
          <w:ilvl w:val="0"/>
          <w:numId w:val="2"/>
        </w:numPr>
        <w:spacing w:after="20"/>
        <w:ind w:left="720"/>
      </w:pPr>
      <w:r>
        <w:t xml:space="preserve">Open Settings and confirm Twilio is connected under Integrations.</w:t>
      </w:r>
    </w:p>
    <w:p>
      <w:pPr>
        <w:pStyle w:val="ListParagraph"/>
        <w:numPr>
          <w:ilvl w:val="0"/>
          <w:numId w:val="2"/>
        </w:numPr>
        <w:spacing w:after="20"/>
        <w:ind w:left="720"/>
      </w:pPr>
      <w:r>
        <w:t xml:space="preserve">Choose Phone Numbers and select Add number.</w:t>
      </w:r>
    </w:p>
    <w:p>
      <w:pPr>
        <w:pStyle w:val="ListParagraph"/>
        <w:numPr>
          <w:ilvl w:val="0"/>
          <w:numId w:val="2"/>
        </w:numPr>
        <w:spacing w:after="20"/>
        <w:ind w:left="720"/>
      </w:pPr>
      <w:r>
        <w:t xml:space="preserve">Link a number already owned in Twilio or follow the offered flow to add a new number.</w:t>
      </w:r>
    </w:p>
    <w:p>
      <w:pPr>
        <w:pStyle w:val="ListParagraph"/>
        <w:numPr>
          <w:ilvl w:val="0"/>
          <w:numId w:val="2"/>
        </w:numPr>
        <w:spacing w:after="20"/>
        <w:ind w:left="720"/>
      </w:pPr>
      <w:r>
        <w:t xml:space="preserve">Confirm the number and its SMS or MMS capabilities under Your numbers.</w:t>
      </w:r>
    </w:p>
    <w:p>
      <w:pPr>
        <w:pStyle w:val="ListParagraph"/>
        <w:numPr>
          <w:ilvl w:val="0"/>
          <w:numId w:val="2"/>
        </w:numPr>
        <w:spacing w:after="20"/>
        <w:ind w:left="720"/>
      </w:pPr>
      <w:r>
        <w:t xml:space="preserve">Complete A2P 10DLC registration for US carrier messaging and use Refresh status to verify the result.</w:t>
      </w:r>
    </w:p>
    <w:p>
      <w:pPr>
        <w:spacing w:after="60"/>
      </w:pPr>
    </w:p>
    <w:p>
      <w:pPr>
        <w:spacing w:after="30" w:before="120"/>
      </w:pPr>
      <w:r>
        <w:rPr>
          <w:b/>
          <w:bCs/>
        </w:rPr>
        <w:t xml:space="preserve">14. What phone number does a client see when the firm sends an SMS?</w:t>
      </w:r>
    </w:p>
    <w:p>
      <w:pPr>
        <w:spacing w:after="60"/>
        <w:ind w:left="360"/>
      </w:pPr>
      <w:r>
        <w:t xml:space="preserve">The client sees the Twilio phone number connected to the firm in Phone Numbers. Administrators should confirm that the intended number is linked and that its A2P 10DLC registration is complete before relying on it for US client messaging.</w:t>
      </w:r>
    </w:p>
    <w:p>
      <w:pPr>
        <w:spacing w:after="30" w:before="120"/>
      </w:pPr>
      <w:r>
        <w:rPr>
          <w:b/>
          <w:bCs/>
        </w:rPr>
        <w:t xml:space="preserve">15. What calendar connections are supported?</w:t>
      </w:r>
    </w:p>
    <w:p>
      <w:pPr>
        <w:spacing w:after="60"/>
        <w:ind w:left="360"/>
      </w:pPr>
      <w:r>
        <w:t xml:space="preserve">Calendar prompts the firm to connect Calendly for meetings. Integrations also lists Google Calendar and Outlook Calendar and describes matching connected meetings to the relevant client.</w:t>
      </w:r>
    </w:p>
    <w:p>
      <w:pPr>
        <w:spacing w:after="30" w:before="120"/>
      </w:pPr>
      <w:r>
        <w:rPr>
          <w:b/>
          <w:bCs/>
        </w:rPr>
        <w:t xml:space="preserve">16. Does everything a client sees carry the firm's branding, or does AssureOne branding appear anywhere?</w:t>
      </w:r>
    </w:p>
    <w:p>
      <w:pPr>
        <w:spacing w:after="60"/>
        <w:ind w:left="360"/>
      </w:pPr>
      <w:r>
        <w:t xml:space="preserve">The firm can configure its client-facing identity in Settings &gt; Client Portal, including the available firm branding and portal presentation controls. That branding is used across the client experience, while the AssureOne name can still appear in selected platform-managed locations such as email footers. Administrators should review both the desktop and mobile email previews, send test messages, and inspect the client portal before rollout so client-facing wording and branding are understood in advance.</w:t>
      </w:r>
    </w:p>
    <w:p>
      <w:pPr>
        <w:pStyle w:val="Heading2"/>
        <w:spacing w:after="80" w:before="200"/>
      </w:pPr>
      <w:r>
        <w:t xml:space="preserve">Reporting  (15)</w:t>
      </w:r>
    </w:p>
    <w:p>
      <w:pPr>
        <w:spacing w:after="30" w:before="120"/>
      </w:pPr>
      <w:r>
        <w:rPr>
          <w:b/>
          <w:bCs/>
        </w:rPr>
        <w:t xml:space="preserve">1. How is the Reports area organized?</w:t>
      </w:r>
    </w:p>
    <w:p>
      <w:pPr>
        <w:spacing w:after="60"/>
        <w:ind w:left="360"/>
      </w:pPr>
      <w:r>
        <w:t xml:space="preserve">Reports has three destinations. Overview contains standard firm KPIs and report cards. My Report contains starter dashboards, dashboards shared with the firm, and the user's own dashboards. Templates is the widget library and custom-dashboard builder.</w:t>
      </w:r>
    </w:p>
    <w:p>
      <w:pPr>
        <w:spacing w:after="30" w:before="120"/>
      </w:pPr>
      <w:r>
        <w:rPr>
          <w:b/>
          <w:bCs/>
        </w:rPr>
        <w:t xml:space="preserve">2. What reports are available on Overview?</w:t>
      </w:r>
    </w:p>
    <w:p>
      <w:pPr>
        <w:spacing w:after="60"/>
        <w:ind w:left="360"/>
      </w:pPr>
      <w:r>
        <w:t xml:space="preserve">Overview includes Revenue by service line, Hours logged monthly, A/R aging, Tasks completed monthly, Agreement funnel, Top clients by revenue, and Workflow stages. Workflow stages shows each stage's active and overdue counts, average days, and load.</w:t>
      </w:r>
    </w:p>
    <w:p>
      <w:pPr>
        <w:spacing w:after="30" w:before="120"/>
      </w:pPr>
      <w:r>
        <w:rPr>
          <w:b/>
          <w:bCs/>
        </w:rPr>
        <w:t xml:space="preserve">3. Which KPIs appear at the top of Reports?</w:t>
      </w:r>
    </w:p>
    <w:p>
      <w:pPr>
        <w:spacing w:after="60"/>
        <w:ind w:left="360"/>
      </w:pPr>
      <w:r>
        <w:t xml:space="preserve">The KPI cards are Total Revenue, Collected, Outstanding A/R, Billable Hours, Utilization, and New Clients. Use them together: Revenue shows billed performance, Collected shows cash received, Outstanding A/R identifies the unpaid balance, Billable Hours and Utilization describe productive time, and New Clients shows growth. Select MTD, QTD, YTD, 12M, or Custom before interpreting the values so every card reflects the intended period.</w:t>
      </w:r>
    </w:p>
    <w:p>
      <w:pPr>
        <w:spacing w:after="30" w:before="120"/>
      </w:pPr>
      <w:r>
        <w:rPr>
          <w:b/>
          <w:bCs/>
        </w:rPr>
        <w:t xml:space="preserve">4. How do I review and export a report?</w:t>
      </w:r>
    </w:p>
    <w:p>
      <w:pPr>
        <w:spacing w:after="20"/>
        <w:ind w:left="360"/>
      </w:pPr>
      <w:r>
        <w:t xml:space="preserve">Use the common period controls to keep the report cards and KPI context aligned.</w:t>
      </w:r>
    </w:p>
    <w:p>
      <w:pPr>
        <w:pStyle w:val="ListParagraph"/>
        <w:numPr>
          <w:ilvl w:val="0"/>
          <w:numId w:val="2"/>
        </w:numPr>
        <w:spacing w:after="20"/>
        <w:ind w:left="720"/>
      </w:pPr>
      <w:r>
        <w:t xml:space="preserve">Open Reports and choose Overview or My Report.</w:t>
      </w:r>
    </w:p>
    <w:p>
      <w:pPr>
        <w:pStyle w:val="ListParagraph"/>
        <w:numPr>
          <w:ilvl w:val="0"/>
          <w:numId w:val="2"/>
        </w:numPr>
        <w:spacing w:after="20"/>
        <w:ind w:left="720"/>
      </w:pPr>
      <w:r>
        <w:t xml:space="preserve">Select MTD, QTD, YTD, 12M, or Custom and provide the date range when required.</w:t>
      </w:r>
    </w:p>
    <w:p>
      <w:pPr>
        <w:pStyle w:val="ListParagraph"/>
        <w:numPr>
          <w:ilvl w:val="0"/>
          <w:numId w:val="2"/>
        </w:numPr>
        <w:spacing w:after="20"/>
        <w:ind w:left="720"/>
      </w:pPr>
      <w:r>
        <w:t xml:space="preserve">Review the relevant KPI or report card.</w:t>
      </w:r>
    </w:p>
    <w:p>
      <w:pPr>
        <w:pStyle w:val="ListParagraph"/>
        <w:numPr>
          <w:ilvl w:val="0"/>
          <w:numId w:val="2"/>
        </w:numPr>
        <w:spacing w:after="20"/>
        <w:ind w:left="720"/>
      </w:pPr>
      <w:r>
        <w:t xml:space="preserve">Select Full report on a card when a detailed view is available.</w:t>
      </w:r>
    </w:p>
    <w:p>
      <w:pPr>
        <w:pStyle w:val="ListParagraph"/>
        <w:numPr>
          <w:ilvl w:val="0"/>
          <w:numId w:val="2"/>
        </w:numPr>
        <w:spacing w:after="20"/>
        <w:ind w:left="720"/>
      </w:pPr>
      <w:r>
        <w:t xml:space="preserve">Review the resulting focused dashboard and its supporting widgets.</w:t>
      </w:r>
    </w:p>
    <w:p>
      <w:pPr>
        <w:pStyle w:val="ListParagraph"/>
        <w:numPr>
          <w:ilvl w:val="0"/>
          <w:numId w:val="2"/>
        </w:numPr>
        <w:spacing w:after="20"/>
        <w:ind w:left="720"/>
      </w:pPr>
      <w:r>
        <w:t xml:space="preserve">Select Export when an external copy is needed.</w:t>
      </w:r>
    </w:p>
    <w:p>
      <w:pPr>
        <w:spacing w:after="60"/>
      </w:pPr>
    </w:p>
    <w:p>
      <w:pPr>
        <w:spacing w:after="30" w:before="120"/>
      </w:pPr>
      <w:r>
        <w:rPr>
          <w:b/>
          <w:bCs/>
        </w:rPr>
        <w:t xml:space="preserve">5. What happens when I select Full report on an Overview card?</w:t>
      </w:r>
    </w:p>
    <w:p>
      <w:pPr>
        <w:spacing w:after="60"/>
        <w:ind w:left="360"/>
      </w:pPr>
      <w:r>
        <w:t xml:space="preserve">Full report opens the related focused dashboard rather than expanding the card in place. For example, Full revenue report opens Revenue Snapshot, where the selected period, total revenue, revenue per billed client, existing-versus-new split, cross-sell measures, revenue mix, and service-line detail can be reviewed together.</w:t>
      </w:r>
    </w:p>
    <w:p>
      <w:pPr>
        <w:spacing w:after="30" w:before="120"/>
      </w:pPr>
      <w:r>
        <w:rPr>
          <w:b/>
          <w:bCs/>
        </w:rPr>
        <w:t xml:space="preserve">6. Can report periods and results be changed or exported?</w:t>
      </w:r>
    </w:p>
    <w:p>
      <w:pPr>
        <w:spacing w:after="60"/>
        <w:ind w:left="360"/>
      </w:pPr>
      <w:r>
        <w:t xml:space="preserve">Yes. Reports provides MTD, QTD, YTD, 12M, and custom date ranges, along with Export and Full report actions. Workflow reporting can also be filtered by stage and status-related measures such as active and overdue work.</w:t>
      </w:r>
    </w:p>
    <w:p>
      <w:pPr>
        <w:spacing w:after="30" w:before="120"/>
      </w:pPr>
      <w:r>
        <w:rPr>
          <w:b/>
          <w:bCs/>
        </w:rPr>
        <w:t xml:space="preserve">7. Can report and dashboard data be exported?</w:t>
      </w:r>
    </w:p>
    <w:p>
      <w:pPr>
        <w:spacing w:after="20"/>
        <w:ind w:left="360"/>
      </w:pPr>
      <w:r>
        <w:t xml:space="preserve">Yes. Report and dashboard results can be exported for review or use outside AssurePro.</w:t>
      </w:r>
    </w:p>
    <w:p>
      <w:pPr>
        <w:pStyle w:val="ListParagraph"/>
        <w:numPr>
          <w:ilvl w:val="0"/>
          <w:numId w:val="2"/>
        </w:numPr>
        <w:spacing w:after="20"/>
        <w:ind w:left="720"/>
      </w:pPr>
      <w:r>
        <w:t xml:space="preserve">Open Reports and choose Overview or My Report.</w:t>
      </w:r>
    </w:p>
    <w:p>
      <w:pPr>
        <w:pStyle w:val="ListParagraph"/>
        <w:numPr>
          <w:ilvl w:val="0"/>
          <w:numId w:val="2"/>
        </w:numPr>
        <w:spacing w:after="20"/>
        <w:ind w:left="720"/>
      </w:pPr>
      <w:r>
        <w:t xml:space="preserve">Select MTD, QTD, YTD, 12M, or a Custom date range so the export reflects the intended period.</w:t>
      </w:r>
    </w:p>
    <w:p>
      <w:pPr>
        <w:pStyle w:val="ListParagraph"/>
        <w:numPr>
          <w:ilvl w:val="0"/>
          <w:numId w:val="2"/>
        </w:numPr>
        <w:spacing w:after="20"/>
        <w:ind w:left="720"/>
      </w:pPr>
      <w:r>
        <w:t xml:space="preserve">Open a Full report when the export should come from a focused dashboard rather than the high-level Overview.</w:t>
      </w:r>
    </w:p>
    <w:p>
      <w:pPr>
        <w:pStyle w:val="ListParagraph"/>
        <w:numPr>
          <w:ilvl w:val="0"/>
          <w:numId w:val="2"/>
        </w:numPr>
        <w:spacing w:after="20"/>
        <w:ind w:left="720"/>
      </w:pPr>
      <w:r>
        <w:t xml:space="preserve">Confirm that the visible widgets and filters match the information needed.</w:t>
      </w:r>
    </w:p>
    <w:p>
      <w:pPr>
        <w:pStyle w:val="ListParagraph"/>
        <w:numPr>
          <w:ilvl w:val="0"/>
          <w:numId w:val="2"/>
        </w:numPr>
        <w:spacing w:after="20"/>
        <w:ind w:left="720"/>
      </w:pPr>
      <w:r>
        <w:t xml:space="preserve">Select Export and complete the download offered by the report.</w:t>
      </w:r>
    </w:p>
    <w:p>
      <w:pPr>
        <w:pStyle w:val="ListParagraph"/>
        <w:numPr>
          <w:ilvl w:val="0"/>
          <w:numId w:val="2"/>
        </w:numPr>
        <w:spacing w:after="20"/>
        <w:ind w:left="720"/>
      </w:pPr>
      <w:r>
        <w:t xml:space="preserve">Review the exported file before sharing it because report results can contain client names, financial amounts, workload information, or other firm data.</w:t>
      </w:r>
    </w:p>
    <w:p>
      <w:pPr>
        <w:spacing w:after="60"/>
      </w:pPr>
    </w:p>
    <w:p>
      <w:pPr>
        <w:spacing w:after="30" w:before="120"/>
      </w:pPr>
      <w:r>
        <w:rPr>
          <w:b/>
          <w:bCs/>
        </w:rPr>
        <w:t xml:space="preserve">8. What is available in My Report?</w:t>
      </w:r>
    </w:p>
    <w:p>
      <w:pPr>
        <w:spacing w:after="60"/>
        <w:ind w:left="360"/>
      </w:pPr>
      <w:r>
        <w:t xml:space="preserve">My Report separates Starter dashboards, Shared with the firm, and My dashboards. Starter dashboards are curated and always available. Shared dashboards are published by an owner or administrator for everyone with report access. My dashboards contains the current user's saved dashboards built from Templates.</w:t>
      </w:r>
    </w:p>
    <w:p>
      <w:pPr>
        <w:spacing w:after="30" w:before="120"/>
      </w:pPr>
      <w:r>
        <w:rPr>
          <w:b/>
          <w:bCs/>
        </w:rPr>
        <w:t xml:space="preserve">9. Which starter dashboards are available?</w:t>
      </w:r>
    </w:p>
    <w:p>
      <w:pPr>
        <w:spacing w:after="60"/>
        <w:ind w:left="360"/>
      </w:pPr>
      <w:r>
        <w:t xml:space="preserve">The starter dashboards are Revenue Snapshot, Client Health, Billing &amp; Collections, Agreement Pipeline, Workflow &amp; Capacity, Task Dashboard, Time &amp; Utilization, and Firm Pulse. Each combines a focused set of widgets for that operating question.</w:t>
      </w:r>
    </w:p>
    <w:p>
      <w:pPr>
        <w:spacing w:after="30" w:before="120"/>
      </w:pPr>
      <w:r>
        <w:rPr>
          <w:b/>
          <w:bCs/>
        </w:rPr>
        <w:t xml:space="preserve">10. How do I build a custom dashboard?</w:t>
      </w:r>
    </w:p>
    <w:p>
      <w:pPr>
        <w:spacing w:after="20"/>
        <w:ind w:left="360"/>
      </w:pPr>
      <w:r>
        <w:t xml:space="preserve">Templates lets a user assemble a dashboard from individual report widgets. Save dashboard becomes available after at least one widget is selected.</w:t>
      </w:r>
    </w:p>
    <w:p>
      <w:pPr>
        <w:pStyle w:val="ListParagraph"/>
        <w:numPr>
          <w:ilvl w:val="0"/>
          <w:numId w:val="2"/>
        </w:numPr>
        <w:spacing w:after="20"/>
        <w:ind w:left="720"/>
      </w:pPr>
      <w:r>
        <w:t xml:space="preserve">Open Reports and choose Templates.</w:t>
      </w:r>
    </w:p>
    <w:p>
      <w:pPr>
        <w:pStyle w:val="ListParagraph"/>
        <w:numPr>
          <w:ilvl w:val="0"/>
          <w:numId w:val="2"/>
        </w:numPr>
        <w:spacing w:after="20"/>
        <w:ind w:left="720"/>
      </w:pPr>
      <w:r>
        <w:t xml:space="preserve">Search for a widget or filter the library by category.</w:t>
      </w:r>
    </w:p>
    <w:p>
      <w:pPr>
        <w:pStyle w:val="ListParagraph"/>
        <w:numPr>
          <w:ilvl w:val="0"/>
          <w:numId w:val="2"/>
        </w:numPr>
        <w:spacing w:after="20"/>
        <w:ind w:left="720"/>
      </w:pPr>
      <w:r>
        <w:t xml:space="preserve">Select the widgets needed for the dashboard.</w:t>
      </w:r>
    </w:p>
    <w:p>
      <w:pPr>
        <w:pStyle w:val="ListParagraph"/>
        <w:numPr>
          <w:ilvl w:val="0"/>
          <w:numId w:val="2"/>
        </w:numPr>
        <w:spacing w:after="20"/>
        <w:ind w:left="720"/>
      </w:pPr>
      <w:r>
        <w:t xml:space="preserve">Review the selected widgets, which appear in selection order.</w:t>
      </w:r>
    </w:p>
    <w:p>
      <w:pPr>
        <w:pStyle w:val="ListParagraph"/>
        <w:numPr>
          <w:ilvl w:val="0"/>
          <w:numId w:val="2"/>
        </w:numPr>
        <w:spacing w:after="20"/>
        <w:ind w:left="720"/>
      </w:pPr>
      <w:r>
        <w:t xml:space="preserve">Drag widgets into the preferred order and adjust their width or height where supported.</w:t>
      </w:r>
    </w:p>
    <w:p>
      <w:pPr>
        <w:pStyle w:val="ListParagraph"/>
        <w:numPr>
          <w:ilvl w:val="0"/>
          <w:numId w:val="2"/>
        </w:numPr>
        <w:spacing w:after="20"/>
        <w:ind w:left="720"/>
      </w:pPr>
      <w:r>
        <w:t xml:space="preserve">Select Save dashboard.</w:t>
      </w:r>
    </w:p>
    <w:p>
      <w:pPr>
        <w:pStyle w:val="ListParagraph"/>
        <w:numPr>
          <w:ilvl w:val="0"/>
          <w:numId w:val="2"/>
        </w:numPr>
        <w:spacing w:after="20"/>
        <w:ind w:left="720"/>
      </w:pPr>
      <w:r>
        <w:t xml:space="preserve">Enter a name and optional description, then decide whether to Share with the firm.</w:t>
      </w:r>
    </w:p>
    <w:p>
      <w:pPr>
        <w:pStyle w:val="ListParagraph"/>
        <w:numPr>
          <w:ilvl w:val="0"/>
          <w:numId w:val="2"/>
        </w:numPr>
        <w:spacing w:after="20"/>
        <w:ind w:left="720"/>
      </w:pPr>
      <w:r>
        <w:t xml:space="preserve">Save the dashboard; a shared dashboard is visible to everyone with report access.</w:t>
      </w:r>
    </w:p>
    <w:p>
      <w:pPr>
        <w:spacing w:after="60"/>
      </w:pPr>
    </w:p>
    <w:p>
      <w:pPr>
        <w:spacing w:after="30" w:before="120"/>
      </w:pPr>
      <w:r>
        <w:rPr>
          <w:b/>
          <w:bCs/>
        </w:rPr>
        <w:t xml:space="preserve">11. How can report widgets be arranged?</w:t>
      </w:r>
    </w:p>
    <w:p>
      <w:pPr>
        <w:spacing w:after="60"/>
        <w:ind w:left="360"/>
      </w:pPr>
      <w:r>
        <w:t xml:space="preserve">Selected widgets can be dragged into a new order. The layout controls offer one-third, one-half, two-thirds, and full width, along with height adjustment where supported. A widget can also be moved or removed before the dashboard is saved.</w:t>
      </w:r>
    </w:p>
    <w:p>
      <w:pPr>
        <w:spacing w:after="30" w:before="120"/>
      </w:pPr>
      <w:r>
        <w:rPr>
          <w:b/>
          <w:bCs/>
        </w:rPr>
        <w:t xml:space="preserve">12. How do I share or manage a custom dashboard?</w:t>
      </w:r>
    </w:p>
    <w:p>
      <w:pPr>
        <w:spacing w:after="60"/>
        <w:ind w:left="360"/>
      </w:pPr>
      <w:r>
        <w:t xml:space="preserve">When saving, enable Share with the firm to make the dashboard visible to everyone with report access; only owners and administrators can edit shared dashboards. Dashboard actions include Edit widgets, Rename, Duplicate to my dashboards, Make private, and Delete. Starter dashboards can be duplicated into My dashboards before customization.</w:t>
      </w:r>
    </w:p>
    <w:p>
      <w:pPr>
        <w:spacing w:after="30" w:before="120"/>
      </w:pPr>
      <w:r>
        <w:rPr>
          <w:b/>
          <w:bCs/>
        </w:rPr>
        <w:t xml:space="preserve">13. Which report-widget categories can I use?</w:t>
      </w:r>
    </w:p>
    <w:p>
      <w:pPr>
        <w:spacing w:after="60"/>
        <w:ind w:left="360"/>
      </w:pPr>
      <w:r>
        <w:t xml:space="preserve">Templates groups widgets into Revenue, Clients, Workflow, Tasks, Time, Billing, and Agreements. The library includes headline metrics, trend charts, mixes and ageing reports, assignee and client breakdowns, operational lists, and budget-versus-actual views appropriate to each category.</w:t>
      </w:r>
    </w:p>
    <w:p>
      <w:pPr>
        <w:spacing w:after="30" w:before="120"/>
      </w:pPr>
      <w:r>
        <w:rPr>
          <w:b/>
          <w:bCs/>
        </w:rPr>
        <w:t xml:space="preserve">14. What does the agreement funnel report show?</w:t>
      </w:r>
    </w:p>
    <w:p>
      <w:pPr>
        <w:spacing w:after="60"/>
        <w:ind w:left="360"/>
      </w:pPr>
      <w:r>
        <w:t xml:space="preserve">The agreement funnel tracks Sent, Viewed, and Signed activity and identifies packages that are in flight, declined, expired, or cancelled. It helps the firm see where signing packages are progressing or stopping.</w:t>
      </w:r>
    </w:p>
    <w:p>
      <w:pPr>
        <w:spacing w:after="30" w:before="120"/>
      </w:pPr>
      <w:r>
        <w:rPr>
          <w:b/>
          <w:bCs/>
        </w:rPr>
        <w:t xml:space="preserve">15. How does the dashboard help identify work needing attention?</w:t>
      </w:r>
    </w:p>
    <w:p>
      <w:pPr>
        <w:spacing w:after="60"/>
        <w:ind w:left="360"/>
      </w:pPr>
      <w:r>
        <w:t xml:space="preserve">Dashboard tiles highlight due-this-week and past-due engagements, engagement letters awaiting action, stalled work, team workload, overdue tasks, review queues, receivables, and key filing dates. Each major tile links to the underlying operational screen.</w:t>
      </w:r>
    </w:p>
    <w:p>
      <w:pPr>
        <w:pStyle w:val="Heading2"/>
        <w:spacing w:after="80" w:before="200"/>
      </w:pPr>
      <w:r>
        <w:t xml:space="preserve">AI  (15)</w:t>
      </w:r>
    </w:p>
    <w:p>
      <w:pPr>
        <w:spacing w:after="30" w:before="120"/>
      </w:pPr>
      <w:r>
        <w:rPr>
          <w:b/>
          <w:bCs/>
        </w:rPr>
        <w:t xml:space="preserve">1. What can the AI Agent help with?</w:t>
      </w:r>
    </w:p>
    <w:p>
      <w:pPr>
        <w:spacing w:after="60"/>
        <w:ind w:left="360"/>
      </w:pPr>
      <w:r>
        <w:t xml:space="preserve">The AssurePro AI Agent can answer questions about clients, documents, work, and billing. Verified examples include client counts, outstanding billing, open tasks, inbox summaries, stuck engagements, missing uploads, overdue-invoice follow-up drafts, and work due this week.</w:t>
      </w:r>
    </w:p>
    <w:p>
      <w:pPr>
        <w:spacing w:after="30" w:before="120"/>
      </w:pPr>
      <w:r>
        <w:rPr>
          <w:b/>
          <w:bCs/>
        </w:rPr>
        <w:t xml:space="preserve">2. How do I ask the AI Agent for help?</w:t>
      </w:r>
    </w:p>
    <w:p>
      <w:pPr>
        <w:spacing w:after="20"/>
        <w:ind w:left="360"/>
      </w:pPr>
      <w:r>
        <w:t xml:space="preserve">The Agent uses a conversational prompt and states that it asks before changing anything.</w:t>
      </w:r>
    </w:p>
    <w:p>
      <w:pPr>
        <w:pStyle w:val="ListParagraph"/>
        <w:numPr>
          <w:ilvl w:val="0"/>
          <w:numId w:val="2"/>
        </w:numPr>
        <w:spacing w:after="20"/>
        <w:ind w:left="720"/>
      </w:pPr>
      <w:r>
        <w:t xml:space="preserve">Open AI Agent.</w:t>
      </w:r>
    </w:p>
    <w:p>
      <w:pPr>
        <w:pStyle w:val="ListParagraph"/>
        <w:numPr>
          <w:ilvl w:val="0"/>
          <w:numId w:val="2"/>
        </w:numPr>
        <w:spacing w:after="20"/>
        <w:ind w:left="720"/>
      </w:pPr>
      <w:r>
        <w:t xml:space="preserve">Enter a specific question about clients, documents, work, billing, or communications, or choose a suggested prompt.</w:t>
      </w:r>
    </w:p>
    <w:p>
      <w:pPr>
        <w:pStyle w:val="ListParagraph"/>
        <w:numPr>
          <w:ilvl w:val="0"/>
          <w:numId w:val="2"/>
        </w:numPr>
        <w:spacing w:after="20"/>
        <w:ind w:left="720"/>
      </w:pPr>
      <w:r>
        <w:t xml:space="preserve">Review the answer and any linked source or proposed action.</w:t>
      </w:r>
    </w:p>
    <w:p>
      <w:pPr>
        <w:pStyle w:val="ListParagraph"/>
        <w:numPr>
          <w:ilvl w:val="0"/>
          <w:numId w:val="2"/>
        </w:numPr>
        <w:spacing w:after="20"/>
        <w:ind w:left="720"/>
      </w:pPr>
      <w:r>
        <w:t xml:space="preserve">If the Agent proposes a change, review the requested confirmation before allowing it.</w:t>
      </w:r>
    </w:p>
    <w:p>
      <w:pPr>
        <w:spacing w:after="60"/>
      </w:pPr>
    </w:p>
    <w:p>
      <w:pPr>
        <w:spacing w:after="30" w:before="120"/>
      </w:pPr>
      <w:r>
        <w:rPr>
          <w:b/>
          <w:bCs/>
        </w:rPr>
        <w:t xml:space="preserve">3. How are AI Agent conversations managed?</w:t>
      </w:r>
    </w:p>
    <w:p>
      <w:pPr>
        <w:spacing w:after="20"/>
        <w:ind w:left="360"/>
      </w:pPr>
      <w:r>
        <w:t xml:space="preserve">The Agent keeps separate conversations so a user can return to earlier work without mixing unrelated requests.</w:t>
      </w:r>
    </w:p>
    <w:p>
      <w:pPr>
        <w:pStyle w:val="ListParagraph"/>
        <w:numPr>
          <w:ilvl w:val="0"/>
          <w:numId w:val="2"/>
        </w:numPr>
        <w:spacing w:after="20"/>
        <w:ind w:left="720"/>
      </w:pPr>
      <w:r>
        <w:t xml:space="preserve">Open AI Agent and select New chat when beginning a different question or client context.</w:t>
      </w:r>
    </w:p>
    <w:p>
      <w:pPr>
        <w:pStyle w:val="ListParagraph"/>
        <w:numPr>
          <w:ilvl w:val="0"/>
          <w:numId w:val="2"/>
        </w:numPr>
        <w:spacing w:after="20"/>
        <w:ind w:left="720"/>
      </w:pPr>
      <w:r>
        <w:t xml:space="preserve">Enter the request and review the Agent's response, sources, links, and any proposed action.</w:t>
      </w:r>
    </w:p>
    <w:p>
      <w:pPr>
        <w:pStyle w:val="ListParagraph"/>
        <w:numPr>
          <w:ilvl w:val="0"/>
          <w:numId w:val="2"/>
        </w:numPr>
        <w:spacing w:after="20"/>
        <w:ind w:left="720"/>
      </w:pPr>
      <w:r>
        <w:t xml:space="preserve">Use the conversation history to reopen an earlier chat.</w:t>
      </w:r>
    </w:p>
    <w:p>
      <w:pPr>
        <w:pStyle w:val="ListParagraph"/>
        <w:numPr>
          <w:ilvl w:val="0"/>
          <w:numId w:val="2"/>
        </w:numPr>
        <w:spacing w:after="20"/>
        <w:ind w:left="720"/>
      </w:pPr>
      <w:r>
        <w:t xml:space="preserve">Rename a conversation so its purpose is recognizable later.</w:t>
      </w:r>
    </w:p>
    <w:p>
      <w:pPr>
        <w:pStyle w:val="ListParagraph"/>
        <w:numPr>
          <w:ilvl w:val="0"/>
          <w:numId w:val="2"/>
        </w:numPr>
        <w:spacing w:after="20"/>
        <w:ind w:left="720"/>
      </w:pPr>
      <w:r>
        <w:t xml:space="preserve">Delete a conversation from its controls when it is no longer needed, following the firm's information-retention expectations.</w:t>
      </w:r>
    </w:p>
    <w:p>
      <w:pPr>
        <w:spacing w:after="60"/>
      </w:pPr>
    </w:p>
    <w:p>
      <w:pPr>
        <w:spacing w:after="30" w:before="120"/>
      </w:pPr>
      <w:r>
        <w:rPr>
          <w:b/>
          <w:bCs/>
        </w:rPr>
        <w:t xml:space="preserve">4. What is AI Agent memory and how can I control it?</w:t>
      </w:r>
    </w:p>
    <w:p>
      <w:pPr>
        <w:spacing w:after="20"/>
        <w:ind w:left="360"/>
      </w:pPr>
      <w:r>
        <w:t xml:space="preserve">Memory is the context the Agent retains for future conversations. Each user can decide whether the Agent should keep that context and can inspect what has been saved.</w:t>
      </w:r>
    </w:p>
    <w:p>
      <w:pPr>
        <w:pStyle w:val="ListParagraph"/>
        <w:numPr>
          <w:ilvl w:val="0"/>
          <w:numId w:val="2"/>
        </w:numPr>
        <w:spacing w:after="20"/>
        <w:ind w:left="720"/>
      </w:pPr>
      <w:r>
        <w:t xml:space="preserve">Open AI Agent and go to Memory.</w:t>
      </w:r>
    </w:p>
    <w:p>
      <w:pPr>
        <w:pStyle w:val="ListParagraph"/>
        <w:numPr>
          <w:ilvl w:val="0"/>
          <w:numId w:val="2"/>
        </w:numPr>
        <w:spacing w:after="20"/>
        <w:ind w:left="720"/>
      </w:pPr>
      <w:r>
        <w:t xml:space="preserve">Turn memory on when the Agent should retain useful context for later conversations, or turn it off when nothing should be retained beyond the current session.</w:t>
      </w:r>
    </w:p>
    <w:p>
      <w:pPr>
        <w:pStyle w:val="ListParagraph"/>
        <w:numPr>
          <w:ilvl w:val="0"/>
          <w:numId w:val="2"/>
        </w:numPr>
        <w:spacing w:after="20"/>
        <w:ind w:left="720"/>
      </w:pPr>
      <w:r>
        <w:t xml:space="preserve">Refresh the list to review the latest saved items.</w:t>
      </w:r>
    </w:p>
    <w:p>
      <w:pPr>
        <w:pStyle w:val="ListParagraph"/>
        <w:numPr>
          <w:ilvl w:val="0"/>
          <w:numId w:val="2"/>
        </w:numPr>
        <w:spacing w:after="20"/>
        <w:ind w:left="720"/>
      </w:pPr>
      <w:r>
        <w:t xml:space="preserve">Use Forget this to remove one item that should no longer influence future conversations.</w:t>
      </w:r>
    </w:p>
    <w:p>
      <w:pPr>
        <w:pStyle w:val="ListParagraph"/>
        <w:numPr>
          <w:ilvl w:val="0"/>
          <w:numId w:val="2"/>
        </w:numPr>
        <w:spacing w:after="20"/>
        <w:ind w:left="720"/>
      </w:pPr>
      <w:r>
        <w:t xml:space="preserve">Use Clear all memory to remove every saved item for the user.</w:t>
      </w:r>
    </w:p>
    <w:p>
      <w:pPr>
        <w:spacing w:after="60"/>
      </w:pPr>
    </w:p>
    <w:p>
      <w:pPr>
        <w:spacing w:after="30" w:before="120"/>
      </w:pPr>
      <w:r>
        <w:rPr>
          <w:b/>
          <w:bCs/>
        </w:rPr>
        <w:t xml:space="preserve">5. What does Auto-approve low-risk actions do?</w:t>
      </w:r>
    </w:p>
    <w:p>
      <w:pPr>
        <w:spacing w:after="60"/>
        <w:ind w:left="360"/>
      </w:pPr>
      <w:r>
        <w:t xml:space="preserve">The setting allows the Agent to proceed with actions it classifies as low risk without asking for each approval. Keep it off when the user wants to review every proposed change; higher-impact actions remain subject to the Agent's confirmation behavior.</w:t>
      </w:r>
    </w:p>
    <w:p>
      <w:pPr>
        <w:spacing w:after="30" w:before="120"/>
      </w:pPr>
      <w:r>
        <w:rPr>
          <w:b/>
          <w:bCs/>
        </w:rPr>
        <w:t xml:space="preserve">6. What is the AI-generated daily briefing?</w:t>
      </w:r>
    </w:p>
    <w:p>
      <w:pPr>
        <w:spacing w:after="20"/>
        <w:ind w:left="360"/>
      </w:pPr>
      <w:r>
        <w:t xml:space="preserve">The Daily briefing turns recent firm activity into quantified insights and direct follow-up paths. For example, it can say that four invoices are overdue, identify payments received, count completed tasks or stage changes, summarize document uploads and client messages, or identify a newly added client. The exact numbers come from the firm's current data and selected time window—not from a fixed sample.</w:t>
      </w:r>
    </w:p>
    <w:p>
      <w:pPr>
        <w:pStyle w:val="ListParagraph"/>
        <w:numPr>
          <w:ilvl w:val="0"/>
          <w:numId w:val="2"/>
        </w:numPr>
        <w:spacing w:after="20"/>
        <w:ind w:left="720"/>
      </w:pPr>
      <w:r>
        <w:t xml:space="preserve">Open Overview and choose Today, This week, or This month to set the briefing window.</w:t>
      </w:r>
    </w:p>
    <w:p>
      <w:pPr>
        <w:pStyle w:val="ListParagraph"/>
        <w:numPr>
          <w:ilvl w:val="0"/>
          <w:numId w:val="2"/>
        </w:numPr>
        <w:spacing w:after="20"/>
        <w:ind w:left="720"/>
      </w:pPr>
      <w:r>
        <w:t xml:space="preserve">Read each insight for the count, affected work, and business meaning—for example overdue invoices that need collection activity or uploaded documents that unblock an engagement.</w:t>
      </w:r>
    </w:p>
    <w:p>
      <w:pPr>
        <w:pStyle w:val="ListParagraph"/>
        <w:numPr>
          <w:ilvl w:val="0"/>
          <w:numId w:val="2"/>
        </w:numPr>
        <w:spacing w:after="20"/>
        <w:ind w:left="720"/>
      </w:pPr>
      <w:r>
        <w:t xml:space="preserve">Select View sources to inspect the records behind the generated summary.</w:t>
      </w:r>
    </w:p>
    <w:p>
      <w:pPr>
        <w:pStyle w:val="ListParagraph"/>
        <w:numPr>
          <w:ilvl w:val="0"/>
          <w:numId w:val="2"/>
        </w:numPr>
        <w:spacing w:after="20"/>
        <w:ind w:left="720"/>
      </w:pPr>
      <w:r>
        <w:t xml:space="preserve">Use the Next actions links, such as Communication or Documents, to move into the relevant work area.</w:t>
      </w:r>
    </w:p>
    <w:p>
      <w:pPr>
        <w:pStyle w:val="ListParagraph"/>
        <w:numPr>
          <w:ilvl w:val="0"/>
          <w:numId w:val="2"/>
        </w:numPr>
        <w:spacing w:after="20"/>
        <w:ind w:left="720"/>
      </w:pPr>
      <w:r>
        <w:t xml:space="preserve">Use the connected Overview module tiles as additional action paths: Billing or its Report link opens billing work, Clients opens the client list, Engagements and Bottlenecks open Workflow, and Team load opens the team area.</w:t>
      </w:r>
    </w:p>
    <w:p>
      <w:pPr>
        <w:pStyle w:val="ListParagraph"/>
        <w:numPr>
          <w:ilvl w:val="0"/>
          <w:numId w:val="2"/>
        </w:numPr>
        <w:spacing w:after="20"/>
        <w:ind w:left="720"/>
      </w:pPr>
      <w:r>
        <w:t xml:space="preserve">Select Re-Generate when the underlying activity has changed and a fresh summary is needed.</w:t>
      </w:r>
    </w:p>
    <w:p>
      <w:pPr>
        <w:spacing w:after="60"/>
      </w:pPr>
    </w:p>
    <w:p>
      <w:pPr>
        <w:spacing w:after="30" w:before="120"/>
      </w:pPr>
      <w:r>
        <w:rPr>
          <w:b/>
          <w:bCs/>
        </w:rPr>
        <w:t xml:space="preserve">7. What use is tracked in AI Credits?</w:t>
      </w:r>
    </w:p>
    <w:p>
      <w:pPr>
        <w:spacing w:after="20"/>
        <w:ind w:left="360"/>
      </w:pPr>
      <w:r>
        <w:t xml:space="preserve">AI Credits power the smart features used across AssureOne, including the AI assistant, summaries, drafting, call transcripts, document reading and extraction, and product-specific AI assistance. Every charge is itemized so the firm can see what consumed credits rather than relying only on the remaining balance.</w:t>
      </w:r>
    </w:p>
    <w:p>
      <w:pPr>
        <w:pStyle w:val="ListParagraph"/>
        <w:numPr>
          <w:ilvl w:val="0"/>
          <w:numId w:val="2"/>
        </w:numPr>
        <w:spacing w:after="20"/>
        <w:ind w:left="720"/>
      </w:pPr>
      <w:r>
        <w:t xml:space="preserve">Open Settings and choose AI Credits.</w:t>
      </w:r>
    </w:p>
    <w:p>
      <w:pPr>
        <w:pStyle w:val="ListParagraph"/>
        <w:numPr>
          <w:ilvl w:val="0"/>
          <w:numId w:val="2"/>
        </w:numPr>
        <w:spacing w:after="20"/>
        <w:ind w:left="720"/>
      </w:pPr>
      <w:r>
        <w:t xml:space="preserve">Review Available credits and the amount used during the last 30 days.</w:t>
      </w:r>
    </w:p>
    <w:p>
      <w:pPr>
        <w:pStyle w:val="ListParagraph"/>
        <w:numPr>
          <w:ilvl w:val="0"/>
          <w:numId w:val="2"/>
        </w:numPr>
        <w:spacing w:after="20"/>
        <w:ind w:left="720"/>
      </w:pPr>
      <w:r>
        <w:t xml:space="preserve">Filter activity to All products, Pro, Tax, Audit, or Books.</w:t>
      </w:r>
    </w:p>
    <w:p>
      <w:pPr>
        <w:pStyle w:val="ListParagraph"/>
        <w:numPr>
          <w:ilvl w:val="0"/>
          <w:numId w:val="2"/>
        </w:numPr>
        <w:spacing w:after="20"/>
        <w:ind w:left="720"/>
      </w:pPr>
      <w:r>
        <w:t xml:space="preserve">Choose All team members or one person to review individual usage.</w:t>
      </w:r>
    </w:p>
    <w:p>
      <w:pPr>
        <w:pStyle w:val="ListParagraph"/>
        <w:numPr>
          <w:ilvl w:val="0"/>
          <w:numId w:val="2"/>
        </w:numPr>
        <w:spacing w:after="20"/>
        <w:ind w:left="720"/>
      </w:pPr>
      <w:r>
        <w:t xml:space="preserve">Read each row's activity, feature, attributed user, product, date, and credits consumed; use the About control when more context is needed.</w:t>
      </w:r>
    </w:p>
    <w:p>
      <w:pPr>
        <w:pStyle w:val="ListParagraph"/>
        <w:numPr>
          <w:ilvl w:val="0"/>
          <w:numId w:val="2"/>
        </w:numPr>
        <w:spacing w:after="20"/>
        <w:ind w:left="720"/>
      </w:pPr>
      <w:r>
        <w:t xml:space="preserve">Open Platform Subscription when the firm needs invoices or receipts for purchased credits.</w:t>
      </w:r>
    </w:p>
    <w:p>
      <w:pPr>
        <w:spacing w:after="60"/>
      </w:pPr>
    </w:p>
    <w:p>
      <w:pPr>
        <w:spacing w:after="30" w:before="120"/>
      </w:pPr>
      <w:r>
        <w:rPr>
          <w:b/>
          <w:bCs/>
        </w:rPr>
        <w:t xml:space="preserve">8. How much do AI Credits cost, and how are more credits purchased?</w:t>
      </w:r>
    </w:p>
    <w:p>
      <w:pPr>
        <w:spacing w:after="20"/>
        <w:ind w:left="360"/>
      </w:pPr>
      <w:r>
        <w:t xml:space="preserve">The purchase screen offers $25 for 2,500 credits, $50 for 5,000 credits, and $100 for 10,000 credits, plus a Custom amount option. Credits are billed at the underlying AI cost without a markup, and the firm chooses when to add them.</w:t>
      </w:r>
    </w:p>
    <w:p>
      <w:pPr>
        <w:pStyle w:val="ListParagraph"/>
        <w:numPr>
          <w:ilvl w:val="0"/>
          <w:numId w:val="2"/>
        </w:numPr>
        <w:spacing w:after="20"/>
        <w:ind w:left="720"/>
      </w:pPr>
      <w:r>
        <w:t xml:space="preserve">Open Settings and choose AI Credits.</w:t>
      </w:r>
    </w:p>
    <w:p>
      <w:pPr>
        <w:pStyle w:val="ListParagraph"/>
        <w:numPr>
          <w:ilvl w:val="0"/>
          <w:numId w:val="2"/>
        </w:numPr>
        <w:spacing w:after="20"/>
        <w:ind w:left="720"/>
      </w:pPr>
      <w:r>
        <w:t xml:space="preserve">Review the remaining balance and usage for the last 30 days.</w:t>
      </w:r>
    </w:p>
    <w:p>
      <w:pPr>
        <w:pStyle w:val="ListParagraph"/>
        <w:numPr>
          <w:ilvl w:val="0"/>
          <w:numId w:val="2"/>
        </w:numPr>
        <w:spacing w:after="20"/>
        <w:ind w:left="720"/>
      </w:pPr>
      <w:r>
        <w:t xml:space="preserve">Select Buy credits.</w:t>
      </w:r>
    </w:p>
    <w:p>
      <w:pPr>
        <w:pStyle w:val="ListParagraph"/>
        <w:numPr>
          <w:ilvl w:val="0"/>
          <w:numId w:val="2"/>
        </w:numPr>
        <w:spacing w:after="20"/>
        <w:ind w:left="720"/>
      </w:pPr>
      <w:r>
        <w:t xml:space="preserve">Choose the $25, $50, or $100 pack, or enter a custom top-up amount.</w:t>
      </w:r>
    </w:p>
    <w:p>
      <w:pPr>
        <w:pStyle w:val="ListParagraph"/>
        <w:numPr>
          <w:ilvl w:val="0"/>
          <w:numId w:val="2"/>
        </w:numPr>
        <w:spacing w:after="20"/>
        <w:ind w:left="720"/>
      </w:pPr>
      <w:r>
        <w:t xml:space="preserve">Review the number of credits that will be added and the payment method secured by Stripe.</w:t>
      </w:r>
    </w:p>
    <w:p>
      <w:pPr>
        <w:pStyle w:val="ListParagraph"/>
        <w:numPr>
          <w:ilvl w:val="0"/>
          <w:numId w:val="2"/>
        </w:numPr>
        <w:spacing w:after="20"/>
        <w:ind w:left="720"/>
      </w:pPr>
      <w:r>
        <w:t xml:space="preserve">Complete the purchase only after confirming the amount; the related invoice or receipt is available in Platform Subscription.</w:t>
      </w:r>
    </w:p>
    <w:p>
      <w:pPr>
        <w:spacing w:after="60"/>
      </w:pPr>
    </w:p>
    <w:p>
      <w:pPr>
        <w:spacing w:after="30" w:before="120"/>
      </w:pPr>
      <w:r>
        <w:rPr>
          <w:b/>
          <w:bCs/>
        </w:rPr>
        <w:t xml:space="preserve">9. Are AI Credits replenished automatically or included as a monthly allowance?</w:t>
      </w:r>
    </w:p>
    <w:p>
      <w:pPr>
        <w:spacing w:after="60"/>
        <w:ind w:left="360"/>
      </w:pPr>
      <w:r>
        <w:t xml:space="preserve">No. The firm controls when credits are purchased; AssurePro does not automatically charge the card or reset the balance as a monthly allowance. When the balance is running low, an administrator manually buys another pack or custom amount. As a planning benchmark, a firm with approximately five to ten users using AssurePro plus one additional AssureOne product typically consumes about $50 of AI Credits per month under normal usage, although actual consumption depends on the features and document volume used.</w:t>
      </w:r>
    </w:p>
    <w:p>
      <w:pPr>
        <w:spacing w:after="30" w:before="120"/>
      </w:pPr>
      <w:r>
        <w:rPr>
          <w:b/>
          <w:bCs/>
        </w:rPr>
        <w:t xml:space="preserve">10. What happens when the firm runs out of AI Credits?</w:t>
      </w:r>
    </w:p>
    <w:p>
      <w:pPr>
        <w:spacing w:after="60"/>
        <w:ind w:left="360"/>
      </w:pPr>
      <w:r>
        <w:t xml:space="preserve">The remaining firm balance is shown in the application header and in Settings &gt; AI Credits. When it reaches zero, activities that depend on AI Credits pause rather than creating an automatic card charge. An administrator can open AI Credits, select Buy credits, complete a pack or custom-amount purchase, and then resume the AI-dependent work.</w:t>
      </w:r>
    </w:p>
    <w:p>
      <w:pPr>
        <w:spacing w:after="30" w:before="120"/>
      </w:pPr>
      <w:r>
        <w:rPr>
          <w:b/>
          <w:bCs/>
        </w:rPr>
        <w:t xml:space="preserve">11. Can the firm set a spending cap or get an alert before AI Credits run out?</w:t>
      </w:r>
    </w:p>
    <w:p>
      <w:pPr>
        <w:spacing w:after="60"/>
        <w:ind w:left="360"/>
      </w:pPr>
      <w:r>
        <w:t xml:space="preserve">Not yet. A spending cap and low-balance alert are planned for release by the end of this year. Until those controls are available, administrators should monitor the header balance, the last-30-days usage total, and the per-user Credit activity filter, then purchase credits proactively when the balance approaches the firm's internal threshold.</w:t>
      </w:r>
    </w:p>
    <w:p>
      <w:pPr>
        <w:spacing w:after="30" w:before="120"/>
      </w:pPr>
      <w:r>
        <w:rPr>
          <w:b/>
          <w:bCs/>
        </w:rPr>
        <w:t xml:space="preserve">12. Are AI Credits shared across the firm, or does each user have a separate allowance?</w:t>
      </w:r>
    </w:p>
    <w:p>
      <w:pPr>
        <w:spacing w:after="60"/>
        <w:ind w:left="360"/>
      </w:pPr>
      <w:r>
        <w:t xml:space="preserve">AI Credits are pooled at the firm level rather than issued as a separate allowance for each seat. Administrators can still attribute consumption by selecting a team member in Settings &gt; AI Credits and reviewing the activity, feature, product, date, and credits charged. A per-user cap is planned alongside the spending-cap and low-balance controls.</w:t>
      </w:r>
    </w:p>
    <w:p>
      <w:pPr>
        <w:spacing w:after="30" w:before="120"/>
      </w:pPr>
      <w:r>
        <w:rPr>
          <w:b/>
          <w:bCs/>
        </w:rPr>
        <w:t xml:space="preserve">13. Can we control what data the AI Agent retains?</w:t>
      </w:r>
    </w:p>
    <w:p>
      <w:pPr>
        <w:spacing w:after="60"/>
        <w:ind w:left="360"/>
      </w:pPr>
      <w:r>
        <w:t xml:space="preserve">Yes. Each user controls retention through AI Agent Memory. Turn Memory on when the Agent should keep useful context for future conversations, or turn it off when nothing should be retained beyond the current session. The user can also inspect saved items, remove one item with Forget this, or erase all saved Agent context with Clear all memory.</w:t>
      </w:r>
    </w:p>
    <w:p>
      <w:pPr>
        <w:spacing w:after="30" w:before="120"/>
      </w:pPr>
      <w:r>
        <w:rPr>
          <w:b/>
          <w:bCs/>
        </w:rPr>
        <w:t xml:space="preserve">14. Can an AI Agent action be undone, and is there an audit trail of what it did?</w:t>
      </w:r>
    </w:p>
    <w:p>
      <w:pPr>
        <w:spacing w:after="60"/>
        <w:ind w:left="360"/>
      </w:pPr>
      <w:r>
        <w:t xml:space="preserve">An Agent action cannot be undone after it is completed, so the Agent asks for confirmation before higher-impact changes; Auto-approve low-risk actions is a separate user-controlled setting. Review the proposed change carefully before confirming it. A full Agent activity trail is available through Settings &gt; AI Credits, where administrators can inspect the activity, feature, attributed user, product, date, and credit usage.</w:t>
      </w:r>
    </w:p>
    <w:p>
      <w:pPr>
        <w:spacing w:after="30" w:before="120"/>
      </w:pPr>
      <w:r>
        <w:rPr>
          <w:b/>
          <w:bCs/>
        </w:rPr>
        <w:t xml:space="preserve">15. Do unused AI Credits expire or roll over?</w:t>
      </w:r>
    </w:p>
    <w:p>
      <w:pPr>
        <w:spacing w:after="60"/>
        <w:ind w:left="360"/>
      </w:pPr>
      <w:r>
        <w:t xml:space="preserve">AI Credits never expire and do not reset at the end of a month or subscription cycle. The unused balance remains available to the firm until it is consumed, so there is no rollover calculation and no need to spend credits before a renewal date.</w:t>
      </w:r>
    </w:p>
    <w:p>
      <w:pPr>
        <w:pStyle w:val="Heading2"/>
        <w:spacing w:after="80" w:before="200"/>
      </w:pPr>
      <w:r>
        <w:t xml:space="preserve">Integrations &amp; security  (12)</w:t>
      </w:r>
    </w:p>
    <w:p>
      <w:pPr>
        <w:spacing w:after="30" w:before="120"/>
      </w:pPr>
      <w:r>
        <w:rPr>
          <w:b/>
          <w:bCs/>
        </w:rPr>
        <w:t xml:space="preserve">1. Which third-party services can be connected?</w:t>
      </w:r>
    </w:p>
    <w:p>
      <w:pPr>
        <w:spacing w:after="20"/>
        <w:ind w:left="360"/>
      </w:pPr>
      <w:r>
        <w:t xml:space="preserve">Open Settings &gt; Integrations to connect the external services the firm uses for communication, scheduling, documents, payments, and accounting.</w:t>
      </w:r>
    </w:p>
    <w:p>
      <w:pPr>
        <w:pStyle w:val="ListParagraph"/>
        <w:numPr>
          <w:ilvl w:val="0"/>
          <w:numId w:val="2"/>
        </w:numPr>
        <w:spacing w:after="20"/>
        <w:ind w:left="720"/>
      </w:pPr>
      <w:r>
        <w:t xml:space="preserve">Email: connect Gmail or Outlook so authorized users can work with firm email inside the supported AssurePro communication flows.</w:t>
      </w:r>
    </w:p>
    <w:p>
      <w:pPr>
        <w:pStyle w:val="ListParagraph"/>
        <w:numPr>
          <w:ilvl w:val="0"/>
          <w:numId w:val="2"/>
        </w:numPr>
        <w:spacing w:after="20"/>
        <w:ind w:left="720"/>
      </w:pPr>
      <w:r>
        <w:t xml:space="preserve">Scheduling and calendars: connect Calendly, Google Calendar, or Outlook Calendar for the supported meeting and calendar workflows.</w:t>
      </w:r>
    </w:p>
    <w:p>
      <w:pPr>
        <w:pStyle w:val="ListParagraph"/>
        <w:numPr>
          <w:ilvl w:val="0"/>
          <w:numId w:val="2"/>
        </w:numPr>
        <w:spacing w:after="20"/>
        <w:ind w:left="720"/>
      </w:pPr>
      <w:r>
        <w:t xml:space="preserve">Document storage: connect Dropbox or OneDrive so staff can import client files and use the available connected-folder workflows.</w:t>
      </w:r>
    </w:p>
    <w:p>
      <w:pPr>
        <w:pStyle w:val="ListParagraph"/>
        <w:numPr>
          <w:ilvl w:val="0"/>
          <w:numId w:val="2"/>
        </w:numPr>
        <w:spacing w:after="20"/>
        <w:ind w:left="720"/>
      </w:pPr>
      <w:r>
        <w:t xml:space="preserve">Payments: connect the available payment processor before sending invoices that clients should be able to pay electronically.</w:t>
      </w:r>
    </w:p>
    <w:p>
      <w:pPr>
        <w:pStyle w:val="ListParagraph"/>
        <w:numPr>
          <w:ilvl w:val="0"/>
          <w:numId w:val="2"/>
        </w:numPr>
        <w:spacing w:after="20"/>
        <w:ind w:left="720"/>
      </w:pPr>
      <w:r>
        <w:t xml:space="preserve">Accounting: connect QuickBooks Online when paid-invoice information should flow into the firm's accounting process.</w:t>
      </w:r>
    </w:p>
    <w:p>
      <w:pPr>
        <w:pStyle w:val="ListParagraph"/>
        <w:numPr>
          <w:ilvl w:val="0"/>
          <w:numId w:val="2"/>
        </w:numPr>
        <w:spacing w:after="20"/>
        <w:ind w:left="720"/>
      </w:pPr>
      <w:r>
        <w:t xml:space="preserve">SMS: connect Twilio and configure the firm's phone-number setup before using text-message workflows.</w:t>
      </w:r>
    </w:p>
    <w:p>
      <w:pPr>
        <w:pStyle w:val="ListParagraph"/>
        <w:numPr>
          <w:ilvl w:val="0"/>
          <w:numId w:val="2"/>
        </w:numPr>
        <w:spacing w:after="20"/>
        <w:ind w:left="720"/>
      </w:pPr>
      <w:r>
        <w:t xml:space="preserve">Other available connection: ProdAff can be connected for its supported workflow.</w:t>
      </w:r>
    </w:p>
    <w:p>
      <w:pPr>
        <w:pStyle w:val="ListParagraph"/>
        <w:numPr>
          <w:ilvl w:val="0"/>
          <w:numId w:val="2"/>
        </w:numPr>
        <w:spacing w:after="20"/>
        <w:ind w:left="720"/>
      </w:pPr>
      <w:r>
        <w:t xml:space="preserve">After authorizing a provider, return to the dependent AssurePro area and test the complete workflow; a Connected label confirms authorization, while a successful email, calendar event, import, payment, sync, or SMS confirms that the connection is usable.</w:t>
      </w:r>
    </w:p>
    <w:p>
      <w:pPr>
        <w:spacing w:after="60"/>
      </w:pPr>
    </w:p>
    <w:p>
      <w:pPr>
        <w:spacing w:after="30" w:before="120"/>
      </w:pPr>
      <w:r>
        <w:rPr>
          <w:b/>
          <w:bCs/>
        </w:rPr>
        <w:t xml:space="preserve">2. How do I connect an integration?</w:t>
      </w:r>
    </w:p>
    <w:p>
      <w:pPr>
        <w:spacing w:after="20"/>
        <w:ind w:left="360"/>
      </w:pPr>
      <w:r>
        <w:t xml:space="preserve">Connections are managed by provider in Settings.</w:t>
      </w:r>
    </w:p>
    <w:p>
      <w:pPr>
        <w:pStyle w:val="ListParagraph"/>
        <w:numPr>
          <w:ilvl w:val="0"/>
          <w:numId w:val="2"/>
        </w:numPr>
        <w:spacing w:after="20"/>
        <w:ind w:left="720"/>
      </w:pPr>
      <w:r>
        <w:t xml:space="preserve">Open Settings and choose Integrations.</w:t>
      </w:r>
    </w:p>
    <w:p>
      <w:pPr>
        <w:pStyle w:val="ListParagraph"/>
        <w:numPr>
          <w:ilvl w:val="0"/>
          <w:numId w:val="2"/>
        </w:numPr>
        <w:spacing w:after="20"/>
        <w:ind w:left="720"/>
      </w:pPr>
      <w:r>
        <w:t xml:space="preserve">Find the email, calendar, storage, payment, accounting, messaging, or other provider needed by the firm.</w:t>
      </w:r>
    </w:p>
    <w:p>
      <w:pPr>
        <w:pStyle w:val="ListParagraph"/>
        <w:numPr>
          <w:ilvl w:val="0"/>
          <w:numId w:val="2"/>
        </w:numPr>
        <w:spacing w:after="20"/>
        <w:ind w:left="720"/>
      </w:pPr>
      <w:r>
        <w:t xml:space="preserve">Select Connect and complete the provider's authorization flow.</w:t>
      </w:r>
    </w:p>
    <w:p>
      <w:pPr>
        <w:pStyle w:val="ListParagraph"/>
        <w:numPr>
          <w:ilvl w:val="0"/>
          <w:numId w:val="2"/>
        </w:numPr>
        <w:spacing w:after="20"/>
        <w:ind w:left="720"/>
      </w:pPr>
      <w:r>
        <w:t xml:space="preserve">Return to AssurePro and confirm that the provider shows as connected.</w:t>
      </w:r>
    </w:p>
    <w:p>
      <w:pPr>
        <w:pStyle w:val="ListParagraph"/>
        <w:numPr>
          <w:ilvl w:val="0"/>
          <w:numId w:val="2"/>
        </w:numPr>
        <w:spacing w:after="20"/>
        <w:ind w:left="720"/>
      </w:pPr>
      <w:r>
        <w:t xml:space="preserve">Test the corresponding workflow before relying on it for client work.</w:t>
      </w:r>
    </w:p>
    <w:p>
      <w:pPr>
        <w:spacing w:after="60"/>
      </w:pPr>
    </w:p>
    <w:p>
      <w:pPr>
        <w:spacing w:after="30" w:before="120"/>
      </w:pPr>
      <w:r>
        <w:rPr>
          <w:b/>
          <w:bCs/>
        </w:rPr>
        <w:t xml:space="preserve">3. Which workflows require a connected service?</w:t>
      </w:r>
    </w:p>
    <w:p>
      <w:pPr>
        <w:spacing w:after="60"/>
        <w:ind w:left="360"/>
      </w:pPr>
      <w:r>
        <w:t xml:space="preserve">Cloud document import requires Dropbox or OneDrive; client SMS requires Twilio and a firm phone number; calendar matching uses Calendly, Google Calendar, or Outlook Calendar; email connections use Gmail or Outlook; client payment collection uses the payment processor; and paid-invoice accounting sync uses QuickBooks Online. The available behavior depends on the relevant connection being active.</w:t>
      </w:r>
    </w:p>
    <w:p>
      <w:pPr>
        <w:spacing w:after="30" w:before="120"/>
      </w:pPr>
      <w:r>
        <w:rPr>
          <w:b/>
          <w:bCs/>
        </w:rPr>
        <w:t xml:space="preserve">4. What is the Assure Tax Connector?</w:t>
      </w:r>
    </w:p>
    <w:p>
      <w:pPr>
        <w:spacing w:after="20"/>
        <w:ind w:left="360"/>
      </w:pPr>
      <w:r>
        <w:t xml:space="preserve">Tax Connector approves Windows computers that import supported tax-software data into Assure Tax. A pairing code expires after ten minutes, each approved computer receives its own revocable import-only credential, and the connected-computer list records status, last seen, credential expiry, platform, and app version.</w:t>
      </w:r>
    </w:p>
    <w:p>
      <w:pPr>
        <w:pStyle w:val="ListParagraph"/>
        <w:numPr>
          <w:ilvl w:val="0"/>
          <w:numId w:val="2"/>
        </w:numPr>
        <w:spacing w:after="20"/>
        <w:ind w:left="720"/>
      </w:pPr>
      <w:r>
        <w:t xml:space="preserve">Open Settings and choose Tax Connector.</w:t>
      </w:r>
    </w:p>
    <w:p>
      <w:pPr>
        <w:pStyle w:val="ListParagraph"/>
        <w:numPr>
          <w:ilvl w:val="0"/>
          <w:numId w:val="2"/>
        </w:numPr>
        <w:spacing w:after="20"/>
        <w:ind w:left="720"/>
      </w:pPr>
      <w:r>
        <w:t xml:space="preserve">Enter the pairing code displayed by the Assure Tax Connector within its ten-minute validity window.</w:t>
      </w:r>
    </w:p>
    <w:p>
      <w:pPr>
        <w:pStyle w:val="ListParagraph"/>
        <w:numPr>
          <w:ilvl w:val="0"/>
          <w:numId w:val="2"/>
        </w:numPr>
        <w:spacing w:after="20"/>
        <w:ind w:left="720"/>
      </w:pPr>
      <w:r>
        <w:t xml:space="preserve">Select Approve computer, or Deny when the request is not recognized.</w:t>
      </w:r>
    </w:p>
    <w:p>
      <w:pPr>
        <w:pStyle w:val="ListParagraph"/>
        <w:numPr>
          <w:ilvl w:val="0"/>
          <w:numId w:val="2"/>
        </w:numPr>
        <w:spacing w:after="20"/>
        <w:ind w:left="720"/>
      </w:pPr>
      <w:r>
        <w:t xml:space="preserve">Review the computer under Connected computers.</w:t>
      </w:r>
    </w:p>
    <w:p>
      <w:pPr>
        <w:pStyle w:val="ListParagraph"/>
        <w:numPr>
          <w:ilvl w:val="0"/>
          <w:numId w:val="2"/>
        </w:numPr>
        <w:spacing w:after="20"/>
        <w:ind w:left="720"/>
      </w:pPr>
      <w:r>
        <w:t xml:space="preserve">Use Revoke to remove an active computer; revocation takes effect on its next connector request.</w:t>
      </w:r>
    </w:p>
    <w:p>
      <w:pPr>
        <w:spacing w:after="60"/>
      </w:pPr>
    </w:p>
    <w:p>
      <w:pPr>
        <w:spacing w:after="30" w:before="120"/>
      </w:pPr>
      <w:r>
        <w:rPr>
          <w:b/>
          <w:bCs/>
        </w:rPr>
        <w:t xml:space="preserve">5. How are shared firm and client credentials handled?</w:t>
      </w:r>
    </w:p>
    <w:p>
      <w:pPr>
        <w:spacing w:after="20"/>
        <w:ind w:left="360"/>
      </w:pPr>
      <w:r>
        <w:t xml:space="preserve">Firm Credentials stores internal shared logins, while each client workspace has its own Credentials tab. The interface states that secrets are encrypted at rest with AES-256, only engagement owners can reveal them, and every reveal is logged.</w:t>
      </w:r>
    </w:p>
    <w:p>
      <w:pPr>
        <w:pStyle w:val="ListParagraph"/>
        <w:numPr>
          <w:ilvl w:val="0"/>
          <w:numId w:val="2"/>
        </w:numPr>
        <w:spacing w:after="20"/>
        <w:ind w:left="720"/>
      </w:pPr>
      <w:r>
        <w:t xml:space="preserve">Open Settings and choose Firm Credentials for a firm-wide internal tool, or open the client's Credentials tab for a client-specific login.</w:t>
      </w:r>
    </w:p>
    <w:p>
      <w:pPr>
        <w:pStyle w:val="ListParagraph"/>
        <w:numPr>
          <w:ilvl w:val="0"/>
          <w:numId w:val="2"/>
        </w:numPr>
        <w:spacing w:after="20"/>
        <w:ind w:left="720"/>
      </w:pPr>
      <w:r>
        <w:t xml:space="preserve">Select Add your first credential or the corresponding add action.</w:t>
      </w:r>
    </w:p>
    <w:p>
      <w:pPr>
        <w:pStyle w:val="ListParagraph"/>
        <w:numPr>
          <w:ilvl w:val="0"/>
          <w:numId w:val="2"/>
        </w:numPr>
        <w:spacing w:after="20"/>
        <w:ind w:left="720"/>
      </w:pPr>
      <w:r>
        <w:t xml:space="preserve">Enter the service and credential details in the form.</w:t>
      </w:r>
    </w:p>
    <w:p>
      <w:pPr>
        <w:pStyle w:val="ListParagraph"/>
        <w:numPr>
          <w:ilvl w:val="0"/>
          <w:numId w:val="2"/>
        </w:numPr>
        <w:spacing w:after="20"/>
        <w:ind w:left="720"/>
      </w:pPr>
      <w:r>
        <w:t xml:space="preserve">Limit reveal access through engagement ownership and team permissions.</w:t>
      </w:r>
    </w:p>
    <w:p>
      <w:pPr>
        <w:pStyle w:val="ListParagraph"/>
        <w:numPr>
          <w:ilvl w:val="0"/>
          <w:numId w:val="2"/>
        </w:numPr>
        <w:spacing w:after="20"/>
        <w:ind w:left="720"/>
      </w:pPr>
      <w:r>
        <w:t xml:space="preserve">Use the recorded reveal history when access needs to be audited.</w:t>
      </w:r>
    </w:p>
    <w:p>
      <w:pPr>
        <w:spacing w:after="60"/>
      </w:pPr>
    </w:p>
    <w:p>
      <w:pPr>
        <w:spacing w:after="30" w:before="120"/>
      </w:pPr>
      <w:r>
        <w:rPr>
          <w:b/>
          <w:bCs/>
        </w:rPr>
        <w:t xml:space="preserve">6. What can users manage in Security settings?</w:t>
      </w:r>
    </w:p>
    <w:p>
      <w:pPr>
        <w:spacing w:after="20"/>
        <w:ind w:left="360"/>
      </w:pPr>
      <w:r>
        <w:t xml:space="preserve">Security currently provides password change for the signed-in user. It requires the current password, a new password of at least eight characters, and confirmation; show-password controls are available for checking the entries.</w:t>
      </w:r>
    </w:p>
    <w:p>
      <w:pPr>
        <w:pStyle w:val="ListParagraph"/>
        <w:numPr>
          <w:ilvl w:val="0"/>
          <w:numId w:val="2"/>
        </w:numPr>
        <w:spacing w:after="20"/>
        <w:ind w:left="720"/>
      </w:pPr>
      <w:r>
        <w:t xml:space="preserve">Open Settings and choose Security.</w:t>
      </w:r>
    </w:p>
    <w:p>
      <w:pPr>
        <w:pStyle w:val="ListParagraph"/>
        <w:numPr>
          <w:ilvl w:val="0"/>
          <w:numId w:val="2"/>
        </w:numPr>
        <w:spacing w:after="20"/>
        <w:ind w:left="720"/>
      </w:pPr>
      <w:r>
        <w:t xml:space="preserve">Enter the Current Password.</w:t>
      </w:r>
    </w:p>
    <w:p>
      <w:pPr>
        <w:pStyle w:val="ListParagraph"/>
        <w:numPr>
          <w:ilvl w:val="0"/>
          <w:numId w:val="2"/>
        </w:numPr>
        <w:spacing w:after="20"/>
        <w:ind w:left="720"/>
      </w:pPr>
      <w:r>
        <w:t xml:space="preserve">Enter and confirm the new password.</w:t>
      </w:r>
    </w:p>
    <w:p>
      <w:pPr>
        <w:pStyle w:val="ListParagraph"/>
        <w:numPr>
          <w:ilvl w:val="0"/>
          <w:numId w:val="2"/>
        </w:numPr>
        <w:spacing w:after="20"/>
        <w:ind w:left="720"/>
      </w:pPr>
      <w:r>
        <w:t xml:space="preserve">Select Change Password.</w:t>
      </w:r>
    </w:p>
    <w:p>
      <w:pPr>
        <w:spacing w:after="60"/>
      </w:pPr>
    </w:p>
    <w:p>
      <w:pPr>
        <w:spacing w:after="30" w:before="120"/>
      </w:pPr>
      <w:r>
        <w:rPr>
          <w:b/>
          <w:bCs/>
        </w:rPr>
        <w:t xml:space="preserve">7. What account security control is available in AssurePro?</w:t>
      </w:r>
    </w:p>
    <w:p>
      <w:pPr>
        <w:spacing w:after="60"/>
        <w:ind w:left="360"/>
      </w:pPr>
      <w:r>
        <w:t xml:space="preserve">Security settings let a signed-in user change their password by supplying the current password, a new password, and confirmation. Team access and roles are managed separately in Team &amp; Roles.</w:t>
      </w:r>
    </w:p>
    <w:p>
      <w:pPr>
        <w:spacing w:after="30" w:before="120"/>
      </w:pPr>
      <w:r>
        <w:rPr>
          <w:b/>
          <w:bCs/>
        </w:rPr>
        <w:t xml:space="preserve">8. How are notifications and report alerts controlled?</w:t>
      </w:r>
    </w:p>
    <w:p>
      <w:pPr>
        <w:spacing w:after="60"/>
        <w:ind w:left="360"/>
      </w:pPr>
      <w:r>
        <w:t xml:space="preserve">Notifications &amp; Email lets a user independently choose email and in-app delivery for new document uploads, client messages, invoice payments, upcoming deadlines, and overdue invoices. Report alerts can notify users when a KPI crosses a threshold or send a scheduled digest of key firm metrics.</w:t>
      </w:r>
    </w:p>
    <w:p>
      <w:pPr>
        <w:spacing w:after="30" w:before="120"/>
      </w:pPr>
      <w:r>
        <w:rPr>
          <w:b/>
          <w:bCs/>
        </w:rPr>
        <w:t xml:space="preserve">9. Where is firm and client data hosted, and is it encrypted?</w:t>
      </w:r>
    </w:p>
    <w:p>
      <w:pPr>
        <w:spacing w:after="60"/>
        <w:ind w:left="360"/>
      </w:pPr>
      <w:r>
        <w:t xml:space="preserve">AssurePro runs on Amazon Web Services infrastructure. Firm and client data is encrypted both in transit and at rest. Firm Credentials and client Credentials state that stored secrets use AES-256 encryption, restrict reveal access through engagement ownership and permissions, and log each reveal. Firms completing a security review should request the current architecture, retention, backup, and data-location documentation from their AssureOne contact.</w:t>
      </w:r>
    </w:p>
    <w:p>
      <w:pPr>
        <w:spacing w:after="30" w:before="120"/>
      </w:pPr>
      <w:r>
        <w:rPr>
          <w:b/>
          <w:bCs/>
        </w:rPr>
        <w:t xml:space="preserve">10. Does AssurePro hold specific compliance certifications, such as SOC 2?</w:t>
      </w:r>
    </w:p>
    <w:p>
      <w:pPr>
        <w:spacing w:after="60"/>
        <w:ind w:left="360"/>
      </w:pPr>
      <w:r>
        <w:t xml:space="preserve">Formal compliance-certification details, including the current SOC 2 status, will be published soon. Because certification scope and report periods can change, firms should request the latest security and compliance package from their AssureOne account team rather than relying on an older FAQ copy when completing vendor due diligence.</w:t>
      </w:r>
    </w:p>
    <w:p>
      <w:pPr>
        <w:spacing w:after="30" w:before="120"/>
      </w:pPr>
      <w:r>
        <w:rPr>
          <w:b/>
          <w:bCs/>
        </w:rPr>
        <w:t xml:space="preserve">11. Is multi-factor authentication available for staff and client portal logins?</w:t>
      </w:r>
    </w:p>
    <w:p>
      <w:pPr>
        <w:spacing w:after="60"/>
        <w:ind w:left="360"/>
      </w:pPr>
      <w:r>
        <w:t xml:space="preserve">Yes. During account activation, both firm staff and client-portal users accept the invitation, set a password, and confirm their identity with a one-time code sent to the email address that received the invitation. Administrators should send invitations only to a verified address, and users should complete the code step from that mailbox before signing in.</w:t>
      </w:r>
    </w:p>
    <w:p>
      <w:pPr>
        <w:spacing w:after="30" w:before="120"/>
      </w:pPr>
      <w:r>
        <w:rPr>
          <w:b/>
          <w:bCs/>
        </w:rPr>
        <w:t xml:space="preserve">12. Can the firm export its data if it cancels its AssurePro subscription?</w:t>
      </w:r>
    </w:p>
    <w:p>
      <w:pPr>
        <w:spacing w:after="60"/>
        <w:ind w:left="360"/>
      </w:pPr>
      <w:r>
        <w:t xml:space="preserve">Yes. A firm can export its data before the AssurePro account is closed. Plan the export with the AssureOne account team early enough to identify the records, documents, reports, communications, billing history, and other material the firm must retain; confirm the available formats and date range; download the approved exports; and validate that the files can be opened and reconciled before the closure date.</w:t>
      </w:r>
    </w:p>
    <w:p>
      <w:r>
        <w:br w:type="page"/>
      </w:r>
    </w:p>
    <w:p>
      <w:pPr>
        <w:pStyle w:val="Heading1"/>
        <w:spacing w:after="100" w:before="200"/>
      </w:pPr>
      <w:r>
        <w:t xml:space="preserve">AssureBooks  (40 questions)</w:t>
      </w:r>
    </w:p>
    <w:p>
      <w:pPr>
        <w:pStyle w:val="Heading2"/>
        <w:spacing w:after="80" w:before="200"/>
      </w:pPr>
      <w:r>
        <w:t xml:space="preserve">QuickBooks &amp; integrations  (6)</w:t>
      </w:r>
    </w:p>
    <w:p>
      <w:pPr>
        <w:spacing w:after="30" w:before="120"/>
      </w:pPr>
      <w:r>
        <w:rPr>
          <w:b/>
          <w:bCs/>
        </w:rPr>
        <w:t xml:space="preserve">1. Does AssureBooks integrate with QuickBooks?</w:t>
      </w:r>
    </w:p>
    <w:p>
      <w:pPr>
        <w:spacing w:after="60"/>
        <w:ind w:left="360"/>
      </w:pPr>
      <w:r>
        <w:t xml:space="preserve">Yes. AssureBooks runs on top of QuickBooks Online with two-way synchronization. Transactions, the chart of accounts, and the customer, vendor, class, location, terms, and tax-rate lists are read from QuickBooks, and coded transactions, checks, payroll entries, and journal entries are posted back to it.</w:t>
      </w:r>
    </w:p>
    <w:p>
      <w:pPr>
        <w:spacing w:after="30" w:before="120"/>
      </w:pPr>
      <w:r>
        <w:rPr>
          <w:b/>
          <w:bCs/>
        </w:rPr>
        <w:t xml:space="preserve">2. Do I still need to open QuickBooks to do the bookkeeping?</w:t>
      </w:r>
    </w:p>
    <w:p>
      <w:pPr>
        <w:spacing w:after="60"/>
        <w:ind w:left="360"/>
      </w:pPr>
      <w:r>
        <w:t xml:space="preserve">No. Coding, review, reconciliation, and reporting all happen in AssureBooks, and posted work syncs back to QuickBooks. A few settings remain QuickBooks-owned — the book closing date is the clearest example, and AssureBooks reads it rather than setting it.</w:t>
      </w:r>
    </w:p>
    <w:p>
      <w:pPr>
        <w:spacing w:after="30" w:before="120"/>
      </w:pPr>
      <w:r>
        <w:rPr>
          <w:b/>
          <w:bCs/>
        </w:rPr>
        <w:t xml:space="preserve">3. Can a client's own bookkeeper work in AssureBooks, or is it firm-only?</w:t>
      </w:r>
    </w:p>
    <w:p>
      <w:pPr>
        <w:spacing w:after="60"/>
        <w:ind w:left="360"/>
      </w:pPr>
      <w:r>
        <w:t xml:space="preserve">A client's bookkeeper can code transactions directly in AssureBooks. Clients themselves get a narrower view built around a dashboard, reports, and connecting their own QuickBooks; the bookkeeping and review screens stay with the firm.</w:t>
      </w:r>
    </w:p>
    <w:p>
      <w:pPr>
        <w:spacing w:after="30" w:before="120"/>
      </w:pPr>
      <w:r>
        <w:rPr>
          <w:b/>
          <w:bCs/>
        </w:rPr>
        <w:t xml:space="preserve">4. Which accounting platforms besides QuickBooks are supported?</w:t>
      </w:r>
    </w:p>
    <w:p>
      <w:pPr>
        <w:spacing w:after="60"/>
        <w:ind w:left="360"/>
      </w:pPr>
      <w:r>
        <w:t xml:space="preserve">None yet. QuickBooks Online is the only accounting platform AssureBooks connects to today. Xero and Sage Intacct are the next two planned.</w:t>
      </w:r>
    </w:p>
    <w:p>
      <w:pPr>
        <w:spacing w:after="30" w:before="120"/>
      </w:pPr>
      <w:r>
        <w:rPr>
          <w:b/>
          <w:bCs/>
        </w:rPr>
        <w:t xml:space="preserve">5. Will AssureBooks eventually replace QuickBooks?</w:t>
      </w:r>
    </w:p>
    <w:p>
      <w:pPr>
        <w:spacing w:after="60"/>
        <w:ind w:left="360"/>
      </w:pPr>
      <w:r>
        <w:t xml:space="preserve">That is the stated direction, but not the current state. AssureBooks has no general ledger of its own, so a QuickBooks connection is required. A proprietary ledger — which would let a firm run a client who is not on QuickBooks — remains on the roadmap.</w:t>
      </w:r>
    </w:p>
    <w:p>
      <w:pPr>
        <w:spacing w:after="30" w:before="120"/>
      </w:pPr>
      <w:r>
        <w:rPr>
          <w:b/>
          <w:bCs/>
        </w:rPr>
        <w:t xml:space="preserve">6. Does AssureBooks connect through Zapier or a similar service?</w:t>
      </w:r>
    </w:p>
    <w:p>
      <w:pPr>
        <w:spacing w:after="60"/>
        <w:ind w:left="360"/>
      </w:pPr>
      <w:r>
        <w:t xml:space="preserve">No. Each integration is built against the platform's own API rather than routed through Zapier or comparable middleware.</w:t>
      </w:r>
    </w:p>
    <w:p>
      <w:pPr>
        <w:pStyle w:val="Heading2"/>
        <w:spacing w:after="80" w:before="200"/>
      </w:pPr>
      <w:r>
        <w:t xml:space="preserve">Transactions &amp; categorization  (8)</w:t>
      </w:r>
    </w:p>
    <w:p>
      <w:pPr>
        <w:spacing w:after="30" w:before="120"/>
      </w:pPr>
      <w:r>
        <w:rPr>
          <w:b/>
          <w:bCs/>
        </w:rPr>
        <w:t xml:space="preserve">1. How does bank activity get into AssureBooks?</w:t>
      </w:r>
    </w:p>
    <w:p>
      <w:pPr>
        <w:spacing w:after="60"/>
        <w:ind w:left="360"/>
      </w:pPr>
      <w:r>
        <w:t xml:space="preserve">Two ways, both live. Bank Accounts lists every QuickBooks bank and credit card account with its connection state, last sync, and a Connect action for linking it directly. Alternatively, Transaction Coding imports a statement: CSV and PDF are accepted up to 50MB per file. A CSV import needs the bank account chosen first, while PDF statements are parsed and mapped to accounts afterwards.</w:t>
      </w:r>
    </w:p>
    <w:p>
      <w:pPr>
        <w:spacing w:after="30" w:before="120"/>
      </w:pPr>
      <w:r>
        <w:rPr>
          <w:b/>
          <w:bCs/>
        </w:rPr>
        <w:t xml:space="preserve">2. Which banks can AssureBooks read a PDF statement from?</w:t>
      </w:r>
    </w:p>
    <w:p>
      <w:pPr>
        <w:spacing w:after="60"/>
        <w:ind w:left="360"/>
      </w:pPr>
      <w:r>
        <w:t xml:space="preserve">PDF statement parsing is supported for Chase, Bank of America, Wells Fargo, US Bank, PNC, Capital One, TD Bank, Truist, American Express, and Discover.</w:t>
      </w:r>
    </w:p>
    <w:p>
      <w:pPr>
        <w:spacing w:after="30" w:before="120"/>
      </w:pPr>
      <w:r>
        <w:rPr>
          <w:b/>
          <w:bCs/>
        </w:rPr>
        <w:t xml:space="preserve">3. How does AssureBooks categorize a transaction?</w:t>
      </w:r>
    </w:p>
    <w:p>
      <w:pPr>
        <w:spacing w:after="60"/>
        <w:ind w:left="360"/>
      </w:pPr>
      <w:r>
        <w:t xml:space="preserve">Transaction Coding splits work into For Review, Categorized, and Excluded. Each row arrives with a suggested category drawn from the client's own QuickBooks history where a comparable transaction exists, and from AI where none does. Every suggestion carries a confidence score, and the row also shows whether the transaction matches an existing record.</w:t>
      </w:r>
    </w:p>
    <w:p>
      <w:pPr>
        <w:spacing w:after="30" w:before="120"/>
      </w:pPr>
      <w:r>
        <w:rPr>
          <w:b/>
          <w:bCs/>
        </w:rPr>
        <w:t xml:space="preserve">4. What do the confidence scores mean?</w:t>
      </w:r>
    </w:p>
    <w:p>
      <w:pPr>
        <w:spacing w:after="60"/>
        <w:ind w:left="360"/>
      </w:pPr>
      <w:r>
        <w:t xml:space="preserve">Confidence is banded: High covers 80–100%, Medium covers 50–79%, and Low covers 0–49%. The band is a filter in its own right, so a reviewer can work all high-confidence rows in bulk and give the low-confidence ones individual attention.</w:t>
      </w:r>
    </w:p>
    <w:p>
      <w:pPr>
        <w:spacing w:after="30" w:before="120"/>
      </w:pPr>
      <w:r>
        <w:rPr>
          <w:b/>
          <w:bCs/>
        </w:rPr>
        <w:t xml:space="preserve">5. How do I narrow a long list of transactions?</w:t>
      </w:r>
    </w:p>
    <w:p>
      <w:pPr>
        <w:spacing w:after="60"/>
        <w:ind w:left="360"/>
      </w:pPr>
      <w:r>
        <w:t xml:space="preserve">Transaction Coding filters by date range — today, this week, this month, the last 30 days, or a custom span — and by customer, vendor, account, and confidence band. The visible set can be exported.</w:t>
      </w:r>
    </w:p>
    <w:p>
      <w:pPr>
        <w:spacing w:after="30" w:before="120"/>
      </w:pPr>
      <w:r>
        <w:rPr>
          <w:b/>
          <w:bCs/>
        </w:rPr>
        <w:t xml:space="preserve">6. Can I change the category or payee that AssureBooks suggested?</w:t>
      </w:r>
    </w:p>
    <w:p>
      <w:pPr>
        <w:spacing w:after="60"/>
        <w:ind w:left="360"/>
      </w:pPr>
      <w:r>
        <w:t xml:space="preserve">Yes, in place on the row. The category picker searches the client's QuickBooks chart of accounts, labels each account with its type, shows sub-accounts nested beneath their parent, and can create a new account without leaving the screen. The payee and customer picker behaves the same way.</w:t>
      </w:r>
    </w:p>
    <w:p>
      <w:pPr>
        <w:spacing w:after="30" w:before="120"/>
      </w:pPr>
      <w:r>
        <w:rPr>
          <w:b/>
          <w:bCs/>
        </w:rPr>
        <w:t xml:space="preserve">7. Can I work on several transactions at once?</w:t>
      </w:r>
    </w:p>
    <w:p>
      <w:pPr>
        <w:spacing w:after="60"/>
        <w:ind w:left="360"/>
      </w:pPr>
      <w:r>
        <w:t xml:space="preserve">Yes. Rows can be selected in bulk to change the name, account, product or service, and customer together, and a reviewed batch can be posted to QuickBooks in a single action.</w:t>
      </w:r>
    </w:p>
    <w:p>
      <w:pPr>
        <w:spacing w:after="30" w:before="120"/>
      </w:pPr>
      <w:r>
        <w:rPr>
          <w:b/>
          <w:bCs/>
        </w:rPr>
        <w:t xml:space="preserve">8. Can I set up rules so recurring transactions code themselves?</w:t>
      </w:r>
    </w:p>
    <w:p>
      <w:pPr>
        <w:spacing w:after="60"/>
        <w:ind w:left="360"/>
      </w:pPr>
      <w:r>
        <w:t xml:space="preserve">Yes. A rule matches on direction — money in or money out — and on one or all bank accounts, then on conditions such as a description containing particular text. It then sets the category and transaction type to apply. Rules are ordered by priority and the highest-priority match wins, and they only ever touch transactions that have not yet been reviewed. Turning on Auto-post lets a matching transaction categorize and push to the accounting software with no manual review at all.</w:t>
      </w:r>
    </w:p>
    <w:p>
      <w:pPr>
        <w:pStyle w:val="Heading2"/>
        <w:spacing w:after="80" w:before="200"/>
      </w:pPr>
      <w:r>
        <w:t xml:space="preserve">Checks &amp; payroll  (4)</w:t>
      </w:r>
    </w:p>
    <w:p>
      <w:pPr>
        <w:spacing w:after="30" w:before="120"/>
      </w:pPr>
      <w:r>
        <w:rPr>
          <w:b/>
          <w:bCs/>
        </w:rPr>
        <w:t xml:space="preserve">1. Can AssureBooks read check images?</w:t>
      </w:r>
    </w:p>
    <w:p>
      <w:pPr>
        <w:spacing w:after="60"/>
        <w:ind w:left="360"/>
      </w:pPr>
      <w:r>
        <w:t xml:space="preserve">Yes. Check accepts jpg, png, jpeg, pdf, and zip up to 50MB against a nominated bank account, so a batch of scanned checks can go up in one file. Extracted checks land in For Review with their date, check number, payee, and category for confirmation before they move to Categorized.</w:t>
      </w:r>
    </w:p>
    <w:p>
      <w:pPr>
        <w:spacing w:after="30" w:before="120"/>
      </w:pPr>
      <w:r>
        <w:rPr>
          <w:b/>
          <w:bCs/>
        </w:rPr>
        <w:t xml:space="preserve">2. How does payroll get recorded?</w:t>
      </w:r>
    </w:p>
    <w:p>
      <w:pPr>
        <w:spacing w:after="60"/>
        <w:ind w:left="360"/>
      </w:pPr>
      <w:r>
        <w:t xml:space="preserve">By uploading the payroll report. The first upload is mapped to the relevant accounts once; from then on each new report is turned into its journal entry automatically, leaving the entry to be reviewed and saved.</w:t>
      </w:r>
    </w:p>
    <w:p>
      <w:pPr>
        <w:spacing w:after="30" w:before="120"/>
      </w:pPr>
      <w:r>
        <w:rPr>
          <w:b/>
          <w:bCs/>
        </w:rPr>
        <w:t xml:space="preserve">3. Does AssureBooks run payroll or connect to a payroll provider?</w:t>
      </w:r>
    </w:p>
    <w:p>
      <w:pPr>
        <w:spacing w:after="60"/>
        <w:ind w:left="360"/>
      </w:pPr>
      <w:r>
        <w:t xml:space="preserve">Neither. AssureBooks does not calculate payroll and does not pull data from a payroll system. It works from the report the payroll provider produces, which is what makes it usable for clients who will not hand over access to their payroll login.</w:t>
      </w:r>
    </w:p>
    <w:p>
      <w:pPr>
        <w:spacing w:after="30" w:before="120"/>
      </w:pPr>
      <w:r>
        <w:rPr>
          <w:b/>
          <w:bCs/>
        </w:rPr>
        <w:t xml:space="preserve">4. What happens when a payroll period straddles the month end?</w:t>
      </w:r>
    </w:p>
    <w:p>
      <w:pPr>
        <w:spacing w:after="60"/>
        <w:ind w:left="360"/>
      </w:pPr>
      <w:r>
        <w:t xml:space="preserve">The accrual entry and its reversal can be generated for the portion that belongs to the earlier period, rather than being worked out by hand.</w:t>
      </w:r>
    </w:p>
    <w:p>
      <w:pPr>
        <w:pStyle w:val="Heading2"/>
        <w:spacing w:after="80" w:before="200"/>
      </w:pPr>
      <w:r>
        <w:t xml:space="preserve">Journal entries, AP &amp; AR  (6)</w:t>
      </w:r>
    </w:p>
    <w:p>
      <w:pPr>
        <w:spacing w:after="30" w:before="120"/>
      </w:pPr>
      <w:r>
        <w:rPr>
          <w:b/>
          <w:bCs/>
        </w:rPr>
        <w:t xml:space="preserve">1. Can I post journal entries directly?</w:t>
      </w:r>
    </w:p>
    <w:p>
      <w:pPr>
        <w:spacing w:after="60"/>
        <w:ind w:left="360"/>
      </w:pPr>
      <w:r>
        <w:t xml:space="preserve">Yes. Journal Entry lists every entry with its date, journal number, memo, and total, and supports viewing, editing, duplicating, and deleting. Entries created from an uploaded source document keep that document attached, and the attachment count shows on the row.</w:t>
      </w:r>
    </w:p>
    <w:p>
      <w:pPr>
        <w:spacing w:after="30" w:before="120"/>
      </w:pPr>
      <w:r>
        <w:rPr>
          <w:b/>
          <w:bCs/>
        </w:rPr>
        <w:t xml:space="preserve">2. Does AssureBooks handle prepaid and accrual amortization?</w:t>
      </w:r>
    </w:p>
    <w:p>
      <w:pPr>
        <w:spacing w:after="60"/>
        <w:ind w:left="360"/>
      </w:pPr>
      <w:r>
        <w:t xml:space="preserve">Yes, and the resulting entries are ordinary journal entries you can inspect. The Accrual Expenses Review and Prepaid Expense Review checks identify the transactions that need spreading, then generate the monthly entries across the periods they cover, working from a configurable dollar threshold and the date range on the transaction.</w:t>
      </w:r>
    </w:p>
    <w:p>
      <w:pPr>
        <w:spacing w:after="30" w:before="120"/>
      </w:pPr>
      <w:r>
        <w:rPr>
          <w:b/>
          <w:bCs/>
        </w:rPr>
        <w:t xml:space="preserve">3. How does accounts payable work?</w:t>
      </w:r>
    </w:p>
    <w:p>
      <w:pPr>
        <w:spacing w:after="60"/>
        <w:ind w:left="360"/>
      </w:pPr>
      <w:r>
        <w:t xml:space="preserve">Payables is organized as Inbox, Bills, Receipts, Vendors, Approvals, and Vendor Credits. The Inbox has its own email address, so a bill can be forwarded to it or uploaded directly, and documents waiting there are previewed alongside the list. Approvals separates work into Needs your approval, Upcoming, Approved by you, and Denied by you, and covers vendor credits as well as bills.</w:t>
      </w:r>
    </w:p>
    <w:p>
      <w:pPr>
        <w:spacing w:after="30" w:before="120"/>
      </w:pPr>
      <w:r>
        <w:rPr>
          <w:b/>
          <w:bCs/>
        </w:rPr>
        <w:t xml:space="preserve">4. What about accounts receivable?</w:t>
      </w:r>
    </w:p>
    <w:p>
      <w:pPr>
        <w:spacing w:after="60"/>
        <w:ind w:left="360"/>
      </w:pPr>
      <w:r>
        <w:t xml:space="preserve">Receivables covers All Invoices, Recurring Invoices, Credit Memos, and Customers, with each customer carrying an open balance.</w:t>
      </w:r>
    </w:p>
    <w:p>
      <w:pPr>
        <w:spacing w:after="30" w:before="120"/>
      </w:pPr>
      <w:r>
        <w:rPr>
          <w:b/>
          <w:bCs/>
        </w:rPr>
        <w:t xml:space="preserve">5. Where are vendors, customers, and the chart of accounts maintained?</w:t>
      </w:r>
    </w:p>
    <w:p>
      <w:pPr>
        <w:spacing w:after="60"/>
        <w:ind w:left="360"/>
      </w:pPr>
      <w:r>
        <w:t xml:space="preserve">All Lists holds the ten master lists shared with QuickBooks: Products &amp; Services, Payment Methods, Product Categories, Customers, Vendors, Chart of Accounts, Class, Location, Terms, and Tax Rates. Edits made here synchronize back.</w:t>
      </w:r>
    </w:p>
    <w:p>
      <w:pPr>
        <w:spacing w:after="30" w:before="120"/>
      </w:pPr>
      <w:r>
        <w:rPr>
          <w:b/>
          <w:bCs/>
        </w:rPr>
        <w:t xml:space="preserve">6. Can duplicate vendor or customer names be merged?</w:t>
      </w:r>
    </w:p>
    <w:p>
      <w:pPr>
        <w:spacing w:after="60"/>
        <w:ind w:left="360"/>
      </w:pPr>
      <w:r>
        <w:t xml:space="preserve">Yes. Possible Duplicate Names surfaces names that look like variations of each other so the affected transactions can be reclassified onto one record and the duplicate retired.</w:t>
      </w:r>
    </w:p>
    <w:p>
      <w:pPr>
        <w:pStyle w:val="Heading2"/>
        <w:spacing w:after="80" w:before="200"/>
      </w:pPr>
      <w:r>
        <w:t xml:space="preserve">Review &amp; close  (7)</w:t>
      </w:r>
    </w:p>
    <w:p>
      <w:pPr>
        <w:spacing w:after="30" w:before="120"/>
      </w:pPr>
      <w:r>
        <w:rPr>
          <w:b/>
          <w:bCs/>
        </w:rPr>
        <w:t xml:space="preserve">1. What does AssureBooks check at the transaction level?</w:t>
      </w:r>
    </w:p>
    <w:p>
      <w:pPr>
        <w:spacing w:after="60"/>
        <w:ind w:left="360"/>
      </w:pPr>
      <w:r>
        <w:t xml:space="preserve">Transactions Fix groups the exceptions into uncategorized entries, entries with no name attached, duplicate entries, entries posted to a parent GL account that belongs in a sub-account, and misclassification rules, which catch a vendor or customer recorded across more than one account. Each group carries its own count, and the exceptions can be corrected from the list and exported to Excel.</w:t>
      </w:r>
    </w:p>
    <w:p>
      <w:pPr>
        <w:spacing w:after="30" w:before="120"/>
      </w:pPr>
      <w:r>
        <w:rPr>
          <w:b/>
          <w:bCs/>
        </w:rPr>
        <w:t xml:space="preserve">2. What does AssureBooks check on the profit and loss?</w:t>
      </w:r>
    </w:p>
    <w:p>
      <w:pPr>
        <w:spacing w:after="60"/>
        <w:ind w:left="360"/>
      </w:pPr>
      <w:r>
        <w:t xml:space="preserve">Three checks: a GL consistency review for entries sitting in the wrong account, a new entities review that flags any customer or vendor first seen in the period, and account balance checks for accounts carrying a balance in the direction they should not — an expense account in credit, for instance. Results can be read by payee or by GL.</w:t>
      </w:r>
    </w:p>
    <w:p>
      <w:pPr>
        <w:spacing w:after="30" w:before="120"/>
      </w:pPr>
      <w:r>
        <w:rPr>
          <w:b/>
          <w:bCs/>
        </w:rPr>
        <w:t xml:space="preserve">3. What does AssureBooks check on the balance sheet?</w:t>
      </w:r>
    </w:p>
    <w:p>
      <w:pPr>
        <w:spacing w:after="60"/>
        <w:ind w:left="360"/>
      </w:pPr>
      <w:r>
        <w:t xml:space="preserve">Nine checks: unreconciled entries, undeposited funds, aged payables, aged receivables, account balance checks, fixed assets, equity — owner contributions and distributions — accrual expenses, and prepaid expenses. Each is scoped to a month and year or a custom range, and unreconciled entries link straight through to the account's bank register.</w:t>
      </w:r>
    </w:p>
    <w:p>
      <w:pPr>
        <w:spacing w:after="30" w:before="120"/>
      </w:pPr>
      <w:r>
        <w:rPr>
          <w:b/>
          <w:bCs/>
        </w:rPr>
        <w:t xml:space="preserve">4. Does AssureBooks correct anything on its own?</w:t>
      </w:r>
    </w:p>
    <w:p>
      <w:pPr>
        <w:spacing w:after="60"/>
        <w:ind w:left="360"/>
      </w:pPr>
      <w:r>
        <w:t xml:space="preserve">No, and that is deliberate. The checks identify and group what needs attention; a bookkeeper or reviewer decides and applies every correction. The one exception is a rule the firm has explicitly set to auto-post.</w:t>
      </w:r>
    </w:p>
    <w:p>
      <w:pPr>
        <w:spacing w:after="30" w:before="120"/>
      </w:pPr>
      <w:r>
        <w:rPr>
          <w:b/>
          <w:bCs/>
        </w:rPr>
        <w:t xml:space="preserve">5. How does bank reconciliation work?</w:t>
      </w:r>
    </w:p>
    <w:p>
      <w:pPr>
        <w:spacing w:after="60"/>
        <w:ind w:left="360"/>
      </w:pPr>
      <w:r>
        <w:t xml:space="preserve">Reconciliation runs one account at a time. Starting one takes the beginning balance, the statement ending date, and the statement ending balance; the account shows when it was last reconciled, and completed reconciliations are kept in Reconciliation History.</w:t>
      </w:r>
    </w:p>
    <w:p>
      <w:pPr>
        <w:spacing w:after="30" w:before="120"/>
      </w:pPr>
      <w:r>
        <w:rPr>
          <w:b/>
          <w:bCs/>
        </w:rPr>
        <w:t xml:space="preserve">6. Can a period be locked once the books are done?</w:t>
      </w:r>
    </w:p>
    <w:p>
      <w:pPr>
        <w:spacing w:after="60"/>
        <w:ind w:left="360"/>
      </w:pPr>
      <w:r>
        <w:t xml:space="preserve">Yes, though the closing date belongs to QuickBooks. AssureBooks fetches it and then enforces it: transactions dated on or before the closing date are locked, with inline editing, selection checkboxes, and the Edit and Delete actions hidden. Until a date is fetched the state reads Books are open.</w:t>
      </w:r>
    </w:p>
    <w:p>
      <w:pPr>
        <w:spacing w:after="30" w:before="120"/>
      </w:pPr>
      <w:r>
        <w:rPr>
          <w:b/>
          <w:bCs/>
        </w:rPr>
        <w:t xml:space="preserve">7. Is there an audit trail?</w:t>
      </w:r>
    </w:p>
    <w:p>
      <w:pPr>
        <w:spacing w:after="60"/>
        <w:ind w:left="360"/>
      </w:pPr>
      <w:r>
        <w:t xml:space="preserve">Yes, and it goes further than a list of events. The audit log records each change with its timestamp, the user responsible, and the event type — Transaction Updated or Transaction Excluded, for example. Opening an entry's history shows every version of that transaction side by side, with changed fields marked inline: the previous value struck through against the new one, across both header fields and the line detail.</w:t>
      </w:r>
    </w:p>
    <w:p>
      <w:pPr>
        <w:pStyle w:val="Heading2"/>
        <w:spacing w:after="80" w:before="200"/>
      </w:pPr>
      <w:r>
        <w:t xml:space="preserve">Reports &amp; client collaboration  (9)</w:t>
      </w:r>
    </w:p>
    <w:p>
      <w:pPr>
        <w:spacing w:after="30" w:before="120"/>
      </w:pPr>
      <w:r>
        <w:rPr>
          <w:b/>
          <w:bCs/>
        </w:rPr>
        <w:t xml:space="preserve">1. What financial statements can AssureBooks produce?</w:t>
      </w:r>
    </w:p>
    <w:p>
      <w:pPr>
        <w:spacing w:after="60"/>
        <w:ind w:left="360"/>
      </w:pPr>
      <w:r>
        <w:t xml:space="preserve">Balance Sheet, Profit &amp; Loss, and Cash Flow, each on a cash or accrual basis for a chosen period.</w:t>
      </w:r>
    </w:p>
    <w:p>
      <w:pPr>
        <w:spacing w:after="30" w:before="120"/>
      </w:pPr>
      <w:r>
        <w:rPr>
          <w:b/>
          <w:bCs/>
        </w:rPr>
        <w:t xml:space="preserve">2. What is in a management report?</w:t>
      </w:r>
    </w:p>
    <w:p>
      <w:pPr>
        <w:spacing w:after="60"/>
        <w:ind w:left="360"/>
      </w:pPr>
      <w:r>
        <w:t xml:space="preserve">A management report is assembled for a period and comes out as a client-ready document: a cover page carrying the report title, the company, the period, and its author, then an AI-written executive summary, then the balance sheet, profit and loss, and cash flow statements, each collapsible. The summary is written from the period's own figures and reads as findings rather than commentary — the operating result against revenue, the liquidity and bank position, what is driving cash, and any dependence on financing — with the supporting numbers quoted inline.</w:t>
      </w:r>
    </w:p>
    <w:p>
      <w:pPr>
        <w:spacing w:after="30" w:before="120"/>
      </w:pPr>
      <w:r>
        <w:rPr>
          <w:b/>
          <w:bCs/>
        </w:rPr>
        <w:t xml:space="preserve">3. Does a client see a management report as soon as I create one?</w:t>
      </w:r>
    </w:p>
    <w:p>
      <w:pPr>
        <w:spacing w:after="60"/>
        <w:ind w:left="360"/>
      </w:pPr>
      <w:r>
        <w:t xml:space="preserve">No. Reports are held as drafts and published as a separate, deliberate step, so a report can be built and read internally before anything reaches the client.</w:t>
      </w:r>
    </w:p>
    <w:p>
      <w:pPr>
        <w:spacing w:after="30" w:before="120"/>
      </w:pPr>
      <w:r>
        <w:rPr>
          <w:b/>
          <w:bCs/>
        </w:rPr>
        <w:t xml:space="preserve">4. Does AssureBooks do budgets?</w:t>
      </w:r>
    </w:p>
    <w:p>
      <w:pPr>
        <w:spacing w:after="60"/>
        <w:ind w:left="360"/>
      </w:pPr>
      <w:r>
        <w:t xml:space="preserve">Yes. A budget is built for a fiscal year as either a profit-and-loss or a balance-sheet budget, in consolidated form or subdivided by location, class, or customer. It can be pre-filled from a prior year, imported from QuickBooks or from a file, and archived when it is no longer current.</w:t>
      </w:r>
    </w:p>
    <w:p>
      <w:pPr>
        <w:spacing w:after="30" w:before="120"/>
      </w:pPr>
      <w:r>
        <w:rPr>
          <w:b/>
          <w:bCs/>
        </w:rPr>
        <w:t xml:space="preserve">5. Does AssureBooks do forecasting?</w:t>
      </w:r>
    </w:p>
    <w:p>
      <w:pPr>
        <w:spacing w:after="60"/>
        <w:ind w:left="360"/>
      </w:pPr>
      <w:r>
        <w:t xml:space="preserve">Yes. Forecasts sit alongside budgets and project the remaining months of a year from average actuals or an existing budget, with growth or decline assumptions set per account category.</w:t>
      </w:r>
    </w:p>
    <w:p>
      <w:pPr>
        <w:spacing w:after="30" w:before="120"/>
      </w:pPr>
      <w:r>
        <w:rPr>
          <w:b/>
          <w:bCs/>
        </w:rPr>
        <w:t xml:space="preserve">6. How do I ask a client about something in their books?</w:t>
      </w:r>
    </w:p>
    <w:p>
      <w:pPr>
        <w:spacing w:after="60"/>
        <w:ind w:left="360"/>
      </w:pPr>
      <w:r>
        <w:t xml:space="preserve">Questions are raised against the specific transaction in doubt and appear in the client's portal for them to answer or attach a document to. The Questions screen tracks everything as Open, Responded, or Resolved, and separates transactional questions tied to a record from general questions that stand alone. The log filters and exports to Excel.</w:t>
      </w:r>
    </w:p>
    <w:p>
      <w:pPr>
        <w:spacing w:after="30" w:before="120"/>
      </w:pPr>
      <w:r>
        <w:rPr>
          <w:b/>
          <w:bCs/>
        </w:rPr>
        <w:t xml:space="preserve">7. What does the AssureBooks dashboard show?</w:t>
      </w:r>
    </w:p>
    <w:p>
      <w:pPr>
        <w:spacing w:after="60"/>
        <w:ind w:left="360"/>
      </w:pPr>
      <w:r>
        <w:t xml:space="preserve">Net profit or loss, total income, total expenses, the count pending review, and average daily spend for the selected month, on a cash or accrual basis. Below that sit a profit-and-loss comparison over up to twelve months, spending by category, categorization progress — analyzed, high confidence, approved, and needs review, each against the period's transaction count — the largest transactions, top vendors by spend, top customers by receipts, and the bank accounts with anything waiting. The cards can be rearranged or reset.</w:t>
      </w:r>
    </w:p>
    <w:p>
      <w:pPr>
        <w:spacing w:after="30" w:before="120"/>
      </w:pPr>
      <w:r>
        <w:rPr>
          <w:b/>
          <w:bCs/>
        </w:rPr>
        <w:t xml:space="preserve">8. Will there be more advanced FP&amp;A reporting?</w:t>
      </w:r>
    </w:p>
    <w:p>
      <w:pPr>
        <w:spacing w:after="60"/>
        <w:ind w:left="360"/>
      </w:pPr>
      <w:r>
        <w:t xml:space="preserve">Not yet. Richer visual and customizable reporting of the kind firms use Fathom or Syft for is on the roadmap, along with saved per-client report templates and scheduled delivery.</w:t>
      </w:r>
    </w:p>
    <w:p>
      <w:pPr>
        <w:spacing w:after="30" w:before="120"/>
      </w:pPr>
      <w:r>
        <w:rPr>
          <w:b/>
          <w:bCs/>
        </w:rPr>
        <w:t xml:space="preserve">9. Is there a mobile app or a client-facing chatbot?</w:t>
      </w:r>
    </w:p>
    <w:p>
      <w:pPr>
        <w:spacing w:after="60"/>
        <w:ind w:left="360"/>
      </w:pPr>
      <w:r>
        <w:t xml:space="preserve">Neither is available yet. A client mobile app for capturing receipts and documents, and an assistant clients could question about their own books, are both described as planned.</w:t>
      </w:r>
    </w:p>
    <w:p>
      <w:r>
        <w:br w:type="page"/>
      </w:r>
    </w:p>
    <w:p>
      <w:pPr>
        <w:pStyle w:val="Heading1"/>
        <w:spacing w:after="100" w:before="200"/>
      </w:pPr>
      <w:r>
        <w:t xml:space="preserve">AssureTax  (23 questions)</w:t>
      </w:r>
    </w:p>
    <w:p>
      <w:pPr>
        <w:pStyle w:val="Heading2"/>
        <w:spacing w:after="80" w:before="200"/>
      </w:pPr>
      <w:r>
        <w:t xml:space="preserve">Organizers &amp; client intake  (8)</w:t>
      </w:r>
    </w:p>
    <w:p>
      <w:pPr>
        <w:spacing w:after="30" w:before="120"/>
      </w:pPr>
      <w:r>
        <w:rPr>
          <w:b/>
          <w:bCs/>
        </w:rPr>
        <w:t xml:space="preserve">1. How much of AssureTax is available today?</w:t>
      </w:r>
    </w:p>
    <w:p>
      <w:pPr>
        <w:spacing w:after="60"/>
        <w:ind w:left="360"/>
      </w:pPr>
      <w:r>
        <w:t xml:space="preserve">Intake, preparation, and the tax-software connection are live: organizers go out and come back, documents are read and verified in a binder, and returns move in and out of the firm's tax software. Review, research, advisory, and delivery are marked coming soon in the product itself and are described there as in development.</w:t>
      </w:r>
    </w:p>
    <w:p>
      <w:pPr>
        <w:spacing w:after="30" w:before="120"/>
      </w:pPr>
      <w:r>
        <w:rPr>
          <w:b/>
          <w:bCs/>
        </w:rPr>
        <w:t xml:space="preserve">2. How does a firm request documents from a client?</w:t>
      </w:r>
    </w:p>
    <w:p>
      <w:pPr>
        <w:spacing w:after="60"/>
        <w:ind w:left="360"/>
      </w:pPr>
      <w:r>
        <w:t xml:space="preserve">Through an organizer. Creating one takes the client — existing or a new prospect — an optional engagement to link it to, the tax year, the return type, an optional assignee, and an optional due date. It starts in draft and nothing reaches the client until it is sent, at which point they receive a link.</w:t>
      </w:r>
    </w:p>
    <w:p>
      <w:pPr>
        <w:spacing w:after="30" w:before="120"/>
      </w:pPr>
      <w:r>
        <w:rPr>
          <w:b/>
          <w:bCs/>
        </w:rPr>
        <w:t xml:space="preserve">3. What is actually in an organizer?</w:t>
      </w:r>
    </w:p>
    <w:p>
      <w:pPr>
        <w:spacing w:after="60"/>
        <w:ind w:left="360"/>
      </w:pPr>
      <w:r>
        <w:t xml:space="preserve">Four working parts: a questionnaire, a document checklist, additional questions, and notes, alongside the documents themselves. For a 1040 the questionnaire runs to 248 fields grouped into sections such as General Information; answered fields show by default and the unanswered ones can be revealed on demand. The checklist is grouped by Income, Deductions, and Taxes and names the specific form behind each line — W-2, 1099-INT, 1099-DIV, 1099-R, 1099-C, 1098, 1095-A, assets sold — and tracks how many items are still needed against how many have been received.</w:t>
      </w:r>
    </w:p>
    <w:p>
      <w:pPr>
        <w:spacing w:after="30" w:before="120"/>
      </w:pPr>
      <w:r>
        <w:rPr>
          <w:b/>
          <w:bCs/>
        </w:rPr>
        <w:t xml:space="preserve">4. How is the checklist put together?</w:t>
      </w:r>
    </w:p>
    <w:p>
      <w:pPr>
        <w:spacing w:after="60"/>
        <w:ind w:left="360"/>
      </w:pPr>
      <w:r>
        <w:t xml:space="preserve">Three ways: from the firm's own default checklist, which is editable in settings; by uploading the client's prior-year return and letting AI read it to build the list; or by pulling prior-year data already held in the connected tax software.</w:t>
      </w:r>
    </w:p>
    <w:p>
      <w:pPr>
        <w:spacing w:after="30" w:before="120"/>
      </w:pPr>
      <w:r>
        <w:rPr>
          <w:b/>
          <w:bCs/>
        </w:rPr>
        <w:t xml:space="preserve">5. Can an organizer ask follow-up questions based on what the client answers?</w:t>
      </w:r>
    </w:p>
    <w:p>
      <w:pPr>
        <w:spacing w:after="60"/>
        <w:ind w:left="360"/>
      </w:pPr>
      <w:r>
        <w:t xml:space="preserve">Yes. Questions branch — answering yes to a question about equity compensation opens the upload section for the supporting documents, and adding a dependent generates a request for that dependent's paperwork. Firms can also choose which questions to include before an organizer goes out, and send the same organizer to several clients at once.</w:t>
      </w:r>
    </w:p>
    <w:p>
      <w:pPr>
        <w:spacing w:after="30" w:before="120"/>
      </w:pPr>
      <w:r>
        <w:rPr>
          <w:b/>
          <w:bCs/>
        </w:rPr>
        <w:t xml:space="preserve">6. What can a client do inside an organizer?</w:t>
      </w:r>
    </w:p>
    <w:p>
      <w:pPr>
        <w:spacing w:after="60"/>
        <w:ind w:left="360"/>
      </w:pPr>
      <w:r>
        <w:t xml:space="preserve">Upload PDF, JPG, PNG, and XLS files, in bulk and with no cap on the number of files, subject to 50MB each. They can leave a note against any document category, and before submitting they see what is still outstanding and can mark any of it not applicable.</w:t>
      </w:r>
    </w:p>
    <w:p>
      <w:pPr>
        <w:spacing w:after="30" w:before="120"/>
      </w:pPr>
      <w:r>
        <w:rPr>
          <w:b/>
          <w:bCs/>
        </w:rPr>
        <w:t xml:space="preserve">7. How do I see where every organizer stands?</w:t>
      </w:r>
    </w:p>
    <w:p>
      <w:pPr>
        <w:spacing w:after="60"/>
        <w:ind w:left="360"/>
      </w:pPr>
      <w:r>
        <w:t xml:space="preserve">Collect separates them into All, Overdue, Unassigned, Draft, Not opened, and Archived. Each row carries the client with tax year and return type, the linked engagement, status, documents received against documents requested, assignee, due date, and last activity. An individual organizer records when it was sent, when the client first opened it, and how recently they were active, and offers its full history, a shareable link, and the option to start the binder.</w:t>
      </w:r>
    </w:p>
    <w:p>
      <w:pPr>
        <w:spacing w:after="30" w:before="120"/>
      </w:pPr>
      <w:r>
        <w:rPr>
          <w:b/>
          <w:bCs/>
        </w:rPr>
        <w:t xml:space="preserve">8. Can a preparer ask for more documents after the client has submitted?</w:t>
      </w:r>
    </w:p>
    <w:p>
      <w:pPr>
        <w:spacing w:after="60"/>
        <w:ind w:left="360"/>
      </w:pPr>
      <w:r>
        <w:t xml:space="preserve">Yes. An additional request is added to the organizer and reaches the client as a message in their portal.</w:t>
      </w:r>
    </w:p>
    <w:p>
      <w:pPr>
        <w:pStyle w:val="Heading2"/>
        <w:spacing w:after="80" w:before="200"/>
      </w:pPr>
      <w:r>
        <w:t xml:space="preserve">Document AI &amp; extraction  (5)</w:t>
      </w:r>
    </w:p>
    <w:p>
      <w:pPr>
        <w:spacing w:after="30" w:before="120"/>
      </w:pPr>
      <w:r>
        <w:rPr>
          <w:b/>
          <w:bCs/>
        </w:rPr>
        <w:t xml:space="preserve">1. Does AssureTax read the documents a client uploads?</w:t>
      </w:r>
    </w:p>
    <w:p>
      <w:pPr>
        <w:spacing w:after="60"/>
        <w:ind w:left="360"/>
      </w:pPr>
      <w:r>
        <w:t xml:space="preserve">Yes. Uploads are identified and filed by type — W-2s, the 1099 series, 1098s, 1095s, mortgage and property tax statements, Schedule E rental and partnership income, and more — into a binder organized as Basic Info, Income, Deductions, Credits, Adjustments to Income, Taxes, Payments &amp; Extensions, Other, Permanent &amp; Prior Year, and Uncategorized. Where the type cannot be determined, the client is asked to classify it.</w:t>
      </w:r>
    </w:p>
    <w:p>
      <w:pPr>
        <w:spacing w:after="30" w:before="120"/>
      </w:pPr>
      <w:r>
        <w:rPr>
          <w:b/>
          <w:bCs/>
        </w:rPr>
        <w:t xml:space="preserve">2. How is extracted data checked before it is used?</w:t>
      </w:r>
    </w:p>
    <w:p>
      <w:pPr>
        <w:spacing w:after="60"/>
        <w:ind w:left="360"/>
      </w:pPr>
      <w:r>
        <w:t xml:space="preserve">Through the binder's leadsheet, which lays out the extracted values box by box with a tab for each form type and a column per document. Selecting any cell shows the source it came from, so a figure can be read against the page it was taken from. Values that are confidently read resolve on their own; the rest are held for verification, and an organizer shows how many fields are still waiting.</w:t>
      </w:r>
    </w:p>
    <w:p>
      <w:pPr>
        <w:spacing w:after="30" w:before="120"/>
      </w:pPr>
      <w:r>
        <w:rPr>
          <w:b/>
          <w:bCs/>
        </w:rPr>
        <w:t xml:space="preserve">3. What happens to a value the AI is not confident about?</w:t>
      </w:r>
    </w:p>
    <w:p>
      <w:pPr>
        <w:spacing w:after="60"/>
        <w:ind w:left="360"/>
      </w:pPr>
      <w:r>
        <w:t xml:space="preserve">It goes to Document Triage, a firm-wide queue that sits outside any single client's binder. Each row names the field and the value read, the client and return, the confidence, who it is assigned to, and the document and page it came from, with a link through to review the evidence. The queue is the counterpart to the not-yet-released Review stage, which compares a finished return rather than confirming a single extracted figure.</w:t>
      </w:r>
    </w:p>
    <w:p>
      <w:pPr>
        <w:spacing w:after="30" w:before="120"/>
      </w:pPr>
      <w:r>
        <w:rPr>
          <w:b/>
          <w:bCs/>
        </w:rPr>
        <w:t xml:space="preserve">4. Can a preparer refile a document the client put in the wrong place?</w:t>
      </w:r>
    </w:p>
    <w:p>
      <w:pPr>
        <w:spacing w:after="60"/>
        <w:ind w:left="360"/>
      </w:pPr>
      <w:r>
        <w:t xml:space="preserve">Within a section, yes — the document type can be changed, the document renamed, or it can be moved. Moving a document to an entirely different category is still being built.</w:t>
      </w:r>
    </w:p>
    <w:p>
      <w:pPr>
        <w:spacing w:after="30" w:before="120"/>
      </w:pPr>
      <w:r>
        <w:rPr>
          <w:b/>
          <w:bCs/>
        </w:rPr>
        <w:t xml:space="preserve">5. Can extracted data be taken out of AssureTax?</w:t>
      </w:r>
    </w:p>
    <w:p>
      <w:pPr>
        <w:spacing w:after="60"/>
        <w:ind w:left="360"/>
      </w:pPr>
      <w:r>
        <w:t xml:space="preserve">Yes, the leadsheet exports to XLSX.</w:t>
      </w:r>
    </w:p>
    <w:p>
      <w:pPr>
        <w:pStyle w:val="Heading2"/>
        <w:spacing w:after="80" w:before="200"/>
      </w:pPr>
      <w:r>
        <w:t xml:space="preserve">Tax software &amp; return types  (5)</w:t>
      </w:r>
    </w:p>
    <w:p>
      <w:pPr>
        <w:spacing w:after="30" w:before="120"/>
      </w:pPr>
      <w:r>
        <w:rPr>
          <w:b/>
          <w:bCs/>
        </w:rPr>
        <w:t xml:space="preserve">1. Which tax software does AssureTax connect to?</w:t>
      </w:r>
    </w:p>
    <w:p>
      <w:pPr>
        <w:spacing w:after="60"/>
        <w:ind w:left="360"/>
      </w:pPr>
      <w:r>
        <w:t xml:space="preserve">CCH Axcess is connected for both import and export. UltraTax CS is connected for import only. ATX, TaxAct, ProConnect, ProSeries, Lacerte, and Drake all appear in the product as coming soon. The chosen product determines how imports are read, and it can be switched.</w:t>
      </w:r>
    </w:p>
    <w:p>
      <w:pPr>
        <w:spacing w:after="30" w:before="120"/>
      </w:pPr>
      <w:r>
        <w:rPr>
          <w:b/>
          <w:bCs/>
        </w:rPr>
        <w:t xml:space="preserve">2. Do I have to export and import files by hand?</w:t>
      </w:r>
    </w:p>
    <w:p>
      <w:pPr>
        <w:spacing w:after="60"/>
        <w:ind w:left="360"/>
      </w:pPr>
      <w:r>
        <w:t xml:space="preserve">Not necessarily. Files exported from the tax software — a CCH Axcess DAT file, for example — can be dropped straight in, up to ten files of 10MB each. The Assure Connector avoids that step: installed on the machine running the tax software, it pairs the two so prior-year returns travel into AssureTax without a manual export, and verified binders are validated and saved back into CCH from the connector.</w:t>
      </w:r>
    </w:p>
    <w:p>
      <w:pPr>
        <w:spacing w:after="30" w:before="120"/>
      </w:pPr>
      <w:r>
        <w:rPr>
          <w:b/>
          <w:bCs/>
        </w:rPr>
        <w:t xml:space="preserve">3. How do finished binders get back to the tax software?</w:t>
      </w:r>
    </w:p>
    <w:p>
      <w:pPr>
        <w:spacing w:after="60"/>
        <w:ind w:left="360"/>
      </w:pPr>
      <w:r>
        <w:t xml:space="preserve">Through the export side of Connect, which lists the verified binders that are ready, lets them be selected individually or together, and sends them back as a recall file. Binders that are not ready are held back with the reason given — usually an organizer still out with the client, or fields still to verify.</w:t>
      </w:r>
    </w:p>
    <w:p>
      <w:pPr>
        <w:spacing w:after="30" w:before="120"/>
      </w:pPr>
      <w:r>
        <w:rPr>
          <w:b/>
          <w:bCs/>
        </w:rPr>
        <w:t xml:space="preserve">4. Which returns does AssureTax support?</w:t>
      </w:r>
    </w:p>
    <w:p>
      <w:pPr>
        <w:spacing w:after="60"/>
        <w:ind w:left="360"/>
      </w:pPr>
      <w:r>
        <w:t xml:space="preserve">Individual (1040), trust (1041), partnership (1065), and corporate (1120 and 1120S) organizers can all be created.</w:t>
      </w:r>
    </w:p>
    <w:p>
      <w:pPr>
        <w:spacing w:after="30" w:before="120"/>
      </w:pPr>
      <w:r>
        <w:rPr>
          <w:b/>
          <w:bCs/>
        </w:rPr>
        <w:t xml:space="preserve">5. How does this compare with SurePrep?</w:t>
      </w:r>
    </w:p>
    <w:p>
      <w:pPr>
        <w:spacing w:after="60"/>
        <w:ind w:left="360"/>
      </w:pPr>
      <w:r>
        <w:t xml:space="preserve">The document identification and categorization is built into the platform rather than split across a separate back-end service and a separate binder tool, which is the arrangement SurePrep requires.</w:t>
      </w:r>
    </w:p>
    <w:p>
      <w:pPr>
        <w:pStyle w:val="Heading2"/>
        <w:spacing w:after="80" w:before="200"/>
      </w:pPr>
      <w:r>
        <w:t xml:space="preserve">Review, advisory &amp; delivery  (5)</w:t>
      </w:r>
    </w:p>
    <w:p>
      <w:pPr>
        <w:spacing w:after="30" w:before="120"/>
      </w:pPr>
      <w:r>
        <w:rPr>
          <w:b/>
          <w:bCs/>
        </w:rPr>
        <w:t xml:space="preserve">1. Is there a review stage for a prepared return?</w:t>
      </w:r>
    </w:p>
    <w:p>
      <w:pPr>
        <w:spacing w:after="60"/>
        <w:ind w:left="360"/>
      </w:pPr>
      <w:r>
        <w:t xml:space="preserve">Not yet; it is in development. As described in the product, Review will set a prepared return beside the prior year line by line and beside what the tax software itself computed, so a disagreement between the two is caught before filing rather than after. It will hold one firm-wide queue of returns at review stage, filterable by client, year, return type, preparer, and reviewer, and let a reviewer sign off or send the return back with the reason attached to it.</w:t>
      </w:r>
    </w:p>
    <w:p>
      <w:pPr>
        <w:spacing w:after="30" w:before="120"/>
      </w:pPr>
      <w:r>
        <w:rPr>
          <w:b/>
          <w:bCs/>
        </w:rPr>
        <w:t xml:space="preserve">2. Does AssureTax do tax research?</w:t>
      </w:r>
    </w:p>
    <w:p>
      <w:pPr>
        <w:spacing w:after="60"/>
        <w:ind w:left="360"/>
      </w:pPr>
      <w:r>
        <w:t xml:space="preserve">Not yet; it is in development. The stated intent is cited research memos linked to the tax work, with versioned conclusions and review, and no unsourced answer presented as authority.</w:t>
      </w:r>
    </w:p>
    <w:p>
      <w:pPr>
        <w:spacing w:after="30" w:before="120"/>
      </w:pPr>
      <w:r>
        <w:rPr>
          <w:b/>
          <w:bCs/>
        </w:rPr>
        <w:t xml:space="preserve">3. Are there advisory or planning features?</w:t>
      </w:r>
    </w:p>
    <w:p>
      <w:pPr>
        <w:spacing w:after="60"/>
        <w:ind w:left="360"/>
      </w:pPr>
      <w:r>
        <w:t xml:space="preserve">Not yet; it is in development. Advisory is described as turning approved tax data into reviewable planning scenarios, with versioned assumptions and calculations, internal approval before anything is shared, and client-safe recommendations delivered through AssurePro.</w:t>
      </w:r>
    </w:p>
    <w:p>
      <w:pPr>
        <w:spacing w:after="30" w:before="120"/>
      </w:pPr>
      <w:r>
        <w:rPr>
          <w:b/>
          <w:bCs/>
        </w:rPr>
        <w:t xml:space="preserve">4. Can a return be delivered to the client for signature and filed?</w:t>
      </w:r>
    </w:p>
    <w:p>
      <w:pPr>
        <w:spacing w:after="60"/>
        <w:ind w:left="360"/>
      </w:pPr>
      <w:r>
        <w:t xml:space="preserve">Not yet; it is in development. Delivery is described as completing return packages through AssurePro's client workflow, with package versioning and signer requirements, portal delivery, e-signature, reminders and payment, and an immutable record of what was delivered and when.</w:t>
      </w:r>
    </w:p>
    <w:p>
      <w:pPr>
        <w:spacing w:after="30" w:before="120"/>
      </w:pPr>
      <w:r>
        <w:rPr>
          <w:b/>
          <w:bCs/>
        </w:rPr>
        <w:t xml:space="preserve">5. Will AssureOne build its own tax preparation engine?</w:t>
      </w:r>
    </w:p>
    <w:p>
      <w:pPr>
        <w:spacing w:after="60"/>
        <w:ind w:left="360"/>
      </w:pPr>
      <w:r>
        <w:t xml:space="preserve">It is a long-term goal rather than a near-term one. The nearer-term work is on the accounting side; replacing an incumbent tax preparation product is described as further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2026-09-03T08:34:14.806Z</dcterms:created>
  <dcterms:modified xsi:type="dcterms:W3CDTF">2026-09-03T08:34:14.814Z</dcterms:modified>
</cp:coreProperties>
</file>

<file path=docProps/custom.xml><?xml version="1.0" encoding="utf-8"?>
<Properties xmlns="http://schemas.openxmlformats.org/officeDocument/2006/custom-properties" xmlns:vt="http://schemas.openxmlformats.org/officeDocument/2006/docPropsVTypes"/>
</file>