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C2E"/>
          <w:sz w:val="52"/>
          <w:szCs w:val="52"/>
        </w:rPr>
        <w:t xml:space="preserve">AssurePro</w:t>
      </w:r>
    </w:p>
    <w:p>
      <w:pPr>
        <w:spacing w:after="240"/>
      </w:pPr>
      <w:r>
        <w:rPr>
          <w:color w:val="4735BE"/>
          <w:sz w:val="32"/>
          <w:szCs w:val="32"/>
        </w:rPr>
        <w:t xml:space="preserve">Question review</w:t>
      </w:r>
    </w:p>
    <w:p>
      <w:pPr>
        <w:pBdr>
          <w:bottom w:val="single" w:color="D8D6E6" w:sz="6"/>
        </w:pBdr>
        <w:spacing w:after="200"/>
      </w:pPr>
      <w:r>
        <w:rPr>
          <w:b/>
          <w:bCs/>
          <w:color w:val="1A1C2E"/>
          <w:sz w:val="22"/>
          <w:szCs w:val="22"/>
        </w:rPr>
        <w:t xml:space="preserve">172 questions across 13 categories</w:t>
      </w:r>
    </w:p>
    <w:p>
      <w:pPr>
        <w:spacing w:after="120"/>
      </w:pPr>
      <w:r>
        <w:rPr>
          <w:b/>
          <w:bCs/>
          <w:color w:val="1A1C2E"/>
          <w:sz w:val="22"/>
          <w:szCs w:val="22"/>
        </w:rPr>
        <w:t xml:space="preserve">How to use this document</w:t>
      </w:r>
    </w:p>
    <w:p>
      <w:pPr>
        <w:pStyle w:val="ListParagraph"/>
        <w:numPr>
          <w:ilvl w:val="0"/>
          <w:numId w:val="1"/>
        </w:numPr>
        <w:spacing w:after="60"/>
      </w:pPr>
      <w:r>
        <w:rPr>
          <w:sz w:val="21"/>
          <w:szCs w:val="21"/>
        </w:rPr>
        <w:t xml:space="preserve">Edit the answers directly. Reword, correct, expand — whatever the product actually does.</w:t>
      </w:r>
    </w:p>
    <w:p>
      <w:pPr>
        <w:pStyle w:val="ListParagraph"/>
        <w:numPr>
          <w:ilvl w:val="0"/>
          <w:numId w:val="1"/>
        </w:numPr>
        <w:spacing w:after="60"/>
      </w:pPr>
      <w:r>
        <w:rPr>
          <w:sz w:val="21"/>
          <w:szCs w:val="21"/>
        </w:rPr>
        <w:t xml:space="preserve">To remove a question, delete its whole block, or write DELETE next to the question.</w:t>
      </w:r>
    </w:p>
    <w:p>
      <w:pPr>
        <w:pStyle w:val="ListParagraph"/>
        <w:numPr>
          <w:ilvl w:val="0"/>
          <w:numId w:val="1"/>
        </w:numPr>
        <w:spacing w:after="60"/>
      </w:pPr>
      <w:r>
        <w:rPr>
          <w:sz w:val="21"/>
          <w:szCs w:val="21"/>
        </w:rPr>
        <w:t xml:space="preserve">To add one, write it wherever it belongs and mark it NEW.</w:t>
      </w:r>
    </w:p>
    <w:p>
      <w:pPr>
        <w:pStyle w:val="ListParagraph"/>
        <w:numPr>
          <w:ilvl w:val="0"/>
          <w:numId w:val="1"/>
        </w:numPr>
        <w:spacing w:after="60"/>
      </w:pPr>
      <w:r>
        <w:rPr>
          <w:sz w:val="21"/>
          <w:szCs w:val="21"/>
        </w:rPr>
        <w:t xml:space="preserve">Comments are fine too if you would rather not edit in place.</w:t>
      </w:r>
    </w:p>
    <w:p>
      <w:pPr>
        <w:spacing w:after="80" w:before="180"/>
      </w:pPr>
      <w:r>
        <w:rPr>
          <w:b/>
          <w:bCs/>
          <w:color w:val="1A1C2E"/>
          <w:sz w:val="22"/>
          <w:szCs w:val="22"/>
        </w:rPr>
        <w:t xml:space="preserve">What the labels mean</w:t>
      </w:r>
    </w:p>
    <w:p>
      <w:pPr>
        <w:spacing w:after="60"/>
      </w:pPr>
      <w:r>
        <w:rPr>
          <w:b/>
          <w:bCs/>
          <w:sz w:val="21"/>
          <w:szCs w:val="21"/>
        </w:rPr>
        <w:t xml:space="preserve">Steps</w:t>
      </w:r>
      <w:r>
        <w:rPr>
          <w:sz w:val="21"/>
          <w:szCs w:val="21"/>
        </w:rPr>
        <w:t xml:space="preserve">   the numbered walkthrough shown under the answer in the help centre.</w:t>
      </w:r>
    </w:p>
    <w:p>
      <w:pPr>
        <w:spacing w:after="60"/>
      </w:pPr>
      <w:r>
        <w:rPr>
          <w:b/>
          <w:bCs/>
          <w:sz w:val="21"/>
          <w:szCs w:val="21"/>
        </w:rPr>
        <w:t xml:space="preserve">More</w:t>
      </w:r>
      <w:r>
        <w:rPr>
          <w:sz w:val="21"/>
          <w:szCs w:val="21"/>
        </w:rPr>
        <w:t xml:space="preserve">   an extra paragraph shown after the answer. 115 of the questions have one.</w:t>
      </w:r>
    </w:p>
    <w:p>
      <w:pPr>
        <w:spacing w:after="60"/>
      </w:pPr>
      <w:r>
        <w:rPr>
          <w:b/>
          <w:bCs/>
          <w:sz w:val="21"/>
          <w:szCs w:val="21"/>
        </w:rPr>
        <w:t xml:space="preserve">Also in Settings</w:t>
      </w:r>
      <w:r>
        <w:rPr>
          <w:sz w:val="21"/>
          <w:szCs w:val="21"/>
        </w:rPr>
        <w:t xml:space="preserve">   the question appears under Settings as well as its own category, because it covers a setting for that area. 57 questions are cross-listed this way.</w:t>
      </w:r>
    </w:p>
    <w:p>
      <w:pPr>
        <w:spacing w:after="60"/>
      </w:pPr>
      <w:r>
        <w:rPr>
          <w:b/>
          <w:bCs/>
          <w:sz w:val="21"/>
          <w:szCs w:val="21"/>
        </w:rPr>
        <w:t xml:space="preserve">Ref</w:t>
      </w:r>
      <w:r>
        <w:rPr>
          <w:sz w:val="21"/>
          <w:szCs w:val="21"/>
        </w:rPr>
        <w:t xml:space="preserve">   the article's identifier. Leave it alone — it is how a reworded question gets matched back to the right article, and how its link stays valid.</w:t>
      </w:r>
    </w:p>
    <w:p>
      <w:pPr>
        <w:spacing w:before="200"/>
      </w:pPr>
      <w:r>
        <w:rPr>
          <w:i/>
          <w:iCs/>
          <w:color w:val="8B8FA3"/>
          <w:sz w:val="20"/>
          <w:szCs w:val="20"/>
        </w:rPr>
        <w:t xml:space="preserve">Categories other than Settings show only the questions filed under them. The help centre's Settings view is larger than the count here because it also pulls in the cross-listed questions.</w:t>
      </w:r>
    </w:p>
    <w:p>
      <w:r>
        <w:br w:type="page"/>
      </w:r>
    </w:p>
    <w:p>
      <w:pPr>
        <w:spacing w:after="120"/>
      </w:pPr>
      <w:r>
        <w:rPr>
          <w:b/>
          <w:bCs/>
          <w:color w:val="1A1C2E"/>
          <w:sz w:val="26"/>
          <w:szCs w:val="26"/>
        </w:rPr>
        <w:t xml:space="preserve">Contents</w:t>
      </w:r>
    </w:p>
    <w:p>
      <w:pPr>
        <w:spacing w:after="140"/>
      </w:pPr>
      <w:r>
        <w:rPr>
          <w:i/>
          <w:iCs/>
          <w:color w:val="8B8FA3"/>
          <w:sz w:val="20"/>
          <w:szCs w:val="20"/>
        </w:rPr>
        <w:t xml:space="preserve">Each category starts on its own page.</w:t>
      </w:r>
    </w:p>
    <w:p>
      <w:pPr>
        <w:spacing w:after="70"/>
      </w:pPr>
      <w:r>
        <w:rPr>
          <w:b/>
          <w:bCs/>
          <w:color w:val="1A1C2E"/>
          <w:sz w:val="22"/>
          <w:szCs w:val="22"/>
        </w:rPr>
        <w:t xml:space="preserve">Platform</w:t>
      </w:r>
      <w:r>
        <w:rPr>
          <w:color w:val="8B8FA3"/>
          <w:sz w:val="21"/>
          <w:szCs w:val="21"/>
        </w:rPr>
        <w:t xml:space="preserve">   9 questions</w:t>
      </w:r>
    </w:p>
    <w:p>
      <w:pPr>
        <w:spacing w:after="70"/>
      </w:pPr>
      <w:r>
        <w:rPr>
          <w:b/>
          <w:bCs/>
          <w:color w:val="1A1C2E"/>
          <w:sz w:val="22"/>
          <w:szCs w:val="22"/>
        </w:rPr>
        <w:t xml:space="preserve">Dashboard</w:t>
      </w:r>
      <w:r>
        <w:rPr>
          <w:color w:val="8B8FA3"/>
          <w:sz w:val="21"/>
          <w:szCs w:val="21"/>
        </w:rPr>
        <w:t xml:space="preserve">   11 questions</w:t>
      </w:r>
    </w:p>
    <w:p>
      <w:pPr>
        <w:spacing w:after="70"/>
      </w:pPr>
      <w:r>
        <w:rPr>
          <w:b/>
          <w:bCs/>
          <w:color w:val="1A1C2E"/>
          <w:sz w:val="22"/>
          <w:szCs w:val="22"/>
        </w:rPr>
        <w:t xml:space="preserve">Settings</w:t>
      </w:r>
      <w:r>
        <w:rPr>
          <w:color w:val="8B8FA3"/>
          <w:sz w:val="21"/>
          <w:szCs w:val="21"/>
        </w:rPr>
        <w:t xml:space="preserve">   20 questions</w:t>
      </w:r>
    </w:p>
    <w:p>
      <w:pPr>
        <w:spacing w:after="70"/>
      </w:pPr>
      <w:r>
        <w:rPr>
          <w:b/>
          <w:bCs/>
          <w:color w:val="1A1C2E"/>
          <w:sz w:val="22"/>
          <w:szCs w:val="22"/>
        </w:rPr>
        <w:t xml:space="preserve">Clients &amp; prospects</w:t>
      </w:r>
      <w:r>
        <w:rPr>
          <w:color w:val="8B8FA3"/>
          <w:sz w:val="21"/>
          <w:szCs w:val="21"/>
        </w:rPr>
        <w:t xml:space="preserve">   19 questions</w:t>
      </w:r>
    </w:p>
    <w:p>
      <w:pPr>
        <w:spacing w:after="70"/>
      </w:pPr>
      <w:r>
        <w:rPr>
          <w:b/>
          <w:bCs/>
          <w:color w:val="1A1C2E"/>
          <w:sz w:val="22"/>
          <w:szCs w:val="22"/>
        </w:rPr>
        <w:t xml:space="preserve">Documents</w:t>
      </w:r>
      <w:r>
        <w:rPr>
          <w:color w:val="8B8FA3"/>
          <w:sz w:val="21"/>
          <w:szCs w:val="21"/>
        </w:rPr>
        <w:t xml:space="preserve">   14 questions</w:t>
      </w:r>
    </w:p>
    <w:p>
      <w:pPr>
        <w:spacing w:after="70"/>
      </w:pPr>
      <w:r>
        <w:rPr>
          <w:b/>
          <w:bCs/>
          <w:color w:val="1A1C2E"/>
          <w:sz w:val="22"/>
          <w:szCs w:val="22"/>
        </w:rPr>
        <w:t xml:space="preserve">Workflow</w:t>
      </w:r>
      <w:r>
        <w:rPr>
          <w:color w:val="8B8FA3"/>
          <w:sz w:val="21"/>
          <w:szCs w:val="21"/>
        </w:rPr>
        <w:t xml:space="preserve">   11 questions</w:t>
      </w:r>
    </w:p>
    <w:p>
      <w:pPr>
        <w:spacing w:after="70"/>
      </w:pPr>
      <w:r>
        <w:rPr>
          <w:b/>
          <w:bCs/>
          <w:color w:val="1A1C2E"/>
          <w:sz w:val="22"/>
          <w:szCs w:val="22"/>
        </w:rPr>
        <w:t xml:space="preserve">Time Sheet</w:t>
      </w:r>
      <w:r>
        <w:rPr>
          <w:color w:val="8B8FA3"/>
          <w:sz w:val="21"/>
          <w:szCs w:val="21"/>
        </w:rPr>
        <w:t xml:space="preserve">   4 questions</w:t>
      </w:r>
    </w:p>
    <w:p>
      <w:pPr>
        <w:spacing w:after="70"/>
      </w:pPr>
      <w:r>
        <w:rPr>
          <w:b/>
          <w:bCs/>
          <w:color w:val="1A1C2E"/>
          <w:sz w:val="22"/>
          <w:szCs w:val="22"/>
        </w:rPr>
        <w:t xml:space="preserve">Engagement letters</w:t>
      </w:r>
      <w:r>
        <w:rPr>
          <w:color w:val="8B8FA3"/>
          <w:sz w:val="21"/>
          <w:szCs w:val="21"/>
        </w:rPr>
        <w:t xml:space="preserve">   13 questions</w:t>
      </w:r>
    </w:p>
    <w:p>
      <w:pPr>
        <w:spacing w:after="70"/>
      </w:pPr>
      <w:r>
        <w:rPr>
          <w:b/>
          <w:bCs/>
          <w:color w:val="1A1C2E"/>
          <w:sz w:val="22"/>
          <w:szCs w:val="22"/>
        </w:rPr>
        <w:t xml:space="preserve">Billing &amp; services</w:t>
      </w:r>
      <w:r>
        <w:rPr>
          <w:color w:val="8B8FA3"/>
          <w:sz w:val="21"/>
          <w:szCs w:val="21"/>
        </w:rPr>
        <w:t xml:space="preserve">   22 questions</w:t>
      </w:r>
    </w:p>
    <w:p>
      <w:pPr>
        <w:spacing w:after="70"/>
      </w:pPr>
      <w:r>
        <w:rPr>
          <w:b/>
          <w:bCs/>
          <w:color w:val="1A1C2E"/>
          <w:sz w:val="22"/>
          <w:szCs w:val="22"/>
        </w:rPr>
        <w:t xml:space="preserve">Communications</w:t>
      </w:r>
      <w:r>
        <w:rPr>
          <w:color w:val="8B8FA3"/>
          <w:sz w:val="21"/>
          <w:szCs w:val="21"/>
        </w:rPr>
        <w:t xml:space="preserve">   16 questions</w:t>
      </w:r>
    </w:p>
    <w:p>
      <w:pPr>
        <w:spacing w:after="70"/>
      </w:pPr>
      <w:r>
        <w:rPr>
          <w:b/>
          <w:bCs/>
          <w:color w:val="1A1C2E"/>
          <w:sz w:val="22"/>
          <w:szCs w:val="22"/>
        </w:rPr>
        <w:t xml:space="preserve">Reporting</w:t>
      </w:r>
      <w:r>
        <w:rPr>
          <w:color w:val="8B8FA3"/>
          <w:sz w:val="21"/>
          <w:szCs w:val="21"/>
        </w:rPr>
        <w:t xml:space="preserve">   6 questions</w:t>
      </w:r>
    </w:p>
    <w:p>
      <w:pPr>
        <w:spacing w:after="70"/>
      </w:pPr>
      <w:r>
        <w:rPr>
          <w:b/>
          <w:bCs/>
          <w:color w:val="1A1C2E"/>
          <w:sz w:val="22"/>
          <w:szCs w:val="22"/>
        </w:rPr>
        <w:t xml:space="preserve">AI</w:t>
      </w:r>
      <w:r>
        <w:rPr>
          <w:color w:val="8B8FA3"/>
          <w:sz w:val="21"/>
          <w:szCs w:val="21"/>
        </w:rPr>
        <w:t xml:space="preserve">   15 questions</w:t>
      </w:r>
    </w:p>
    <w:p>
      <w:pPr>
        <w:spacing w:after="70"/>
      </w:pPr>
      <w:r>
        <w:rPr>
          <w:b/>
          <w:bCs/>
          <w:color w:val="1A1C2E"/>
          <w:sz w:val="22"/>
          <w:szCs w:val="22"/>
        </w:rPr>
        <w:t xml:space="preserve">Integrations &amp; security</w:t>
      </w:r>
      <w:r>
        <w:rPr>
          <w:color w:val="8B8FA3"/>
          <w:sz w:val="21"/>
          <w:szCs w:val="21"/>
        </w:rPr>
        <w:t xml:space="preserve">   12 questions</w:t>
      </w:r>
    </w:p>
    <w:p>
      <w:r>
        <w:br w:type="page"/>
      </w:r>
    </w:p>
    <w:p>
      <w:pPr>
        <w:pStyle w:val="Heading1"/>
        <w:spacing w:after="40" w:before="60"/>
      </w:pPr>
      <w:r>
        <w:rPr>
          <w:b/>
          <w:bCs/>
          <w:color w:val="1A1C2E"/>
          <w:sz w:val="32"/>
          <w:szCs w:val="32"/>
        </w:rPr>
        <w:t xml:space="preserve">Platform</w:t>
      </w:r>
    </w:p>
    <w:p>
      <w:pPr>
        <w:pBdr>
          <w:bottom w:val="single" w:color="E4E2F0" w:sz="4"/>
        </w:pBdr>
        <w:spacing w:after="200"/>
      </w:pPr>
      <w:r>
        <w:rPr>
          <w:color w:val="8B8FA3"/>
          <w:sz w:val="20"/>
          <w:szCs w:val="20"/>
        </w:rPr>
        <w:t xml:space="preserve">9 questions</w:t>
      </w:r>
    </w:p>
    <w:p>
      <w:pPr>
        <w:keepNext/>
        <w:spacing w:after="90" w:before="220"/>
      </w:pPr>
      <w:r>
        <w:rPr>
          <w:b/>
          <w:bCs/>
          <w:color w:val="1A1C2E"/>
          <w:sz w:val="24"/>
          <w:szCs w:val="24"/>
        </w:rPr>
        <w:t xml:space="preserve">1.   What is AssureOne?</w:t>
      </w:r>
    </w:p>
    <w:p>
      <w:pPr>
        <w:spacing w:after="60"/>
        <w:ind w:left="403"/>
      </w:pPr>
      <w:r>
        <w:rPr>
          <w:sz w:val="22"/>
          <w:szCs w:val="22"/>
        </w:rPr>
        <w:t xml:space="preserve">AssureOne is the firm's internal, AI-first platform for a CPA firm. It unifies practice management, bookkeeping, audit, and tax so client records, documents, and activity can remain connected instead of being re-entered in separate products. Firm staff use the product switcher to move between AssurePro for practice management, AssureBooks for bookkeeping, AssureAudit for audit work, and AssureTax for tax filings when those products are enabled. Clients do not work inside the staff-facing AssureOne workspace; they use the separate client portal or dedicated mobile app for activities such as reviewing requests, uploading files, communicating, signing documents, and paying invoices.</w:t>
      </w:r>
    </w:p>
    <w:p>
      <w:pPr>
        <w:spacing w:after="40" w:before="70"/>
        <w:ind w:left="403"/>
      </w:pPr>
      <w:r>
        <w:rPr>
          <w:color w:val="8B8FA3"/>
          <w:sz w:val="17"/>
          <w:szCs w:val="17"/>
        </w:rPr>
        <w:t xml:space="preserve">Ref: pro-what-is-assureone-0</w:t>
      </w:r>
    </w:p>
    <w:p>
      <w:pPr>
        <w:keepNext/>
        <w:spacing w:after="90" w:before="220"/>
      </w:pPr>
      <w:r>
        <w:rPr>
          <w:b/>
          <w:bCs/>
          <w:color w:val="1A1C2E"/>
          <w:sz w:val="24"/>
          <w:szCs w:val="24"/>
        </w:rPr>
        <w:t xml:space="preserve">2.   What is AssurePro?</w:t>
      </w:r>
    </w:p>
    <w:p>
      <w:pPr>
        <w:spacing w:after="90"/>
        <w:ind w:left="403"/>
      </w:pPr>
      <w:r>
        <w:rPr>
          <w:sz w:val="22"/>
          <w:szCs w:val="22"/>
        </w:rPr>
        <w:t xml:space="preserve">AssurePro is AssureOne's practice-management foundation. It brings together firm setup, team access, clients, prospects, documents, engagement workflows, engagement letters, time, billing, services, calendars, reports, communications, templates, integrations, and administrative settings.</w:t>
      </w:r>
    </w:p>
    <w:p>
      <w:pPr>
        <w:spacing w:after="90"/>
        <w:ind w:left="403"/>
      </w:pPr>
      <w:r>
        <w:rPr>
          <w:b/>
          <w:bCs/>
          <w:color w:val="4735BE"/>
          <w:sz w:val="18"/>
          <w:szCs w:val="18"/>
        </w:rPr>
        <w:t xml:space="preserve">More   </w:t>
      </w:r>
      <w:r>
        <w:rPr>
          <w:sz w:val="22"/>
          <w:szCs w:val="22"/>
        </w:rPr>
        <w:t xml:space="preserve">In practice, this is the staff workspace used from the first prospect interaction through recurring client delivery and collection. A client record becomes the common reference point for contacts, documents, communications, engagements, agreements, credentials, time, and billing, reducing the need to reconcile separate tools.</w:t>
      </w:r>
    </w:p>
    <w:p>
      <w:pPr>
        <w:spacing w:after="40" w:before="70"/>
        <w:ind w:left="403"/>
      </w:pPr>
      <w:r>
        <w:rPr>
          <w:color w:val="8B8FA3"/>
          <w:sz w:val="17"/>
          <w:szCs w:val="17"/>
        </w:rPr>
        <w:t xml:space="preserve">Ref: pro-what-is-assurepro-1</w:t>
      </w:r>
    </w:p>
    <w:p>
      <w:pPr>
        <w:keepNext/>
        <w:spacing w:after="90" w:before="220"/>
      </w:pPr>
      <w:r>
        <w:rPr>
          <w:b/>
          <w:bCs/>
          <w:color w:val="1A1C2E"/>
          <w:sz w:val="24"/>
          <w:szCs w:val="24"/>
        </w:rPr>
        <w:t xml:space="preserve">3.   Is AssurePro the firm's practice-management system or a bookkeeping system?</w:t>
      </w:r>
    </w:p>
    <w:p>
      <w:pPr>
        <w:spacing w:after="90"/>
        <w:ind w:left="403"/>
      </w:pPr>
      <w:r>
        <w:rPr>
          <w:sz w:val="22"/>
          <w:szCs w:val="22"/>
        </w:rPr>
        <w:t xml:space="preserve">AssurePro is the firm's practice-management system. It manages the operational relationship with clients, including onboarding, documents, workflows, engagement letters, time, billing, communications, and reporting. Bookkeeping work is handled in AssureBooks when that product is available to the firm.</w:t>
      </w:r>
    </w:p>
    <w:p>
      <w:pPr>
        <w:spacing w:after="90"/>
        <w:ind w:left="403"/>
      </w:pPr>
      <w:r>
        <w:rPr>
          <w:b/>
          <w:bCs/>
          <w:color w:val="4735BE"/>
          <w:sz w:val="18"/>
          <w:szCs w:val="18"/>
        </w:rPr>
        <w:t xml:space="preserve">More   </w:t>
      </w:r>
      <w:r>
        <w:rPr>
          <w:sz w:val="22"/>
          <w:szCs w:val="22"/>
        </w:rPr>
        <w:t xml:space="preserve">For example, AssurePro can create the bookkeeping engagement, assign its tasks, request source documents, track time, communicate with the client, and invoice the work. The accounting entries and books themselves belong in AssureBooks; the product switcher connects staff to that product when enabled.</w:t>
      </w:r>
    </w:p>
    <w:p>
      <w:pPr>
        <w:spacing w:after="40" w:before="70"/>
        <w:ind w:left="403"/>
      </w:pPr>
      <w:r>
        <w:rPr>
          <w:color w:val="8B8FA3"/>
          <w:sz w:val="17"/>
          <w:szCs w:val="17"/>
        </w:rPr>
        <w:t xml:space="preserve">Ref: pro-is-assurepro-the-firm-s-practice-management-system-or-a-bookkeeping-sy-2</w:t>
      </w:r>
    </w:p>
    <w:p>
      <w:pPr>
        <w:keepNext/>
        <w:spacing w:after="90" w:before="220"/>
      </w:pPr>
      <w:r>
        <w:rPr>
          <w:b/>
          <w:bCs/>
          <w:color w:val="1A1C2E"/>
          <w:sz w:val="24"/>
          <w:szCs w:val="24"/>
        </w:rPr>
        <w:t xml:space="preserve">4.   How do I find information or start common work quickly?</w:t>
      </w:r>
    </w:p>
    <w:p>
      <w:pPr>
        <w:spacing w:after="90"/>
        <w:ind w:left="403"/>
      </w:pPr>
      <w:r>
        <w:rPr>
          <w:sz w:val="22"/>
          <w:szCs w:val="22"/>
        </w:rPr>
        <w:t xml:space="preserve">Use search when the record already exists and + New when the work has not been created yet.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the header search or use its displayed keyboard shortcut.</w:t>
      </w:r>
    </w:p>
    <w:p>
      <w:pPr>
        <w:pStyle w:val="ListParagraph"/>
        <w:numPr>
          <w:ilvl w:val="0"/>
          <w:numId w:val="2"/>
        </w:numPr>
        <w:spacing w:after="40"/>
        <w:ind w:left="892"/>
      </w:pPr>
      <w:r>
        <w:rPr>
          <w:sz w:val="21"/>
          <w:szCs w:val="21"/>
        </w:rPr>
        <w:t xml:space="preserve">Enter a client, document, or task name and open the matching result in its source module.</w:t>
      </w:r>
    </w:p>
    <w:p>
      <w:pPr>
        <w:pStyle w:val="ListParagraph"/>
        <w:numPr>
          <w:ilvl w:val="0"/>
          <w:numId w:val="2"/>
        </w:numPr>
        <w:spacing w:after="40"/>
        <w:ind w:left="892"/>
      </w:pPr>
      <w:r>
        <w:rPr>
          <w:sz w:val="21"/>
          <w:szCs w:val="21"/>
        </w:rPr>
        <w:t xml:space="preserve">When starting new work, select + New in the header.</w:t>
      </w:r>
    </w:p>
    <w:p>
      <w:pPr>
        <w:pStyle w:val="ListParagraph"/>
        <w:numPr>
          <w:ilvl w:val="0"/>
          <w:numId w:val="2"/>
        </w:numPr>
        <w:spacing w:after="40"/>
        <w:ind w:left="892"/>
      </w:pPr>
      <w:r>
        <w:rPr>
          <w:sz w:val="21"/>
          <w:szCs w:val="21"/>
        </w:rPr>
        <w:t xml:space="preserve">Choose Client, Task, Message, Invoice, Document Request, or Engagement Letter.</w:t>
      </w:r>
    </w:p>
    <w:p>
      <w:pPr>
        <w:pStyle w:val="ListParagraph"/>
        <w:numPr>
          <w:ilvl w:val="0"/>
          <w:numId w:val="2"/>
        </w:numPr>
        <w:spacing w:after="40"/>
        <w:ind w:left="892"/>
      </w:pPr>
      <w:r>
        <w:rPr>
          <w:sz w:val="21"/>
          <w:szCs w:val="21"/>
        </w:rPr>
        <w:t xml:space="preserve">Complete and review the destination form before saving or sending.</w:t>
      </w:r>
    </w:p>
    <w:p>
      <w:pPr>
        <w:spacing w:after="40" w:before="70"/>
        <w:ind w:left="403"/>
      </w:pPr>
      <w:r>
        <w:rPr>
          <w:color w:val="8B8FA3"/>
          <w:sz w:val="17"/>
          <w:szCs w:val="17"/>
        </w:rPr>
        <w:t xml:space="preserve">Ref: pro-how-do-i-find-information-or-start-common-work-quickly-5</w:t>
      </w:r>
    </w:p>
    <w:p>
      <w:pPr>
        <w:keepNext/>
        <w:spacing w:after="90" w:before="220"/>
      </w:pPr>
      <w:r>
        <w:rPr>
          <w:b/>
          <w:bCs/>
          <w:color w:val="1A1C2E"/>
          <w:sz w:val="24"/>
          <w:szCs w:val="24"/>
        </w:rPr>
        <w:t xml:space="preserve">5.   What can I create from the global + New menu?</w:t>
      </w:r>
    </w:p>
    <w:p>
      <w:pPr>
        <w:spacing w:after="90"/>
        <w:ind w:left="403"/>
      </w:pPr>
      <w:r>
        <w:rPr>
          <w:sz w:val="22"/>
          <w:szCs w:val="22"/>
        </w:rPr>
        <w:t xml:space="preserve">The + New menu contains Client, Task, Message, Invoice, Document Request, and Engagement Letter. It is the fastest entry point when the user already knows which record or activity they need to start.</w:t>
      </w:r>
    </w:p>
    <w:p>
      <w:pPr>
        <w:spacing w:after="90"/>
        <w:ind w:left="403"/>
      </w:pPr>
      <w:r>
        <w:rPr>
          <w:b/>
          <w:bCs/>
          <w:color w:val="4735BE"/>
          <w:sz w:val="18"/>
          <w:szCs w:val="18"/>
        </w:rPr>
        <w:t xml:space="preserve">More   </w:t>
      </w:r>
      <w:r>
        <w:rPr>
          <w:sz w:val="22"/>
          <w:szCs w:val="22"/>
        </w:rPr>
        <w:t xml:space="preserve">The chosen shortcut opens the same destination form used inside its module, so using + New does not create a reduced record. For example, choosing Invoice opens the invoice builder with its client, due-date, line-item, discount, tax, notes, preview, draft, and send controls.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 New in the application header.</w:t>
      </w:r>
    </w:p>
    <w:p>
      <w:pPr>
        <w:pStyle w:val="ListParagraph"/>
        <w:numPr>
          <w:ilvl w:val="0"/>
          <w:numId w:val="2"/>
        </w:numPr>
        <w:spacing w:after="40"/>
        <w:ind w:left="892"/>
      </w:pPr>
      <w:r>
        <w:rPr>
          <w:sz w:val="21"/>
          <w:szCs w:val="21"/>
        </w:rPr>
        <w:t xml:space="preserve">Choose Client, Task, Message, Invoice, Document Request, or Engagement Letter.</w:t>
      </w:r>
    </w:p>
    <w:p>
      <w:pPr>
        <w:pStyle w:val="ListParagraph"/>
        <w:numPr>
          <w:ilvl w:val="0"/>
          <w:numId w:val="2"/>
        </w:numPr>
        <w:spacing w:after="40"/>
        <w:ind w:left="892"/>
      </w:pPr>
      <w:r>
        <w:rPr>
          <w:sz w:val="21"/>
          <w:szCs w:val="21"/>
        </w:rPr>
        <w:t xml:space="preserve">Complete the fields in the opened form and review the information before saving or sending.</w:t>
      </w:r>
    </w:p>
    <w:p>
      <w:pPr>
        <w:spacing w:after="40" w:before="70"/>
        <w:ind w:left="403"/>
      </w:pPr>
      <w:r>
        <w:rPr>
          <w:color w:val="8B8FA3"/>
          <w:sz w:val="17"/>
          <w:szCs w:val="17"/>
        </w:rPr>
        <w:t xml:space="preserve">Ref: pro-what-can-i-create-from-the-global-new-menu-6</w:t>
      </w:r>
    </w:p>
    <w:p>
      <w:pPr>
        <w:keepNext/>
        <w:spacing w:after="90" w:before="220"/>
      </w:pPr>
      <w:r>
        <w:rPr>
          <w:b/>
          <w:bCs/>
          <w:color w:val="1A1C2E"/>
          <w:sz w:val="24"/>
          <w:szCs w:val="24"/>
        </w:rPr>
        <w:t xml:space="preserve">6.   Where do firm users sign in?</w:t>
      </w:r>
    </w:p>
    <w:p>
      <w:pPr>
        <w:spacing w:after="90"/>
        <w:ind w:left="403"/>
      </w:pPr>
      <w:r>
        <w:rPr>
          <w:sz w:val="22"/>
          <w:szCs w:val="22"/>
        </w:rPr>
        <w:t xml:space="preserve">Firm users use the AssurePro sign-in link supplied by their administrator or AssureOne. A new user first opens the invitation sent to their work email, accepts it, completes the requested email-code verification, and sets a password. Later sign-ins use the established account and open the staff-facing AssurePro dashboard; clients use the separate client portal or mobile app instead.</w:t>
      </w:r>
    </w:p>
    <w:p>
      <w:pPr>
        <w:spacing w:after="90"/>
        <w:ind w:left="403"/>
      </w:pPr>
      <w:r>
        <w:rPr>
          <w:b/>
          <w:bCs/>
          <w:color w:val="4735BE"/>
          <w:sz w:val="18"/>
          <w:szCs w:val="18"/>
        </w:rPr>
        <w:t xml:space="preserve">More   </w:t>
      </w:r>
      <w:r>
        <w:rPr>
          <w:sz w:val="22"/>
          <w:szCs w:val="22"/>
        </w:rPr>
        <w:t xml:space="preserve">If an invitation cannot be completed, first confirm that the user is opening the newest invitation sent to the correct email address. Team &amp; Roles shows invitations separately from active members, allowing an administrator to review or resend access before troubleshooting permissions.</w:t>
      </w:r>
    </w:p>
    <w:p>
      <w:pPr>
        <w:spacing w:after="40" w:before="70"/>
        <w:ind w:left="403"/>
      </w:pPr>
      <w:r>
        <w:rPr>
          <w:color w:val="8B8FA3"/>
          <w:sz w:val="17"/>
          <w:szCs w:val="17"/>
        </w:rPr>
        <w:t xml:space="preserve">Ref: pro-where-do-firm-users-sign-in-7</w:t>
      </w:r>
    </w:p>
    <w:p>
      <w:pPr>
        <w:keepNext/>
        <w:spacing w:after="90" w:before="220"/>
      </w:pPr>
      <w:r>
        <w:rPr>
          <w:b/>
          <w:bCs/>
          <w:color w:val="1A1C2E"/>
          <w:sz w:val="24"/>
          <w:szCs w:val="24"/>
        </w:rPr>
        <w:t xml:space="preserve">7.   Can we try AssurePro before committing to a migration?</w:t>
      </w:r>
    </w:p>
    <w:p>
      <w:pPr>
        <w:spacing w:after="60"/>
        <w:ind w:left="403"/>
      </w:pPr>
      <w:r>
        <w:rPr>
          <w:sz w:val="22"/>
          <w:szCs w:val="22"/>
        </w:rPr>
        <w:t xml:space="preserve">Yes. AssureOne provides demo accounts so a firm can evaluate AssurePro before committing to onboarding and data migration. Use the demo to walk through the firm's highest-priority scenarios—creating a client, converting a prospect, requesting documents, creating an engagement, sending an engagement letter, recording time, invoicing, communicating with a client, and reviewing reports. Questions or configuration gaps identified during the evaluation can then be included in the implementation plan.</w:t>
      </w:r>
    </w:p>
    <w:p>
      <w:pPr>
        <w:spacing w:after="40" w:before="70"/>
        <w:ind w:left="403"/>
      </w:pPr>
      <w:r>
        <w:rPr>
          <w:color w:val="8B8FA3"/>
          <w:sz w:val="17"/>
          <w:szCs w:val="17"/>
        </w:rPr>
        <w:t xml:space="preserve">Ref: pro-can-we-try-assurepro-before-committing-to-a-migration-8</w:t>
      </w:r>
    </w:p>
    <w:p>
      <w:pPr>
        <w:keepNext/>
        <w:spacing w:after="90" w:before="220"/>
      </w:pPr>
      <w:r>
        <w:rPr>
          <w:b/>
          <w:bCs/>
          <w:color w:val="1A1C2E"/>
          <w:sz w:val="24"/>
          <w:szCs w:val="24"/>
        </w:rPr>
        <w:t xml:space="preserve">8.   What support channels are available if we run into an issue?</w:t>
      </w:r>
    </w:p>
    <w:p>
      <w:pPr>
        <w:spacing w:after="90"/>
        <w:ind w:left="403"/>
      </w:pPr>
      <w:r>
        <w:rPr>
          <w:sz w:val="22"/>
          <w:szCs w:val="22"/>
        </w:rPr>
        <w:t xml:space="preserve">AssureOne provides direct email support, in-product issue reporting, and implementation assistance.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Email support@assureone.ai when you need help from the AssureOne support team.</w:t>
      </w:r>
    </w:p>
    <w:p>
      <w:pPr>
        <w:pStyle w:val="ListParagraph"/>
        <w:numPr>
          <w:ilvl w:val="0"/>
          <w:numId w:val="2"/>
        </w:numPr>
        <w:spacing w:after="40"/>
        <w:ind w:left="892"/>
      </w:pPr>
      <w:r>
        <w:rPr>
          <w:sz w:val="21"/>
          <w:szCs w:val="21"/>
        </w:rPr>
        <w:t xml:space="preserve">Use Report a bug in the application header to report a product issue from the screen where it occurred. Include what you were doing, what you expected, what happened, and the affected area; attach a privacy-safe screenshot when it helps explain the problem.</w:t>
      </w:r>
    </w:p>
    <w:p>
      <w:pPr>
        <w:pStyle w:val="ListParagraph"/>
        <w:numPr>
          <w:ilvl w:val="0"/>
          <w:numId w:val="2"/>
        </w:numPr>
        <w:spacing w:after="40"/>
        <w:ind w:left="892"/>
      </w:pPr>
      <w:r>
        <w:rPr>
          <w:sz w:val="21"/>
          <w:szCs w:val="21"/>
        </w:rPr>
        <w:t xml:space="preserve">For questions about configuration, onboarding, or data migration, contact the firm's AssureOne implementation or account contact because the answer may depend on the firm's plan and rollout.</w:t>
      </w:r>
    </w:p>
    <w:p>
      <w:pPr>
        <w:spacing w:after="40" w:before="70"/>
        <w:ind w:left="403"/>
      </w:pPr>
      <w:r>
        <w:rPr>
          <w:color w:val="8B8FA3"/>
          <w:sz w:val="17"/>
          <w:szCs w:val="17"/>
        </w:rPr>
        <w:t xml:space="preserve">Ref: pro-what-support-channels-are-available-if-we-run-into-an-issue-9</w:t>
      </w:r>
    </w:p>
    <w:p>
      <w:pPr>
        <w:keepNext/>
        <w:spacing w:after="90" w:before="220"/>
      </w:pPr>
      <w:r>
        <w:rPr>
          <w:b/>
          <w:bCs/>
          <w:color w:val="1A1C2E"/>
          <w:sz w:val="24"/>
          <w:szCs w:val="24"/>
        </w:rPr>
        <w:t xml:space="preserve">9.   Is there an audit log of staff actions across the firm?</w:t>
      </w:r>
    </w:p>
    <w:p>
      <w:pPr>
        <w:spacing w:after="60"/>
        <w:ind w:left="403"/>
      </w:pPr>
      <w:r>
        <w:rPr>
          <w:sz w:val="22"/>
          <w:szCs w:val="22"/>
        </w:rPr>
        <w:t xml:space="preserve">Yes. The Overview dashboard's Recent activity area gives administrators firm-wide visibility into staff and client actions. Each entry identifies what happened, the person or record involved, and the time—for example, an invitation sent or accepted, a portal password set, a client login, or a contact update. Use it to confirm recent changes and understand who performed an action without opening every client record individually.</w:t>
      </w:r>
    </w:p>
    <w:p>
      <w:pPr>
        <w:spacing w:after="40" w:before="70"/>
        <w:ind w:left="403"/>
      </w:pPr>
      <w:r>
        <w:rPr>
          <w:color w:val="8B8FA3"/>
          <w:sz w:val="17"/>
          <w:szCs w:val="17"/>
        </w:rPr>
        <w:t xml:space="preserve">Ref: pro-is-there-an-audit-log-of-staff-actions-across-the-firm-10</w:t>
      </w:r>
    </w:p>
    <w:p>
      <w:r>
        <w:br w:type="page"/>
      </w:r>
    </w:p>
    <w:p>
      <w:pPr>
        <w:pStyle w:val="Heading1"/>
        <w:spacing w:after="40" w:before="60"/>
      </w:pPr>
      <w:r>
        <w:rPr>
          <w:b/>
          <w:bCs/>
          <w:color w:val="1A1C2E"/>
          <w:sz w:val="32"/>
          <w:szCs w:val="32"/>
        </w:rPr>
        <w:t xml:space="preserve">Dashboard</w:t>
      </w:r>
    </w:p>
    <w:p>
      <w:pPr>
        <w:pBdr>
          <w:bottom w:val="single" w:color="E4E2F0" w:sz="4"/>
        </w:pBdr>
        <w:spacing w:after="200"/>
      </w:pPr>
      <w:r>
        <w:rPr>
          <w:color w:val="8B8FA3"/>
          <w:sz w:val="20"/>
          <w:szCs w:val="20"/>
        </w:rPr>
        <w:t xml:space="preserve">11 questions</w:t>
      </w:r>
    </w:p>
    <w:p>
      <w:pPr>
        <w:keepNext/>
        <w:spacing w:after="90" w:before="220"/>
      </w:pPr>
      <w:r>
        <w:rPr>
          <w:b/>
          <w:bCs/>
          <w:color w:val="1A1C2E"/>
          <w:sz w:val="24"/>
          <w:szCs w:val="24"/>
        </w:rPr>
        <w:t xml:space="preserve">1.   What is on the AssurePro Overview?</w:t>
      </w:r>
    </w:p>
    <w:p>
      <w:pPr>
        <w:spacing w:after="60"/>
        <w:ind w:left="403"/>
      </w:pPr>
      <w:r>
        <w:rPr>
          <w:sz w:val="22"/>
          <w:szCs w:val="22"/>
        </w:rPr>
        <w:t xml:space="preserve">Overview is the firm's operating dashboard. It combines an AI-generated daily briefing with configurable tiles and widgets for clients, engagements, team load, engagement letters, bottlenecks, billing, workflow mix, review status, service-line performance, top clients, current tasks, recent activity, and key filing dates. The figures are actionable: for example, Clients opens the client list, Engagements and Bottlenecks open Workflow, Team load opens Team &amp; Roles, and the financial Report link opens Billing. Use Edit layout to choose and arrange the widgets most useful to the signed-in user.</w:t>
      </w:r>
    </w:p>
    <w:p>
      <w:pPr>
        <w:spacing w:after="40" w:before="70"/>
        <w:ind w:left="403"/>
      </w:pPr>
      <w:r>
        <w:rPr>
          <w:color w:val="8B8FA3"/>
          <w:sz w:val="17"/>
          <w:szCs w:val="17"/>
        </w:rPr>
        <w:t xml:space="preserve">Ref: pro-what-is-on-the-assurepro-overview-3</w:t>
      </w:r>
    </w:p>
    <w:p>
      <w:pPr>
        <w:keepNext/>
        <w:spacing w:after="90" w:before="220"/>
      </w:pPr>
      <w:r>
        <w:rPr>
          <w:b/>
          <w:bCs/>
          <w:color w:val="1A1C2E"/>
          <w:sz w:val="24"/>
          <w:szCs w:val="24"/>
        </w:rPr>
        <w:t xml:space="preserve">2.   Can the Overview dashboard be customized?</w:t>
      </w:r>
    </w:p>
    <w:p>
      <w:pPr>
        <w:spacing w:after="90"/>
        <w:ind w:left="403"/>
      </w:pPr>
      <w:r>
        <w:rPr>
          <w:sz w:val="22"/>
          <w:szCs w:val="22"/>
        </w:rPr>
        <w:t xml:space="preserve">Yes. Select Edit layout to add or remove available widgets, drag them into the preferred order, and save the layout. This changes how the available Overview information is arranged for the user.</w:t>
      </w:r>
    </w:p>
    <w:p>
      <w:pPr>
        <w:spacing w:after="90"/>
        <w:ind w:left="403"/>
      </w:pPr>
      <w:r>
        <w:rPr>
          <w:b/>
          <w:bCs/>
          <w:color w:val="4735BE"/>
          <w:sz w:val="18"/>
          <w:szCs w:val="18"/>
        </w:rPr>
        <w:t xml:space="preserve">More   </w:t>
      </w:r>
      <w:r>
        <w:rPr>
          <w:sz w:val="22"/>
          <w:szCs w:val="22"/>
        </w:rPr>
        <w:t xml:space="preserve">A user can keep operational cards such as Clients, Engagements, Bottlenecks, financial performance, deadlines, review queues, or recent activity in the order that best supports their role. Reset layout returns the dashboard to its standard arrangement if the customized version is no longer useful.</w:t>
      </w:r>
    </w:p>
    <w:p>
      <w:pPr>
        <w:spacing w:after="40" w:before="70"/>
        <w:ind w:left="403"/>
      </w:pPr>
      <w:r>
        <w:rPr>
          <w:color w:val="8B8FA3"/>
          <w:sz w:val="17"/>
          <w:szCs w:val="17"/>
        </w:rPr>
        <w:t xml:space="preserve">Ref: pro-can-the-overview-dashboard-be-customized-4</w:t>
      </w:r>
    </w:p>
    <w:p>
      <w:pPr>
        <w:keepNext/>
        <w:spacing w:after="90" w:before="220"/>
      </w:pPr>
      <w:r>
        <w:rPr>
          <w:b/>
          <w:bCs/>
          <w:color w:val="1A1C2E"/>
          <w:sz w:val="24"/>
          <w:szCs w:val="24"/>
        </w:rPr>
        <w:t xml:space="preserve">3.   What reports are available on Overview?</w:t>
      </w:r>
    </w:p>
    <w:p>
      <w:pPr>
        <w:spacing w:after="90"/>
        <w:ind w:left="403"/>
      </w:pPr>
      <w:r>
        <w:rPr>
          <w:sz w:val="22"/>
          <w:szCs w:val="22"/>
        </w:rPr>
        <w:t xml:space="preserve">Overview includes Revenue by service line, Hours logged monthly, A/R aging, Tasks completed monthly, Agreement funnel, Top clients by revenue, and Workflow stages. Workflow stages shows each stage's active and overdue counts, average days, and load.</w:t>
      </w:r>
    </w:p>
    <w:p>
      <w:pPr>
        <w:spacing w:after="90"/>
        <w:ind w:left="403"/>
      </w:pPr>
      <w:r>
        <w:rPr>
          <w:b/>
          <w:bCs/>
          <w:color w:val="4735BE"/>
          <w:sz w:val="18"/>
          <w:szCs w:val="18"/>
        </w:rPr>
        <w:t xml:space="preserve">More   </w:t>
      </w:r>
      <w:r>
        <w:rPr>
          <w:sz w:val="22"/>
          <w:szCs w:val="22"/>
        </w:rPr>
        <w:t xml:space="preserve">Revenue by service line explains where billed value comes from; Hours logged compares logged, billable, and billed time; A/R aging groups unpaid balances by age; Tasks completed shows operational throughput; Agreement funnel tracks signing; Top clients shows concentration; and Workflow stages shows volume, overdue work, age, and load.</w:t>
      </w:r>
    </w:p>
    <w:p>
      <w:pPr>
        <w:spacing w:after="40" w:before="70"/>
        <w:ind w:left="403"/>
      </w:pPr>
      <w:r>
        <w:rPr>
          <w:color w:val="8B8FA3"/>
          <w:sz w:val="17"/>
          <w:szCs w:val="17"/>
        </w:rPr>
        <w:t xml:space="preserve">Ref: pro-what-reports-are-available-on-overview-132</w:t>
      </w:r>
    </w:p>
    <w:p>
      <w:pPr>
        <w:keepNext/>
        <w:spacing w:after="90" w:before="220"/>
      </w:pPr>
      <w:r>
        <w:rPr>
          <w:b/>
          <w:bCs/>
          <w:color w:val="1A1C2E"/>
          <w:sz w:val="24"/>
          <w:szCs w:val="24"/>
        </w:rPr>
        <w:t xml:space="preserve">4.   What happens when I select Full report on an Overview card?</w:t>
      </w:r>
    </w:p>
    <w:p>
      <w:pPr>
        <w:spacing w:after="90"/>
        <w:ind w:left="403"/>
      </w:pPr>
      <w:r>
        <w:rPr>
          <w:sz w:val="22"/>
          <w:szCs w:val="22"/>
        </w:rPr>
        <w:t xml:space="preserve">Full report opens the related focused dashboard rather than expanding the card in place. For example, Full revenue report opens Revenue Snapshot, where the selected period, total revenue, revenue per billed client, existing-versus-new split, cross-sell measures, revenue mix, and service-line detail can be reviewed together.</w:t>
      </w:r>
    </w:p>
    <w:p>
      <w:pPr>
        <w:spacing w:after="90"/>
        <w:ind w:left="403"/>
      </w:pPr>
      <w:r>
        <w:rPr>
          <w:b/>
          <w:bCs/>
          <w:color w:val="4735BE"/>
          <w:sz w:val="18"/>
          <w:szCs w:val="18"/>
        </w:rPr>
        <w:t xml:space="preserve">More   </w:t>
      </w:r>
      <w:r>
        <w:rPr>
          <w:sz w:val="22"/>
          <w:szCs w:val="22"/>
        </w:rPr>
        <w:t xml:space="preserve">The focused dashboard keeps the report period controls and Export action while adding supporting metrics and breakdowns. For example, Revenue Snapshot goes beyond the service-line chart with revenue per billed client, existing versus new client revenue, cross-sell revenue, revenue mix, and detailed service-line performance.</w:t>
      </w:r>
    </w:p>
    <w:p>
      <w:pPr>
        <w:spacing w:after="40" w:before="70"/>
        <w:ind w:left="403"/>
      </w:pPr>
      <w:r>
        <w:rPr>
          <w:color w:val="8B8FA3"/>
          <w:sz w:val="17"/>
          <w:szCs w:val="17"/>
        </w:rPr>
        <w:t xml:space="preserve">Ref: pro-what-happens-when-i-select-full-report-on-an-overview-card-135</w:t>
      </w:r>
    </w:p>
    <w:p>
      <w:pPr>
        <w:keepNext/>
        <w:spacing w:after="90" w:before="220"/>
      </w:pPr>
      <w:r>
        <w:rPr>
          <w:b/>
          <w:bCs/>
          <w:color w:val="1A1C2E"/>
          <w:sz w:val="24"/>
          <w:szCs w:val="24"/>
        </w:rPr>
        <w:t xml:space="preserve">5.   What is available in My Report?</w:t>
      </w:r>
    </w:p>
    <w:p>
      <w:pPr>
        <w:spacing w:after="90"/>
        <w:ind w:left="403"/>
      </w:pPr>
      <w:r>
        <w:rPr>
          <w:sz w:val="22"/>
          <w:szCs w:val="22"/>
        </w:rPr>
        <w:t xml:space="preserve">My Report separates Starter dashboards, Shared with the firm, and My dashboards. Starter dashboards are curated and always available. Shared dashboards are published by an owner or administrator for everyone with report access. My dashboards contains the current user's saved dashboards built from Templates.</w:t>
      </w:r>
    </w:p>
    <w:p>
      <w:pPr>
        <w:spacing w:after="90"/>
        <w:ind w:left="403"/>
      </w:pPr>
      <w:r>
        <w:rPr>
          <w:b/>
          <w:bCs/>
          <w:color w:val="4735BE"/>
          <w:sz w:val="18"/>
          <w:szCs w:val="18"/>
        </w:rPr>
        <w:t xml:space="preserve">More   </w:t>
      </w:r>
      <w:r>
        <w:rPr>
          <w:sz w:val="22"/>
          <w:szCs w:val="22"/>
        </w:rPr>
        <w:t xml:space="preserve">Starter dashboards are maintained reference views; Shared with the firm contains dashboards published for all users with report access; My dashboards contains the signed-in user's private or owned work. The separation lets a firm keep standard management reporting while allowing personal analysis without changing everyone else's view.</w:t>
      </w:r>
    </w:p>
    <w:p>
      <w:pPr>
        <w:spacing w:after="40" w:before="70"/>
        <w:ind w:left="403"/>
      </w:pPr>
      <w:r>
        <w:rPr>
          <w:color w:val="8B8FA3"/>
          <w:sz w:val="17"/>
          <w:szCs w:val="17"/>
        </w:rPr>
        <w:t xml:space="preserve">Ref: pro-what-is-available-in-my-report-138</w:t>
      </w:r>
    </w:p>
    <w:p>
      <w:pPr>
        <w:keepNext/>
        <w:spacing w:after="90" w:before="220"/>
      </w:pPr>
      <w:r>
        <w:rPr>
          <w:b/>
          <w:bCs/>
          <w:color w:val="1A1C2E"/>
          <w:sz w:val="24"/>
          <w:szCs w:val="24"/>
        </w:rPr>
        <w:t xml:space="preserve">6.   Which starter dashboards are available?</w:t>
      </w:r>
    </w:p>
    <w:p>
      <w:pPr>
        <w:spacing w:after="90"/>
        <w:ind w:left="403"/>
      </w:pPr>
      <w:r>
        <w:rPr>
          <w:sz w:val="22"/>
          <w:szCs w:val="22"/>
        </w:rPr>
        <w:t xml:space="preserve">The starter dashboards are Revenue Snapshot, Client Health, Billing &amp; Collections, Agreement Pipeline, Workflow &amp; Capacity, Task Dashboard, Time &amp; Utilization, and Firm Pulse. Each combines a focused set of widgets for that operating question.</w:t>
      </w:r>
    </w:p>
    <w:p>
      <w:pPr>
        <w:spacing w:after="90"/>
        <w:ind w:left="403"/>
      </w:pPr>
      <w:r>
        <w:rPr>
          <w:b/>
          <w:bCs/>
          <w:color w:val="4735BE"/>
          <w:sz w:val="18"/>
          <w:szCs w:val="18"/>
        </w:rPr>
        <w:t xml:space="preserve">More   </w:t>
      </w:r>
      <w:r>
        <w:rPr>
          <w:sz w:val="22"/>
          <w:szCs w:val="22"/>
        </w:rPr>
        <w:t xml:space="preserve">Use Revenue Snapshot for growth and mix, Client Health for relationship attention, Billing &amp; Collections for receivables, Agreement Pipeline for signing progress, Workflow &amp; Capacity for delivery pressure, Task Dashboard for execution, Time &amp; Utilization for effort, and Firm Pulse for a broad operating summary.</w:t>
      </w:r>
    </w:p>
    <w:p>
      <w:pPr>
        <w:spacing w:after="40" w:before="70"/>
        <w:ind w:left="403"/>
      </w:pPr>
      <w:r>
        <w:rPr>
          <w:color w:val="8B8FA3"/>
          <w:sz w:val="17"/>
          <w:szCs w:val="17"/>
        </w:rPr>
        <w:t xml:space="preserve">Ref: pro-which-starter-dashboards-are-available-139</w:t>
      </w:r>
    </w:p>
    <w:p>
      <w:pPr>
        <w:keepNext/>
        <w:spacing w:after="90" w:before="220"/>
      </w:pPr>
      <w:r>
        <w:rPr>
          <w:b/>
          <w:bCs/>
          <w:color w:val="1A1C2E"/>
          <w:sz w:val="24"/>
          <w:szCs w:val="24"/>
        </w:rPr>
        <w:t xml:space="preserve">7.   How do I build a custom dashboard?</w:t>
      </w:r>
    </w:p>
    <w:p>
      <w:pPr>
        <w:spacing w:after="90"/>
        <w:ind w:left="403"/>
      </w:pPr>
      <w:r>
        <w:rPr>
          <w:sz w:val="22"/>
          <w:szCs w:val="22"/>
        </w:rPr>
        <w:t xml:space="preserve">Templates lets a user assemble a dashboard from individual report widgets. Save dashboard becomes available after at least one widget is selected.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Templates.</w:t>
      </w:r>
    </w:p>
    <w:p>
      <w:pPr>
        <w:pStyle w:val="ListParagraph"/>
        <w:numPr>
          <w:ilvl w:val="0"/>
          <w:numId w:val="2"/>
        </w:numPr>
        <w:spacing w:after="40"/>
        <w:ind w:left="892"/>
      </w:pPr>
      <w:r>
        <w:rPr>
          <w:sz w:val="21"/>
          <w:szCs w:val="21"/>
        </w:rPr>
        <w:t xml:space="preserve">Search for a widget or filter the library by category.</w:t>
      </w:r>
    </w:p>
    <w:p>
      <w:pPr>
        <w:pStyle w:val="ListParagraph"/>
        <w:numPr>
          <w:ilvl w:val="0"/>
          <w:numId w:val="2"/>
        </w:numPr>
        <w:spacing w:after="40"/>
        <w:ind w:left="892"/>
      </w:pPr>
      <w:r>
        <w:rPr>
          <w:sz w:val="21"/>
          <w:szCs w:val="21"/>
        </w:rPr>
        <w:t xml:space="preserve">Select the widgets needed for the dashboard.</w:t>
      </w:r>
    </w:p>
    <w:p>
      <w:pPr>
        <w:pStyle w:val="ListParagraph"/>
        <w:numPr>
          <w:ilvl w:val="0"/>
          <w:numId w:val="2"/>
        </w:numPr>
        <w:spacing w:after="40"/>
        <w:ind w:left="892"/>
      </w:pPr>
      <w:r>
        <w:rPr>
          <w:sz w:val="21"/>
          <w:szCs w:val="21"/>
        </w:rPr>
        <w:t xml:space="preserve">Review the selected widgets, which appear in selection order.</w:t>
      </w:r>
    </w:p>
    <w:p>
      <w:pPr>
        <w:pStyle w:val="ListParagraph"/>
        <w:numPr>
          <w:ilvl w:val="0"/>
          <w:numId w:val="2"/>
        </w:numPr>
        <w:spacing w:after="40"/>
        <w:ind w:left="892"/>
      </w:pPr>
      <w:r>
        <w:rPr>
          <w:sz w:val="21"/>
          <w:szCs w:val="21"/>
        </w:rPr>
        <w:t xml:space="preserve">Drag widgets into the preferred order and adjust their width or height where supported.</w:t>
      </w:r>
    </w:p>
    <w:p>
      <w:pPr>
        <w:pStyle w:val="ListParagraph"/>
        <w:numPr>
          <w:ilvl w:val="0"/>
          <w:numId w:val="2"/>
        </w:numPr>
        <w:spacing w:after="40"/>
        <w:ind w:left="892"/>
      </w:pPr>
      <w:r>
        <w:rPr>
          <w:sz w:val="21"/>
          <w:szCs w:val="21"/>
        </w:rPr>
        <w:t xml:space="preserve">Select Save dashboard.</w:t>
      </w:r>
    </w:p>
    <w:p>
      <w:pPr>
        <w:pStyle w:val="ListParagraph"/>
        <w:numPr>
          <w:ilvl w:val="0"/>
          <w:numId w:val="2"/>
        </w:numPr>
        <w:spacing w:after="40"/>
        <w:ind w:left="892"/>
      </w:pPr>
      <w:r>
        <w:rPr>
          <w:sz w:val="21"/>
          <w:szCs w:val="21"/>
        </w:rPr>
        <w:t xml:space="preserve">Enter a name and optional description, then decide whether to Share with the firm.</w:t>
      </w:r>
    </w:p>
    <w:p>
      <w:pPr>
        <w:pStyle w:val="ListParagraph"/>
        <w:numPr>
          <w:ilvl w:val="0"/>
          <w:numId w:val="2"/>
        </w:numPr>
        <w:spacing w:after="40"/>
        <w:ind w:left="892"/>
      </w:pPr>
      <w:r>
        <w:rPr>
          <w:sz w:val="21"/>
          <w:szCs w:val="21"/>
        </w:rPr>
        <w:t xml:space="preserve">Save the dashboard; a shared dashboard is visible to everyone with report access.</w:t>
      </w:r>
    </w:p>
    <w:p>
      <w:pPr>
        <w:spacing w:after="40" w:before="70"/>
        <w:ind w:left="403"/>
      </w:pPr>
      <w:r>
        <w:rPr>
          <w:color w:val="8B8FA3"/>
          <w:sz w:val="17"/>
          <w:szCs w:val="17"/>
        </w:rPr>
        <w:t xml:space="preserve">Ref: pro-how-do-i-build-a-custom-dashboard-140</w:t>
      </w:r>
    </w:p>
    <w:p>
      <w:pPr>
        <w:keepNext/>
        <w:spacing w:after="90" w:before="220"/>
      </w:pPr>
      <w:r>
        <w:rPr>
          <w:b/>
          <w:bCs/>
          <w:color w:val="1A1C2E"/>
          <w:sz w:val="24"/>
          <w:szCs w:val="24"/>
        </w:rPr>
        <w:t xml:space="preserve">8.   How can report widgets be arranged?</w:t>
      </w:r>
    </w:p>
    <w:p>
      <w:pPr>
        <w:spacing w:after="90"/>
        <w:ind w:left="403"/>
      </w:pPr>
      <w:r>
        <w:rPr>
          <w:sz w:val="22"/>
          <w:szCs w:val="22"/>
        </w:rPr>
        <w:t xml:space="preserve">Selected widgets can be dragged into a new order. The layout controls offer one-third, one-half, two-thirds, and full width, along with height adjustment where supported. A widget can also be moved or removed before the dashboard is saved.</w:t>
      </w:r>
    </w:p>
    <w:p>
      <w:pPr>
        <w:spacing w:after="90"/>
        <w:ind w:left="403"/>
      </w:pPr>
      <w:r>
        <w:rPr>
          <w:b/>
          <w:bCs/>
          <w:color w:val="4735BE"/>
          <w:sz w:val="18"/>
          <w:szCs w:val="18"/>
        </w:rPr>
        <w:t xml:space="preserve">More   </w:t>
      </w:r>
      <w:r>
        <w:rPr>
          <w:sz w:val="22"/>
          <w:szCs w:val="22"/>
        </w:rPr>
        <w:t xml:space="preserve">A headline metric can use one-third width beside related cards, while a detailed table can use Full width. After changing width or height, review the dashboard at the normal screen size and reorder widgets so the most important decision appears first rather than simply preserving selection order.</w:t>
      </w:r>
    </w:p>
    <w:p>
      <w:pPr>
        <w:spacing w:after="40" w:before="70"/>
        <w:ind w:left="403"/>
      </w:pPr>
      <w:r>
        <w:rPr>
          <w:color w:val="8B8FA3"/>
          <w:sz w:val="17"/>
          <w:szCs w:val="17"/>
        </w:rPr>
        <w:t xml:space="preserve">Ref: pro-how-can-report-widgets-be-arranged-141</w:t>
      </w:r>
    </w:p>
    <w:p>
      <w:pPr>
        <w:keepNext/>
        <w:spacing w:after="90" w:before="220"/>
      </w:pPr>
      <w:r>
        <w:rPr>
          <w:b/>
          <w:bCs/>
          <w:color w:val="1A1C2E"/>
          <w:sz w:val="24"/>
          <w:szCs w:val="24"/>
        </w:rPr>
        <w:t xml:space="preserve">9.   How do I share or manage a custom dashboard?</w:t>
      </w:r>
    </w:p>
    <w:p>
      <w:pPr>
        <w:spacing w:after="90"/>
        <w:ind w:left="403"/>
      </w:pPr>
      <w:r>
        <w:rPr>
          <w:sz w:val="22"/>
          <w:szCs w:val="22"/>
        </w:rPr>
        <w:t xml:space="preserve">When saving, enable Share with the firm to make the dashboard visible to everyone with report access; only owners and administrators can edit shared dashboards. Dashboard actions include Edit widgets, Rename, Duplicate to my dashboards, Make private, and Delete. Starter dashboards can be duplicated into My dashboards before customization.</w:t>
      </w:r>
    </w:p>
    <w:p>
      <w:pPr>
        <w:spacing w:after="90"/>
        <w:ind w:left="403"/>
      </w:pPr>
      <w:r>
        <w:rPr>
          <w:b/>
          <w:bCs/>
          <w:color w:val="4735BE"/>
          <w:sz w:val="18"/>
          <w:szCs w:val="18"/>
        </w:rPr>
        <w:t xml:space="preserve">More   </w:t>
      </w:r>
      <w:r>
        <w:rPr>
          <w:sz w:val="22"/>
          <w:szCs w:val="22"/>
        </w:rPr>
        <w:t xml:space="preserve">Use Duplicate to my dashboards before experimenting with a starter or shared view. Rename it for the management question it answers, edit widgets, and enable Share with the firm only when the content is ready; Make private withdraws a shared dashboard without deleting it, while Delete removes it.</w:t>
      </w:r>
    </w:p>
    <w:p>
      <w:pPr>
        <w:spacing w:after="40" w:before="70"/>
        <w:ind w:left="403"/>
      </w:pPr>
      <w:r>
        <w:rPr>
          <w:color w:val="8B8FA3"/>
          <w:sz w:val="17"/>
          <w:szCs w:val="17"/>
        </w:rPr>
        <w:t xml:space="preserve">Ref: pro-how-do-i-share-or-manage-a-custom-dashboard-142</w:t>
      </w:r>
    </w:p>
    <w:p>
      <w:pPr>
        <w:keepNext/>
        <w:spacing w:after="90" w:before="220"/>
      </w:pPr>
      <w:r>
        <w:rPr>
          <w:b/>
          <w:bCs/>
          <w:color w:val="1A1C2E"/>
          <w:sz w:val="24"/>
          <w:szCs w:val="24"/>
        </w:rPr>
        <w:t xml:space="preserve">10.   Which report-widget categories can I use?</w:t>
      </w:r>
    </w:p>
    <w:p>
      <w:pPr>
        <w:spacing w:after="90"/>
        <w:ind w:left="403"/>
      </w:pPr>
      <w:r>
        <w:rPr>
          <w:sz w:val="22"/>
          <w:szCs w:val="22"/>
        </w:rPr>
        <w:t xml:space="preserve">Templates groups widgets into Revenue, Clients, Workflow, Tasks, Time, Billing, and Agreements. The library includes headline metrics, trend charts, mixes and ageing reports, assignee and client breakdowns, operational lists, and budget-versus-actual views appropriate to each category.</w:t>
      </w:r>
    </w:p>
    <w:p>
      <w:pPr>
        <w:spacing w:after="90"/>
        <w:ind w:left="403"/>
      </w:pPr>
      <w:r>
        <w:rPr>
          <w:b/>
          <w:bCs/>
          <w:color w:val="4735BE"/>
          <w:sz w:val="18"/>
          <w:szCs w:val="18"/>
        </w:rPr>
        <w:t xml:space="preserve">More   </w:t>
      </w:r>
      <w:r>
        <w:rPr>
          <w:sz w:val="22"/>
          <w:szCs w:val="22"/>
        </w:rPr>
        <w:t xml:space="preserve">For example, combine Total revenue from Revenue, New clients from Clients, Stage ageing from Workflow, Overdue tasks from Tasks, Utilization from Time, A/R ageing from Billing, and Agreement funnel from Agreements. Search finds a known widget; category filters are better for exploring related measures.</w:t>
      </w:r>
    </w:p>
    <w:p>
      <w:pPr>
        <w:spacing w:after="40" w:before="70"/>
        <w:ind w:left="403"/>
      </w:pPr>
      <w:r>
        <w:rPr>
          <w:color w:val="8B8FA3"/>
          <w:sz w:val="17"/>
          <w:szCs w:val="17"/>
        </w:rPr>
        <w:t xml:space="preserve">Ref: pro-which-report-widget-categories-can-i-use-143</w:t>
      </w:r>
    </w:p>
    <w:p>
      <w:pPr>
        <w:keepNext/>
        <w:spacing w:after="90" w:before="220"/>
      </w:pPr>
      <w:r>
        <w:rPr>
          <w:b/>
          <w:bCs/>
          <w:color w:val="1A1C2E"/>
          <w:sz w:val="24"/>
          <w:szCs w:val="24"/>
        </w:rPr>
        <w:t xml:space="preserve">11.   How does the dashboard help identify work needing attention?</w:t>
      </w:r>
    </w:p>
    <w:p>
      <w:pPr>
        <w:spacing w:after="90"/>
        <w:ind w:left="403"/>
      </w:pPr>
      <w:r>
        <w:rPr>
          <w:sz w:val="22"/>
          <w:szCs w:val="22"/>
        </w:rPr>
        <w:t xml:space="preserve">Dashboard tiles highlight due-this-week and past-due engagements, engagement letters awaiting action, stalled work, team workload, overdue tasks, review queues, receivables, and key filing dates. Each major tile links to the underlying operational screen.</w:t>
      </w:r>
    </w:p>
    <w:p>
      <w:pPr>
        <w:spacing w:after="90"/>
        <w:ind w:left="403"/>
      </w:pPr>
      <w:r>
        <w:rPr>
          <w:b/>
          <w:bCs/>
          <w:color w:val="4735BE"/>
          <w:sz w:val="18"/>
          <w:szCs w:val="18"/>
        </w:rPr>
        <w:t xml:space="preserve">More   </w:t>
      </w:r>
      <w:r>
        <w:rPr>
          <w:sz w:val="22"/>
          <w:szCs w:val="22"/>
        </w:rPr>
        <w:t xml:space="preserve">For example, an overdue-invoice card leads to Billing, a stalled-engagement or bottleneck card leads to Workflow, an awaiting-signature metric leads to Engagement Letter, and a team-load alert leads to Team &amp; Roles. The dashboard is therefore a starting queue, not only a static summary.</w:t>
      </w:r>
    </w:p>
    <w:p>
      <w:pPr>
        <w:spacing w:after="40" w:before="70"/>
        <w:ind w:left="403"/>
      </w:pPr>
      <w:r>
        <w:rPr>
          <w:color w:val="8B8FA3"/>
          <w:sz w:val="17"/>
          <w:szCs w:val="17"/>
        </w:rPr>
        <w:t xml:space="preserve">Ref: pro-how-does-the-dashboard-help-identify-work-needing-attention-145</w:t>
      </w:r>
    </w:p>
    <w:p>
      <w:r>
        <w:br w:type="page"/>
      </w:r>
    </w:p>
    <w:p>
      <w:pPr>
        <w:pStyle w:val="Heading1"/>
        <w:spacing w:after="40" w:before="60"/>
      </w:pPr>
      <w:r>
        <w:rPr>
          <w:b/>
          <w:bCs/>
          <w:color w:val="1A1C2E"/>
          <w:sz w:val="32"/>
          <w:szCs w:val="32"/>
        </w:rPr>
        <w:t xml:space="preserve">Settings</w:t>
      </w:r>
    </w:p>
    <w:p>
      <w:pPr>
        <w:pBdr>
          <w:bottom w:val="single" w:color="E4E2F0" w:sz="4"/>
        </w:pBdr>
        <w:spacing w:after="200"/>
      </w:pPr>
      <w:r>
        <w:rPr>
          <w:color w:val="8B8FA3"/>
          <w:sz w:val="20"/>
          <w:szCs w:val="20"/>
        </w:rPr>
        <w:t xml:space="preserve">20 questions</w:t>
      </w:r>
    </w:p>
    <w:p>
      <w:pPr>
        <w:keepNext/>
        <w:spacing w:after="90" w:before="220"/>
      </w:pPr>
      <w:r>
        <w:rPr>
          <w:b/>
          <w:bCs/>
          <w:color w:val="1A1C2E"/>
          <w:sz w:val="24"/>
          <w:szCs w:val="24"/>
        </w:rPr>
        <w:t xml:space="preserve">1.   What is included in AssurePro Settings?</w:t>
      </w:r>
    </w:p>
    <w:p>
      <w:pPr>
        <w:spacing w:after="90"/>
        <w:ind w:left="403"/>
      </w:pPr>
      <w:r>
        <w:rPr>
          <w:sz w:val="22"/>
          <w:szCs w:val="22"/>
        </w:rPr>
        <w:t xml:space="preserve">Settings is the firm's central configuration area, organized into five groups so administrators can move from firm setup to day-to-day operating controls.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Firm: maintain Firm Profile, Client Portal, and Team &amp; Roles, including branding, portal access, members, teams, roles, and permissions.</w:t>
      </w:r>
    </w:p>
    <w:p>
      <w:pPr>
        <w:pStyle w:val="ListParagraph"/>
        <w:numPr>
          <w:ilvl w:val="0"/>
          <w:numId w:val="2"/>
        </w:numPr>
        <w:spacing w:after="40"/>
        <w:ind w:left="892"/>
      </w:pPr>
      <w:r>
        <w:rPr>
          <w:sz w:val="21"/>
          <w:szCs w:val="21"/>
        </w:rPr>
        <w:t xml:space="preserve">Work: configure Engagement Types, Workflow, Firm SOP, Documents, Tags, and Onboarding Defaults so new clients and engagements begin with the correct structure.</w:t>
      </w:r>
    </w:p>
    <w:p>
      <w:pPr>
        <w:pStyle w:val="ListParagraph"/>
        <w:numPr>
          <w:ilvl w:val="0"/>
          <w:numId w:val="2"/>
        </w:numPr>
        <w:spacing w:after="40"/>
        <w:ind w:left="892"/>
      </w:pPr>
      <w:r>
        <w:rPr>
          <w:sz w:val="21"/>
          <w:szCs w:val="21"/>
        </w:rPr>
        <w:t xml:space="preserve">Money: manage Billing &amp; Payments, AI Credits, and Platform Subscription.</w:t>
      </w:r>
    </w:p>
    <w:p>
      <w:pPr>
        <w:pStyle w:val="ListParagraph"/>
        <w:numPr>
          <w:ilvl w:val="0"/>
          <w:numId w:val="2"/>
        </w:numPr>
        <w:spacing w:after="40"/>
        <w:ind w:left="892"/>
      </w:pPr>
      <w:r>
        <w:rPr>
          <w:sz w:val="21"/>
          <w:szCs w:val="21"/>
        </w:rPr>
        <w:t xml:space="preserve">Communication: configure Notifications &amp; Email, Email Templates, Reminders, Phone Numbers, and Email Log.</w:t>
      </w:r>
    </w:p>
    <w:p>
      <w:pPr>
        <w:pStyle w:val="ListParagraph"/>
        <w:numPr>
          <w:ilvl w:val="0"/>
          <w:numId w:val="2"/>
        </w:numPr>
        <w:spacing w:after="40"/>
        <w:ind w:left="892"/>
      </w:pPr>
      <w:r>
        <w:rPr>
          <w:sz w:val="21"/>
          <w:szCs w:val="21"/>
        </w:rPr>
        <w:t xml:space="preserve">Access: manage Integrations, Tax Connector, Security, and Firm Credentials.</w:t>
      </w:r>
    </w:p>
    <w:p>
      <w:pPr>
        <w:pStyle w:val="ListParagraph"/>
        <w:numPr>
          <w:ilvl w:val="0"/>
          <w:numId w:val="2"/>
        </w:numPr>
        <w:spacing w:after="40"/>
        <w:ind w:left="892"/>
      </w:pPr>
      <w:r>
        <w:rPr>
          <w:sz w:val="21"/>
          <w:szCs w:val="21"/>
        </w:rPr>
        <w:t xml:space="preserve">Use Search settings when the destination is known; selecting a result opens the corresponding configuration page without changing the underlying group structure.</w:t>
      </w:r>
    </w:p>
    <w:p>
      <w:pPr>
        <w:spacing w:after="40" w:before="70"/>
        <w:ind w:left="403"/>
      </w:pPr>
      <w:r>
        <w:rPr>
          <w:color w:val="8B8FA3"/>
          <w:sz w:val="17"/>
          <w:szCs w:val="17"/>
        </w:rPr>
        <w:t xml:space="preserve">Also in Settings   ·   Ref: pro-what-is-included-in-assurepro-settings-11</w:t>
      </w:r>
    </w:p>
    <w:p>
      <w:pPr>
        <w:keepNext/>
        <w:spacing w:after="90" w:before="220"/>
      </w:pPr>
      <w:r>
        <w:rPr>
          <w:b/>
          <w:bCs/>
          <w:color w:val="1A1C2E"/>
          <w:sz w:val="24"/>
          <w:szCs w:val="24"/>
        </w:rPr>
        <w:t xml:space="preserve">2.   How do I find a particular setting?</w:t>
      </w:r>
    </w:p>
    <w:p>
      <w:pPr>
        <w:spacing w:after="90"/>
        <w:ind w:left="403"/>
      </w:pPr>
      <w:r>
        <w:rPr>
          <w:sz w:val="22"/>
          <w:szCs w:val="22"/>
        </w:rPr>
        <w:t xml:space="preserve">Settings has 21 destinations grouped under Firm, Work, Money, Communication, and Access.</w:t>
      </w:r>
    </w:p>
    <w:p>
      <w:pPr>
        <w:spacing w:after="90"/>
        <w:ind w:left="403"/>
      </w:pPr>
      <w:r>
        <w:rPr>
          <w:b/>
          <w:bCs/>
          <w:color w:val="4735BE"/>
          <w:sz w:val="18"/>
          <w:szCs w:val="18"/>
        </w:rPr>
        <w:t xml:space="preserve">More   </w:t>
      </w:r>
      <w:r>
        <w:rPr>
          <w:sz w:val="22"/>
          <w:szCs w:val="22"/>
        </w:rPr>
        <w:t xml:space="preserve">Search Settings matches the destination names in the left navigation; selecting a result opens the corresponding configuration page. For example, search “reminders” for automated follow-up schedules or “credentials” for the encrypted firm credential store.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from the Admin area of the main navigation.</w:t>
      </w:r>
    </w:p>
    <w:p>
      <w:pPr>
        <w:pStyle w:val="ListParagraph"/>
        <w:numPr>
          <w:ilvl w:val="0"/>
          <w:numId w:val="2"/>
        </w:numPr>
        <w:spacing w:after="40"/>
        <w:ind w:left="892"/>
      </w:pPr>
      <w:r>
        <w:rPr>
          <w:sz w:val="21"/>
          <w:szCs w:val="21"/>
        </w:rPr>
        <w:t xml:space="preserve">Enter a term in Search settings, or scan the five setting groups.</w:t>
      </w:r>
    </w:p>
    <w:p>
      <w:pPr>
        <w:pStyle w:val="ListParagraph"/>
        <w:numPr>
          <w:ilvl w:val="0"/>
          <w:numId w:val="2"/>
        </w:numPr>
        <w:spacing w:after="40"/>
        <w:ind w:left="892"/>
      </w:pPr>
      <w:r>
        <w:rPr>
          <w:sz w:val="21"/>
          <w:szCs w:val="21"/>
        </w:rPr>
        <w:t xml:space="preserve">Choose the matching destination; for example, Documents under Work or Notifications &amp; Email under Communication.</w:t>
      </w:r>
    </w:p>
    <w:p>
      <w:pPr>
        <w:spacing w:after="40" w:before="70"/>
        <w:ind w:left="403"/>
      </w:pPr>
      <w:r>
        <w:rPr>
          <w:color w:val="8B8FA3"/>
          <w:sz w:val="17"/>
          <w:szCs w:val="17"/>
        </w:rPr>
        <w:t xml:space="preserve">Also in Settings   ·   Ref: pro-how-do-i-find-a-particular-setting-12</w:t>
      </w:r>
    </w:p>
    <w:p>
      <w:pPr>
        <w:keepNext/>
        <w:spacing w:after="90" w:before="220"/>
      </w:pPr>
      <w:r>
        <w:rPr>
          <w:b/>
          <w:bCs/>
          <w:color w:val="1A1C2E"/>
          <w:sz w:val="24"/>
          <w:szCs w:val="24"/>
        </w:rPr>
        <w:t xml:space="preserve">3.   What should an administrator configure first?</w:t>
      </w:r>
    </w:p>
    <w:p>
      <w:pPr>
        <w:spacing w:after="90"/>
        <w:ind w:left="403"/>
      </w:pPr>
      <w:r>
        <w:rPr>
          <w:sz w:val="22"/>
          <w:szCs w:val="22"/>
        </w:rPr>
        <w:t xml:space="preserve">A practical setup order is Firm Profile, Team &amp; Roles, Engagement Types, Workflow, Documents, Tags, and Onboarding Defaults. Then configure money, communication, integrations, and access settings that apply to the firm's rollout.</w:t>
      </w:r>
    </w:p>
    <w:p>
      <w:pPr>
        <w:spacing w:after="90"/>
        <w:ind w:left="403"/>
      </w:pPr>
      <w:r>
        <w:rPr>
          <w:b/>
          <w:bCs/>
          <w:color w:val="4735BE"/>
          <w:sz w:val="18"/>
          <w:szCs w:val="18"/>
        </w:rPr>
        <w:t xml:space="preserve">More   </w:t>
      </w:r>
      <w:r>
        <w:rPr>
          <w:sz w:val="22"/>
          <w:szCs w:val="22"/>
        </w:rPr>
        <w:t xml:space="preserve">This order follows the dependencies in normal work: the firm identity and people come first, engagement types and workflows define delivery, document and onboarding defaults standardize new clients, and integrations enable email, storage, SMS, payments, calendars, and accounting. Test one internal or demo client from onboarding through billing before applying the configuration broadly.</w:t>
      </w:r>
    </w:p>
    <w:p>
      <w:pPr>
        <w:spacing w:after="40" w:before="70"/>
        <w:ind w:left="403"/>
      </w:pPr>
      <w:r>
        <w:rPr>
          <w:color w:val="8B8FA3"/>
          <w:sz w:val="17"/>
          <w:szCs w:val="17"/>
        </w:rPr>
        <w:t xml:space="preserve">Also in Settings   ·   Ref: pro-what-should-an-administrator-configure-first-13</w:t>
      </w:r>
    </w:p>
    <w:p>
      <w:pPr>
        <w:keepNext/>
        <w:spacing w:after="90" w:before="220"/>
      </w:pPr>
      <w:r>
        <w:rPr>
          <w:b/>
          <w:bCs/>
          <w:color w:val="1A1C2E"/>
          <w:sz w:val="24"/>
          <w:szCs w:val="24"/>
        </w:rPr>
        <w:t xml:space="preserve">4.   What can we maintain in Firm Profile?</w:t>
      </w:r>
    </w:p>
    <w:p>
      <w:pPr>
        <w:spacing w:after="90"/>
        <w:ind w:left="403"/>
      </w:pPr>
      <w:r>
        <w:rPr>
          <w:sz w:val="22"/>
          <w:szCs w:val="22"/>
        </w:rPr>
        <w:t xml:space="preserve">Firm Profile contains the firm logo, contact information, mailing address, registration identifier, and portal branding. The logo field accepts PNG, JPG, WEBP, or SVG files up to 1 MB with a minimum 256×256 size, and the page provides primary and accent color choices.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Profile.</w:t>
      </w:r>
    </w:p>
    <w:p>
      <w:pPr>
        <w:pStyle w:val="ListParagraph"/>
        <w:numPr>
          <w:ilvl w:val="0"/>
          <w:numId w:val="2"/>
        </w:numPr>
        <w:spacing w:after="40"/>
        <w:ind w:left="892"/>
      </w:pPr>
      <w:r>
        <w:rPr>
          <w:sz w:val="21"/>
          <w:szCs w:val="21"/>
        </w:rPr>
        <w:t xml:space="preserve">Upload, preview, or remove the firm logo.</w:t>
      </w:r>
    </w:p>
    <w:p>
      <w:pPr>
        <w:pStyle w:val="ListParagraph"/>
        <w:numPr>
          <w:ilvl w:val="0"/>
          <w:numId w:val="2"/>
        </w:numPr>
        <w:spacing w:after="40"/>
        <w:ind w:left="892"/>
      </w:pPr>
      <w:r>
        <w:rPr>
          <w:sz w:val="21"/>
          <w:szCs w:val="21"/>
        </w:rPr>
        <w:t xml:space="preserve">Review the firm name, phone, email, website, mailing address, and EIN.</w:t>
      </w:r>
    </w:p>
    <w:p>
      <w:pPr>
        <w:pStyle w:val="ListParagraph"/>
        <w:numPr>
          <w:ilvl w:val="0"/>
          <w:numId w:val="2"/>
        </w:numPr>
        <w:spacing w:after="40"/>
        <w:ind w:left="892"/>
      </w:pPr>
      <w:r>
        <w:rPr>
          <w:sz w:val="21"/>
          <w:szCs w:val="21"/>
        </w:rPr>
        <w:t xml:space="preserve">Choose the primary and accent colors used on the portal, emails, and documents.</w:t>
      </w:r>
    </w:p>
    <w:p>
      <w:pPr>
        <w:pStyle w:val="ListParagraph"/>
        <w:numPr>
          <w:ilvl w:val="0"/>
          <w:numId w:val="2"/>
        </w:numPr>
        <w:spacing w:after="40"/>
        <w:ind w:left="892"/>
      </w:pPr>
      <w:r>
        <w:rPr>
          <w:sz w:val="21"/>
          <w:szCs w:val="21"/>
        </w:rPr>
        <w:t xml:space="preserve">Use the client-facing preview to confirm how the firm identity will appear; the page indicates when all changes are saved.</w:t>
      </w:r>
    </w:p>
    <w:p>
      <w:pPr>
        <w:spacing w:after="40" w:before="70"/>
        <w:ind w:left="403"/>
      </w:pPr>
      <w:r>
        <w:rPr>
          <w:color w:val="8B8FA3"/>
          <w:sz w:val="17"/>
          <w:szCs w:val="17"/>
        </w:rPr>
        <w:t xml:space="preserve">Also in Settings   ·   Ref: pro-what-can-we-maintain-in-firm-profile-14</w:t>
      </w:r>
    </w:p>
    <w:p>
      <w:pPr>
        <w:keepNext/>
        <w:spacing w:after="90" w:before="220"/>
      </w:pPr>
      <w:r>
        <w:rPr>
          <w:b/>
          <w:bCs/>
          <w:color w:val="1A1C2E"/>
          <w:sz w:val="24"/>
          <w:szCs w:val="24"/>
        </w:rPr>
        <w:t xml:space="preserve">5.   How is the client portal address configured?</w:t>
      </w:r>
    </w:p>
    <w:p>
      <w:pPr>
        <w:spacing w:after="90"/>
        <w:ind w:left="403"/>
      </w:pPr>
      <w:r>
        <w:rPr>
          <w:sz w:val="22"/>
          <w:szCs w:val="22"/>
        </w:rPr>
        <w:t xml:space="preserve">Client Portal controls the always-on AssurePro address and supports a branded custom domain. The default slug accepts lowercase letters, numbers, and hyphens up to 63 characters, and availability is checked when it is saved.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Client Portal.</w:t>
      </w:r>
    </w:p>
    <w:p>
      <w:pPr>
        <w:pStyle w:val="ListParagraph"/>
        <w:numPr>
          <w:ilvl w:val="0"/>
          <w:numId w:val="2"/>
        </w:numPr>
        <w:spacing w:after="40"/>
        <w:ind w:left="892"/>
      </w:pPr>
      <w:r>
        <w:rPr>
          <w:sz w:val="21"/>
          <w:szCs w:val="21"/>
        </w:rPr>
        <w:t xml:space="preserve">Enter the required Portal URL slug and select Save URL.</w:t>
      </w:r>
    </w:p>
    <w:p>
      <w:pPr>
        <w:pStyle w:val="ListParagraph"/>
        <w:numPr>
          <w:ilvl w:val="0"/>
          <w:numId w:val="2"/>
        </w:numPr>
        <w:spacing w:after="40"/>
        <w:ind w:left="892"/>
      </w:pPr>
      <w:r>
        <w:rPr>
          <w:sz w:val="21"/>
          <w:szCs w:val="21"/>
        </w:rPr>
        <w:t xml:space="preserve">Use Copy beside Current default URL when sharing the active address.</w:t>
      </w:r>
    </w:p>
    <w:p>
      <w:pPr>
        <w:pStyle w:val="ListParagraph"/>
        <w:numPr>
          <w:ilvl w:val="0"/>
          <w:numId w:val="2"/>
        </w:numPr>
        <w:spacing w:after="40"/>
        <w:ind w:left="892"/>
      </w:pPr>
      <w:r>
        <w:rPr>
          <w:sz w:val="21"/>
          <w:szCs w:val="21"/>
        </w:rPr>
        <w:t xml:space="preserve">To use a branded address, enter a domain such as portal.yourfirm.com and select Add domain.</w:t>
      </w:r>
    </w:p>
    <w:p>
      <w:pPr>
        <w:pStyle w:val="ListParagraph"/>
        <w:numPr>
          <w:ilvl w:val="0"/>
          <w:numId w:val="2"/>
        </w:numPr>
        <w:spacing w:after="40"/>
        <w:ind w:left="892"/>
      </w:pPr>
      <w:r>
        <w:rPr>
          <w:sz w:val="21"/>
          <w:szCs w:val="21"/>
        </w:rPr>
        <w:t xml:space="preserve">Continue using the active standard portal route until AssurePro shows that the custom domain has passed activation.</w:t>
      </w:r>
    </w:p>
    <w:p>
      <w:pPr>
        <w:spacing w:after="40" w:before="70"/>
        <w:ind w:left="403"/>
      </w:pPr>
      <w:r>
        <w:rPr>
          <w:color w:val="8B8FA3"/>
          <w:sz w:val="17"/>
          <w:szCs w:val="17"/>
        </w:rPr>
        <w:t xml:space="preserve">Also in Settings   ·   Ref: pro-how-is-the-client-portal-address-configured-15</w:t>
      </w:r>
    </w:p>
    <w:p>
      <w:pPr>
        <w:keepNext/>
        <w:spacing w:after="90" w:before="220"/>
      </w:pPr>
      <w:r>
        <w:rPr>
          <w:b/>
          <w:bCs/>
          <w:color w:val="1A1C2E"/>
          <w:sz w:val="24"/>
          <w:szCs w:val="24"/>
        </w:rPr>
        <w:t xml:space="preserve">6.   How are teams, members, invitations, and roles managed?</w:t>
      </w:r>
    </w:p>
    <w:p>
      <w:pPr>
        <w:spacing w:after="90"/>
        <w:ind w:left="403"/>
      </w:pPr>
      <w:r>
        <w:rPr>
          <w:sz w:val="22"/>
          <w:szCs w:val="22"/>
        </w:rPr>
        <w:t xml:space="preserve">Team &amp; Roles has Teams, Members, and Invitations tabs. Teams define access and shared operating defaults; Members shows each user's product access, team or role, status, and permission count; Invitations records the team invited, date sent, and pending, accepted, or cancelled status.</w:t>
      </w:r>
    </w:p>
    <w:p>
      <w:pPr>
        <w:spacing w:after="90"/>
        <w:ind w:left="403"/>
      </w:pPr>
      <w:r>
        <w:rPr>
          <w:b/>
          <w:bCs/>
          <w:color w:val="4735BE"/>
          <w:sz w:val="18"/>
          <w:szCs w:val="18"/>
        </w:rPr>
        <w:t xml:space="preserve">More   </w:t>
      </w:r>
      <w:r>
        <w:rPr>
          <w:sz w:val="22"/>
          <w:szCs w:val="22"/>
        </w:rPr>
        <w:t xml:space="preserve">Teams group people for assignment and workload visibility; Members lists active users, product access, role, status, and permission count; Invitations shows pending access; and Roles define reusable permission sets. Use the product selector when checking access because a person may have AssurePro access but different access in AssureTax, AssureAudit, or AssureBooks.</w:t>
      </w:r>
    </w:p>
    <w:p>
      <w:pPr>
        <w:spacing w:after="40" w:before="70"/>
        <w:ind w:left="403"/>
      </w:pPr>
      <w:r>
        <w:rPr>
          <w:color w:val="8B8FA3"/>
          <w:sz w:val="17"/>
          <w:szCs w:val="17"/>
        </w:rPr>
        <w:t xml:space="preserve">Also in Settings   ·   Ref: pro-how-are-teams-members-invitations-and-roles-managed-16</w:t>
      </w:r>
    </w:p>
    <w:p>
      <w:pPr>
        <w:keepNext/>
        <w:spacing w:after="90" w:before="220"/>
      </w:pPr>
      <w:r>
        <w:rPr>
          <w:b/>
          <w:bCs/>
          <w:color w:val="1A1C2E"/>
          <w:sz w:val="24"/>
          <w:szCs w:val="24"/>
        </w:rPr>
        <w:t xml:space="preserve">7.   What can be configured for a team?</w:t>
      </w:r>
    </w:p>
    <w:p>
      <w:pPr>
        <w:spacing w:after="90"/>
        <w:ind w:left="403"/>
      </w:pPr>
      <w:r>
        <w:rPr>
          <w:sz w:val="22"/>
          <w:szCs w:val="22"/>
        </w:rPr>
        <w:t xml:space="preserve">A team has a name, description, optional standard hourly rate, optional per-member AI credit allowance, client-access scope, members, and permissions. Access all clients lets the team bypass per-client assignment; otherwise access follows the firm's assignments.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Team &amp; Roles and choose Teams.</w:t>
      </w:r>
    </w:p>
    <w:p>
      <w:pPr>
        <w:pStyle w:val="ListParagraph"/>
        <w:numPr>
          <w:ilvl w:val="0"/>
          <w:numId w:val="2"/>
        </w:numPr>
        <w:spacing w:after="40"/>
        <w:ind w:left="892"/>
      </w:pPr>
      <w:r>
        <w:rPr>
          <w:sz w:val="21"/>
          <w:szCs w:val="21"/>
        </w:rPr>
        <w:t xml:space="preserve">Select New team, or open Manage on an existing non-system team.</w:t>
      </w:r>
    </w:p>
    <w:p>
      <w:pPr>
        <w:pStyle w:val="ListParagraph"/>
        <w:numPr>
          <w:ilvl w:val="0"/>
          <w:numId w:val="2"/>
        </w:numPr>
        <w:spacing w:after="40"/>
        <w:ind w:left="892"/>
      </w:pPr>
      <w:r>
        <w:rPr>
          <w:sz w:val="21"/>
          <w:szCs w:val="21"/>
        </w:rPr>
        <w:t xml:space="preserve">Set the team name and description.</w:t>
      </w:r>
    </w:p>
    <w:p>
      <w:pPr>
        <w:pStyle w:val="ListParagraph"/>
        <w:numPr>
          <w:ilvl w:val="0"/>
          <w:numId w:val="2"/>
        </w:numPr>
        <w:spacing w:after="40"/>
        <w:ind w:left="892"/>
      </w:pPr>
      <w:r>
        <w:rPr>
          <w:sz w:val="21"/>
          <w:szCs w:val="21"/>
        </w:rPr>
        <w:t xml:space="preserve">Optionally set the standard hourly rate used when pricing logged time and an AI credit allowance for each member.</w:t>
      </w:r>
    </w:p>
    <w:p>
      <w:pPr>
        <w:pStyle w:val="ListParagraph"/>
        <w:numPr>
          <w:ilvl w:val="0"/>
          <w:numId w:val="2"/>
        </w:numPr>
        <w:spacing w:after="40"/>
        <w:ind w:left="892"/>
      </w:pPr>
      <w:r>
        <w:rPr>
          <w:sz w:val="21"/>
          <w:szCs w:val="21"/>
        </w:rPr>
        <w:t xml:space="preserve">Choose whether the team can access all clients.</w:t>
      </w:r>
    </w:p>
    <w:p>
      <w:pPr>
        <w:pStyle w:val="ListParagraph"/>
        <w:numPr>
          <w:ilvl w:val="0"/>
          <w:numId w:val="2"/>
        </w:numPr>
        <w:spacing w:after="40"/>
        <w:ind w:left="892"/>
      </w:pPr>
      <w:r>
        <w:rPr>
          <w:sz w:val="21"/>
          <w:szCs w:val="21"/>
        </w:rPr>
        <w:t xml:space="preserve">Select team members and configure the required permission groups.</w:t>
      </w:r>
    </w:p>
    <w:p>
      <w:pPr>
        <w:pStyle w:val="ListParagraph"/>
        <w:numPr>
          <w:ilvl w:val="0"/>
          <w:numId w:val="2"/>
        </w:numPr>
        <w:spacing w:after="40"/>
        <w:ind w:left="892"/>
      </w:pPr>
      <w:r>
        <w:rPr>
          <w:sz w:val="21"/>
          <w:szCs w:val="21"/>
        </w:rPr>
        <w:t xml:space="preserve">Review the permission count before saving the team.</w:t>
      </w:r>
    </w:p>
    <w:p>
      <w:pPr>
        <w:spacing w:after="40" w:before="70"/>
        <w:ind w:left="403"/>
      </w:pPr>
      <w:r>
        <w:rPr>
          <w:color w:val="8B8FA3"/>
          <w:sz w:val="17"/>
          <w:szCs w:val="17"/>
        </w:rPr>
        <w:t xml:space="preserve">Also in Settings   ·   Ref: pro-what-can-be-configured-for-a-team-17</w:t>
      </w:r>
    </w:p>
    <w:p>
      <w:pPr>
        <w:keepNext/>
        <w:spacing w:after="90" w:before="220"/>
      </w:pPr>
      <w:r>
        <w:rPr>
          <w:b/>
          <w:bCs/>
          <w:color w:val="1A1C2E"/>
          <w:sz w:val="24"/>
          <w:szCs w:val="24"/>
        </w:rPr>
        <w:t xml:space="preserve">8.   How granular are team permissions?</w:t>
      </w:r>
    </w:p>
    <w:p>
      <w:pPr>
        <w:spacing w:after="90"/>
        <w:ind w:left="403"/>
      </w:pPr>
      <w:r>
        <w:rPr>
          <w:sz w:val="22"/>
          <w:szCs w:val="22"/>
        </w:rPr>
        <w:t xml:space="preserve">The team editor provides 86 permissions grouped into Client Management, Content &amp; Documents, Work &amp; Operations, Communication, Finance &amp; Compliance, Reporting &amp; Analytics, and Administration. Controls include action-level permissions such as View, Create, Edit, Delete, and Assign where applicable, plus Select all for a group. System teams are identified separately from custom teams.</w:t>
      </w:r>
    </w:p>
    <w:p>
      <w:pPr>
        <w:spacing w:after="90"/>
        <w:ind w:left="403"/>
      </w:pPr>
      <w:r>
        <w:rPr>
          <w:b/>
          <w:bCs/>
          <w:color w:val="4735BE"/>
          <w:sz w:val="18"/>
          <w:szCs w:val="18"/>
        </w:rPr>
        <w:t xml:space="preserve">More   </w:t>
      </w:r>
      <w:r>
        <w:rPr>
          <w:sz w:val="22"/>
          <w:szCs w:val="22"/>
        </w:rPr>
        <w:t xml:space="preserve">Permission totals displayed beside a member or role make broad differences visible—for example, an administrator can have all permissions while a staff or manager role has a smaller subset. Review permissions by work area before inviting users so client, billing, settings, and security access match job responsibilities.</w:t>
      </w:r>
    </w:p>
    <w:p>
      <w:pPr>
        <w:spacing w:after="40" w:before="70"/>
        <w:ind w:left="403"/>
      </w:pPr>
      <w:r>
        <w:rPr>
          <w:color w:val="8B8FA3"/>
          <w:sz w:val="17"/>
          <w:szCs w:val="17"/>
        </w:rPr>
        <w:t xml:space="preserve">Also in Settings   ·   Ref: pro-how-granular-are-team-permissions-18</w:t>
      </w:r>
    </w:p>
    <w:p>
      <w:pPr>
        <w:keepNext/>
        <w:spacing w:after="90" w:before="220"/>
      </w:pPr>
      <w:r>
        <w:rPr>
          <w:b/>
          <w:bCs/>
          <w:color w:val="1A1C2E"/>
          <w:sz w:val="24"/>
          <w:szCs w:val="24"/>
        </w:rPr>
        <w:t xml:space="preserve">9.   How do administrators review members and invitations?</w:t>
      </w:r>
    </w:p>
    <w:p>
      <w:pPr>
        <w:spacing w:after="90"/>
        <w:ind w:left="403"/>
      </w:pPr>
      <w:r>
        <w:rPr>
          <w:sz w:val="22"/>
          <w:szCs w:val="22"/>
        </w:rPr>
        <w:t xml:space="preserve">Members can be searched by name or email and filtered by role, with product access, active status, and permission totals visible in the table. Invitations shows the recipient, assigned team, sent date, and status; a pending invitation can be resent or cancelled.</w:t>
      </w:r>
    </w:p>
    <w:p>
      <w:pPr>
        <w:spacing w:after="90"/>
        <w:ind w:left="403"/>
      </w:pPr>
      <w:r>
        <w:rPr>
          <w:b/>
          <w:bCs/>
          <w:color w:val="4735BE"/>
          <w:sz w:val="18"/>
          <w:szCs w:val="18"/>
        </w:rPr>
        <w:t xml:space="preserve">More   </w:t>
      </w:r>
      <w:r>
        <w:rPr>
          <w:sz w:val="22"/>
          <w:szCs w:val="22"/>
        </w:rPr>
        <w:t xml:space="preserve">Use the member search and role filter to find a person, then check product access, role, active status, and permission count on the row. Use Invitations for users who have not completed activation; this separates an access problem from a pending invitation.</w:t>
      </w:r>
    </w:p>
    <w:p>
      <w:pPr>
        <w:spacing w:after="40" w:before="70"/>
        <w:ind w:left="403"/>
      </w:pPr>
      <w:r>
        <w:rPr>
          <w:color w:val="8B8FA3"/>
          <w:sz w:val="17"/>
          <w:szCs w:val="17"/>
        </w:rPr>
        <w:t xml:space="preserve">Also in Settings   ·   Ref: pro-how-do-administrators-review-members-and-invitations-19</w:t>
      </w:r>
    </w:p>
    <w:p>
      <w:pPr>
        <w:keepNext/>
        <w:spacing w:after="90" w:before="220"/>
      </w:pPr>
      <w:r>
        <w:rPr>
          <w:b/>
          <w:bCs/>
          <w:color w:val="1A1C2E"/>
          <w:sz w:val="24"/>
          <w:szCs w:val="24"/>
        </w:rPr>
        <w:t xml:space="preserve">10.   How do I invite a team member?</w:t>
      </w:r>
    </w:p>
    <w:p>
      <w:pPr>
        <w:spacing w:after="90"/>
        <w:ind w:left="403"/>
      </w:pPr>
      <w:r>
        <w:rPr>
          <w:sz w:val="22"/>
          <w:szCs w:val="22"/>
        </w:rPr>
        <w:t xml:space="preserve">Team &amp; Roles manages Teams, Members, and Invitations in one place.</w:t>
      </w:r>
    </w:p>
    <w:p>
      <w:pPr>
        <w:spacing w:after="90"/>
        <w:ind w:left="403"/>
      </w:pPr>
      <w:r>
        <w:rPr>
          <w:b/>
          <w:bCs/>
          <w:color w:val="4735BE"/>
          <w:sz w:val="18"/>
          <w:szCs w:val="18"/>
        </w:rPr>
        <w:t xml:space="preserve">More   </w:t>
      </w:r>
      <w:r>
        <w:rPr>
          <w:sz w:val="22"/>
          <w:szCs w:val="22"/>
        </w:rPr>
        <w:t xml:space="preserve">After sending the invitation, monitor it under Invitations rather than immediately creating a duplicate. The recipient accepts the newest email invitation, verifies the invited address, sets a password, and then appears under Members with the assigned role and product access.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Team &amp; Roles, or use Team &amp; Roles in the main navigation.</w:t>
      </w:r>
    </w:p>
    <w:p>
      <w:pPr>
        <w:pStyle w:val="ListParagraph"/>
        <w:numPr>
          <w:ilvl w:val="0"/>
          <w:numId w:val="2"/>
        </w:numPr>
        <w:spacing w:after="40"/>
        <w:ind w:left="892"/>
      </w:pPr>
      <w:r>
        <w:rPr>
          <w:sz w:val="21"/>
          <w:szCs w:val="21"/>
        </w:rPr>
        <w:t xml:space="preserve">Select Invite member.</w:t>
      </w:r>
    </w:p>
    <w:p>
      <w:pPr>
        <w:pStyle w:val="ListParagraph"/>
        <w:numPr>
          <w:ilvl w:val="0"/>
          <w:numId w:val="2"/>
        </w:numPr>
        <w:spacing w:after="40"/>
        <w:ind w:left="892"/>
      </w:pPr>
      <w:r>
        <w:rPr>
          <w:sz w:val="21"/>
          <w:szCs w:val="21"/>
        </w:rPr>
        <w:t xml:space="preserve">Complete the member details and assign the appropriate role.</w:t>
      </w:r>
    </w:p>
    <w:p>
      <w:pPr>
        <w:pStyle w:val="ListParagraph"/>
        <w:numPr>
          <w:ilvl w:val="0"/>
          <w:numId w:val="2"/>
        </w:numPr>
        <w:spacing w:after="40"/>
        <w:ind w:left="892"/>
      </w:pPr>
      <w:r>
        <w:rPr>
          <w:sz w:val="21"/>
          <w:szCs w:val="21"/>
        </w:rPr>
        <w:t xml:space="preserve">Send the invitation.</w:t>
      </w:r>
    </w:p>
    <w:p>
      <w:pPr>
        <w:pStyle w:val="ListParagraph"/>
        <w:numPr>
          <w:ilvl w:val="0"/>
          <w:numId w:val="2"/>
        </w:numPr>
        <w:spacing w:after="40"/>
        <w:ind w:left="892"/>
      </w:pPr>
      <w:r>
        <w:rPr>
          <w:sz w:val="21"/>
          <w:szCs w:val="21"/>
        </w:rPr>
        <w:t xml:space="preserve">Use the Invitations tab to review invitations that are still pending.</w:t>
      </w:r>
    </w:p>
    <w:p>
      <w:pPr>
        <w:spacing w:after="40" w:before="70"/>
        <w:ind w:left="403"/>
      </w:pPr>
      <w:r>
        <w:rPr>
          <w:color w:val="8B8FA3"/>
          <w:sz w:val="17"/>
          <w:szCs w:val="17"/>
        </w:rPr>
        <w:t xml:space="preserve">Also in Settings   ·   Ref: pro-how-do-i-invite-a-team-member-20</w:t>
      </w:r>
    </w:p>
    <w:p>
      <w:pPr>
        <w:keepNext/>
        <w:spacing w:after="90" w:before="220"/>
      </w:pPr>
      <w:r>
        <w:rPr>
          <w:b/>
          <w:bCs/>
          <w:color w:val="1A1C2E"/>
          <w:sz w:val="24"/>
          <w:szCs w:val="24"/>
        </w:rPr>
        <w:t xml:space="preserve">11.   What are Engagement Types?</w:t>
      </w:r>
    </w:p>
    <w:p>
      <w:pPr>
        <w:spacing w:after="90"/>
        <w:ind w:left="403"/>
      </w:pPr>
      <w:r>
        <w:rPr>
          <w:sz w:val="22"/>
          <w:szCs w:val="22"/>
        </w:rPr>
        <w:t xml:space="preserve">Engagement Types are the named services the firm delivers, organized by areas such as Bookkeeping, Audit &amp; Assurance, Accounting, Advisory, and Tax. Each type has a description and code and can control the custom fields displayed in that engagement's Context rail.</w:t>
      </w:r>
    </w:p>
    <w:p>
      <w:pPr>
        <w:spacing w:after="90"/>
        <w:ind w:left="403"/>
      </w:pPr>
      <w:r>
        <w:rPr>
          <w:b/>
          <w:bCs/>
          <w:color w:val="4735BE"/>
          <w:sz w:val="18"/>
          <w:szCs w:val="18"/>
        </w:rPr>
        <w:t xml:space="preserve">More   </w:t>
      </w:r>
      <w:r>
        <w:rPr>
          <w:sz w:val="22"/>
          <w:szCs w:val="22"/>
        </w:rPr>
        <w:t xml:space="preserve">An engagement type is the reusable definition selected when creating client work—for example Individual Tax Return, Monthly Bookkeeping, or Financial Statement Audit. It connects the service category and expected engagement structure so staff do not build every engagement from a blank record.</w:t>
      </w:r>
    </w:p>
    <w:p>
      <w:pPr>
        <w:spacing w:after="40" w:before="70"/>
        <w:ind w:left="403"/>
      </w:pPr>
      <w:r>
        <w:rPr>
          <w:color w:val="8B8FA3"/>
          <w:sz w:val="17"/>
          <w:szCs w:val="17"/>
        </w:rPr>
        <w:t xml:space="preserve">Also in Settings   ·   Ref: pro-what-are-engagement-types-21</w:t>
      </w:r>
    </w:p>
    <w:p>
      <w:pPr>
        <w:keepNext/>
        <w:spacing w:after="90" w:before="220"/>
      </w:pPr>
      <w:r>
        <w:rPr>
          <w:b/>
          <w:bCs/>
          <w:color w:val="1A1C2E"/>
          <w:sz w:val="24"/>
          <w:szCs w:val="24"/>
        </w:rPr>
        <w:t xml:space="preserve">12.   How do I configure an engagement type's Context fields?</w:t>
      </w:r>
    </w:p>
    <w:p>
      <w:pPr>
        <w:spacing w:after="90"/>
        <w:ind w:left="403"/>
      </w:pPr>
      <w:r>
        <w:rPr>
          <w:sz w:val="22"/>
          <w:szCs w:val="22"/>
        </w:rPr>
        <w:t xml:space="preserve">The editor supports Dropdown, People, Date, Files, Number, Money, Formula, and Text fields. Fields can be reordered, made required or inactive where supported, and deleted; Formula fields are identified as read-only.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Engagement Types.</w:t>
      </w:r>
    </w:p>
    <w:p>
      <w:pPr>
        <w:pStyle w:val="ListParagraph"/>
        <w:numPr>
          <w:ilvl w:val="0"/>
          <w:numId w:val="2"/>
        </w:numPr>
        <w:spacing w:after="40"/>
        <w:ind w:left="892"/>
      </w:pPr>
      <w:r>
        <w:rPr>
          <w:sz w:val="21"/>
          <w:szCs w:val="21"/>
        </w:rPr>
        <w:t xml:space="preserve">Select the engagement type whose Context rail needs to change.</w:t>
      </w:r>
    </w:p>
    <w:p>
      <w:pPr>
        <w:pStyle w:val="ListParagraph"/>
        <w:numPr>
          <w:ilvl w:val="0"/>
          <w:numId w:val="2"/>
        </w:numPr>
        <w:spacing w:after="40"/>
        <w:ind w:left="892"/>
      </w:pPr>
      <w:r>
        <w:rPr>
          <w:sz w:val="21"/>
          <w:szCs w:val="21"/>
        </w:rPr>
        <w:t xml:space="preserve">Select Add field and choose the appropriate field type.</w:t>
      </w:r>
    </w:p>
    <w:p>
      <w:pPr>
        <w:pStyle w:val="ListParagraph"/>
        <w:numPr>
          <w:ilvl w:val="0"/>
          <w:numId w:val="2"/>
        </w:numPr>
        <w:spacing w:after="40"/>
        <w:ind w:left="892"/>
      </w:pPr>
      <w:r>
        <w:rPr>
          <w:sz w:val="21"/>
          <w:szCs w:val="21"/>
        </w:rPr>
        <w:t xml:space="preserve">Configure the field label and available options or rules.</w:t>
      </w:r>
    </w:p>
    <w:p>
      <w:pPr>
        <w:pStyle w:val="ListParagraph"/>
        <w:numPr>
          <w:ilvl w:val="0"/>
          <w:numId w:val="2"/>
        </w:numPr>
        <w:spacing w:after="40"/>
        <w:ind w:left="892"/>
      </w:pPr>
      <w:r>
        <w:rPr>
          <w:sz w:val="21"/>
          <w:szCs w:val="21"/>
        </w:rPr>
        <w:t xml:space="preserve">Reorder fields with Move up or Move down and review required, inactive, or read-only indicators.</w:t>
      </w:r>
    </w:p>
    <w:p>
      <w:pPr>
        <w:pStyle w:val="ListParagraph"/>
        <w:numPr>
          <w:ilvl w:val="0"/>
          <w:numId w:val="2"/>
        </w:numPr>
        <w:spacing w:after="40"/>
        <w:ind w:left="892"/>
      </w:pPr>
      <w:r>
        <w:rPr>
          <w:sz w:val="21"/>
          <w:szCs w:val="21"/>
        </w:rPr>
        <w:t xml:space="preserve">Open an engagement of that type to confirm the Context rail matches the configuration.</w:t>
      </w:r>
    </w:p>
    <w:p>
      <w:pPr>
        <w:spacing w:after="40" w:before="70"/>
        <w:ind w:left="403"/>
      </w:pPr>
      <w:r>
        <w:rPr>
          <w:color w:val="8B8FA3"/>
          <w:sz w:val="17"/>
          <w:szCs w:val="17"/>
        </w:rPr>
        <w:t xml:space="preserve">Also in Settings   ·   Ref: pro-how-do-i-configure-an-engagement-type-s-context-fields-22</w:t>
      </w:r>
    </w:p>
    <w:p>
      <w:pPr>
        <w:keepNext/>
        <w:spacing w:after="90" w:before="220"/>
      </w:pPr>
      <w:r>
        <w:rPr>
          <w:b/>
          <w:bCs/>
          <w:color w:val="1A1C2E"/>
          <w:sz w:val="24"/>
          <w:szCs w:val="24"/>
        </w:rPr>
        <w:t xml:space="preserve">13.   What are Onboarding Defaults?</w:t>
      </w:r>
    </w:p>
    <w:p>
      <w:pPr>
        <w:spacing w:after="90"/>
        <w:ind w:left="403"/>
      </w:pPr>
      <w:r>
        <w:rPr>
          <w:sz w:val="22"/>
          <w:szCs w:val="22"/>
        </w:rPr>
        <w:t xml:space="preserve">Onboarding Defaults pre-fill the first engagement assignee, engagement-letter template, and client folder structure. An unset assignee or template can auto-resolve, entity-type matches can override the general engagement-letter template, and selecting None for folders starts the client without a folder structure.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Onboarding Defaults.</w:t>
      </w:r>
    </w:p>
    <w:p>
      <w:pPr>
        <w:pStyle w:val="ListParagraph"/>
        <w:numPr>
          <w:ilvl w:val="0"/>
          <w:numId w:val="2"/>
        </w:numPr>
        <w:spacing w:after="40"/>
        <w:ind w:left="892"/>
      </w:pPr>
      <w:r>
        <w:rPr>
          <w:sz w:val="21"/>
          <w:szCs w:val="21"/>
        </w:rPr>
        <w:t xml:space="preserve">Choose the Default assignee for the first engagement, or leave it unset for automatic resolution.</w:t>
      </w:r>
    </w:p>
    <w:p>
      <w:pPr>
        <w:pStyle w:val="ListParagraph"/>
        <w:numPr>
          <w:ilvl w:val="0"/>
          <w:numId w:val="2"/>
        </w:numPr>
        <w:spacing w:after="40"/>
        <w:ind w:left="892"/>
      </w:pPr>
      <w:r>
        <w:rPr>
          <w:sz w:val="21"/>
          <w:szCs w:val="21"/>
        </w:rPr>
        <w:t xml:space="preserve">Choose a Default engagement letter template, or use None (auto-resolve).</w:t>
      </w:r>
    </w:p>
    <w:p>
      <w:pPr>
        <w:pStyle w:val="ListParagraph"/>
        <w:numPr>
          <w:ilvl w:val="0"/>
          <w:numId w:val="2"/>
        </w:numPr>
        <w:spacing w:after="40"/>
        <w:ind w:left="892"/>
      </w:pPr>
      <w:r>
        <w:rPr>
          <w:sz w:val="21"/>
          <w:szCs w:val="21"/>
        </w:rPr>
        <w:t xml:space="preserve">Choose the Default folder structure; select None only when clients should begin without folders.</w:t>
      </w:r>
    </w:p>
    <w:p>
      <w:pPr>
        <w:pStyle w:val="ListParagraph"/>
        <w:numPr>
          <w:ilvl w:val="0"/>
          <w:numId w:val="2"/>
        </w:numPr>
        <w:spacing w:after="40"/>
        <w:ind w:left="892"/>
      </w:pPr>
      <w:r>
        <w:rPr>
          <w:sz w:val="21"/>
          <w:szCs w:val="21"/>
        </w:rPr>
        <w:t xml:space="preserve">Confirm that the page reports All changes saved.</w:t>
      </w:r>
    </w:p>
    <w:p>
      <w:pPr>
        <w:spacing w:after="40" w:before="70"/>
        <w:ind w:left="403"/>
      </w:pPr>
      <w:r>
        <w:rPr>
          <w:color w:val="8B8FA3"/>
          <w:sz w:val="17"/>
          <w:szCs w:val="17"/>
        </w:rPr>
        <w:t xml:space="preserve">Also in Settings   ·   Ref: pro-what-are-onboarding-defaults-23</w:t>
      </w:r>
    </w:p>
    <w:p>
      <w:pPr>
        <w:keepNext/>
        <w:spacing w:after="90" w:before="220"/>
      </w:pPr>
      <w:r>
        <w:rPr>
          <w:b/>
          <w:bCs/>
          <w:color w:val="1A1C2E"/>
          <w:sz w:val="24"/>
          <w:szCs w:val="24"/>
        </w:rPr>
        <w:t xml:space="preserve">14.   How are tags created and maintained?</w:t>
      </w:r>
    </w:p>
    <w:p>
      <w:pPr>
        <w:spacing w:after="90"/>
        <w:ind w:left="403"/>
      </w:pPr>
      <w:r>
        <w:rPr>
          <w:sz w:val="22"/>
          <w:szCs w:val="22"/>
        </w:rPr>
        <w:t xml:space="preserve">Tags categorize clients and engagements across the firm. Settings provides a simple tag list with add, edit, and delete controls.</w:t>
      </w:r>
    </w:p>
    <w:p>
      <w:pPr>
        <w:spacing w:after="90"/>
        <w:ind w:left="403"/>
      </w:pPr>
      <w:r>
        <w:rPr>
          <w:b/>
          <w:bCs/>
          <w:color w:val="4735BE"/>
          <w:sz w:val="18"/>
          <w:szCs w:val="18"/>
        </w:rPr>
        <w:t xml:space="preserve">More   </w:t>
      </w:r>
      <w:r>
        <w:rPr>
          <w:sz w:val="22"/>
          <w:szCs w:val="22"/>
        </w:rPr>
        <w:t xml:space="preserve">Use a consistent naming convention before creating many tags; examples include service line, risk level, client tier, referral source, or special handling. Deactivating an unused tag keeps the list cleaner while preserving existing records that already reference it.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Tags.</w:t>
      </w:r>
    </w:p>
    <w:p>
      <w:pPr>
        <w:pStyle w:val="ListParagraph"/>
        <w:numPr>
          <w:ilvl w:val="0"/>
          <w:numId w:val="2"/>
        </w:numPr>
        <w:spacing w:after="40"/>
        <w:ind w:left="892"/>
      </w:pPr>
      <w:r>
        <w:rPr>
          <w:sz w:val="21"/>
          <w:szCs w:val="21"/>
        </w:rPr>
        <w:t xml:space="preserve">Enter the new tag name under Add a tag and select Add Tag.</w:t>
      </w:r>
    </w:p>
    <w:p>
      <w:pPr>
        <w:pStyle w:val="ListParagraph"/>
        <w:numPr>
          <w:ilvl w:val="0"/>
          <w:numId w:val="2"/>
        </w:numPr>
        <w:spacing w:after="40"/>
        <w:ind w:left="892"/>
      </w:pPr>
      <w:r>
        <w:rPr>
          <w:sz w:val="21"/>
          <w:szCs w:val="21"/>
        </w:rPr>
        <w:t xml:space="preserve">Use Edit beside an existing tag to revise its name.</w:t>
      </w:r>
    </w:p>
    <w:p>
      <w:pPr>
        <w:pStyle w:val="ListParagraph"/>
        <w:numPr>
          <w:ilvl w:val="0"/>
          <w:numId w:val="2"/>
        </w:numPr>
        <w:spacing w:after="40"/>
        <w:ind w:left="892"/>
      </w:pPr>
      <w:r>
        <w:rPr>
          <w:sz w:val="21"/>
          <w:szCs w:val="21"/>
        </w:rPr>
        <w:t xml:space="preserve">Use Delete only after confirming the tag is no longer needed on client or engagement records.</w:t>
      </w:r>
    </w:p>
    <w:p>
      <w:pPr>
        <w:spacing w:after="40" w:before="70"/>
        <w:ind w:left="403"/>
      </w:pPr>
      <w:r>
        <w:rPr>
          <w:color w:val="8B8FA3"/>
          <w:sz w:val="17"/>
          <w:szCs w:val="17"/>
        </w:rPr>
        <w:t xml:space="preserve">Also in Settings   ·   Ref: pro-how-are-tags-created-and-maintained-24</w:t>
      </w:r>
    </w:p>
    <w:p>
      <w:pPr>
        <w:keepNext/>
        <w:spacing w:after="90" w:before="220"/>
      </w:pPr>
      <w:r>
        <w:rPr>
          <w:b/>
          <w:bCs/>
          <w:color w:val="1A1C2E"/>
          <w:sz w:val="24"/>
          <w:szCs w:val="24"/>
        </w:rPr>
        <w:t xml:space="preserve">15.   How do I configure personal notification preferences?</w:t>
      </w:r>
    </w:p>
    <w:p>
      <w:pPr>
        <w:spacing w:after="90"/>
        <w:ind w:left="403"/>
      </w:pPr>
      <w:r>
        <w:rPr>
          <w:sz w:val="22"/>
          <w:szCs w:val="22"/>
        </w:rPr>
        <w:t xml:space="preserve">Notifications &amp; Email provides separate email and in-app switches for new document uploads, client messages, invoice payments, upcoming deadlines, and overdue invoices. Emails received in a connected client inbox also have their own email preference.</w:t>
      </w:r>
    </w:p>
    <w:p>
      <w:pPr>
        <w:spacing w:after="90"/>
        <w:ind w:left="403"/>
      </w:pPr>
      <w:r>
        <w:rPr>
          <w:b/>
          <w:bCs/>
          <w:color w:val="4735BE"/>
          <w:sz w:val="18"/>
          <w:szCs w:val="18"/>
        </w:rPr>
        <w:t xml:space="preserve">More   </w:t>
      </w:r>
      <w:r>
        <w:rPr>
          <w:sz w:val="22"/>
          <w:szCs w:val="22"/>
        </w:rPr>
        <w:t xml:space="preserve">Choose email for events that must be seen outside AssurePro and in-app delivery for items staff will handle while working in the platform. A user can enable both channels for high-priority events such as overdue invoices or upcoming deadlines and use one channel for lower-priority activity.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Notifications &amp; Email.</w:t>
      </w:r>
    </w:p>
    <w:p>
      <w:pPr>
        <w:pStyle w:val="ListParagraph"/>
        <w:numPr>
          <w:ilvl w:val="0"/>
          <w:numId w:val="2"/>
        </w:numPr>
        <w:spacing w:after="40"/>
        <w:ind w:left="892"/>
      </w:pPr>
      <w:r>
        <w:rPr>
          <w:sz w:val="21"/>
          <w:szCs w:val="21"/>
        </w:rPr>
        <w:t xml:space="preserve">Turn email and in-app delivery on or off for each event type.</w:t>
      </w:r>
    </w:p>
    <w:p>
      <w:pPr>
        <w:pStyle w:val="ListParagraph"/>
        <w:numPr>
          <w:ilvl w:val="0"/>
          <w:numId w:val="2"/>
        </w:numPr>
        <w:spacing w:after="40"/>
        <w:ind w:left="892"/>
      </w:pPr>
      <w:r>
        <w:rPr>
          <w:sz w:val="21"/>
          <w:szCs w:val="21"/>
        </w:rPr>
        <w:t xml:space="preserve">Select Save Preferences.</w:t>
      </w:r>
    </w:p>
    <w:p>
      <w:pPr>
        <w:spacing w:after="40" w:before="70"/>
        <w:ind w:left="403"/>
      </w:pPr>
      <w:r>
        <w:rPr>
          <w:color w:val="8B8FA3"/>
          <w:sz w:val="17"/>
          <w:szCs w:val="17"/>
        </w:rPr>
        <w:t xml:space="preserve">Also in Settings   ·   Ref: pro-how-do-i-configure-personal-notification-preferences-25</w:t>
      </w:r>
    </w:p>
    <w:p>
      <w:pPr>
        <w:keepNext/>
        <w:spacing w:after="90" w:before="220"/>
      </w:pPr>
      <w:r>
        <w:rPr>
          <w:b/>
          <w:bCs/>
          <w:color w:val="1A1C2E"/>
          <w:sz w:val="24"/>
          <w:szCs w:val="24"/>
        </w:rPr>
        <w:t xml:space="preserve">16.   How do report alerts work?</w:t>
      </w:r>
    </w:p>
    <w:p>
      <w:pPr>
        <w:spacing w:after="90"/>
        <w:ind w:left="403"/>
      </w:pPr>
      <w:r>
        <w:rPr>
          <w:sz w:val="22"/>
          <w:szCs w:val="22"/>
        </w:rPr>
        <w:t xml:space="preserve">The Report alerts area can notify subscribed users by email and the in-app bell when a KPI crosses a threshold, or send a scheduled digest of key firm metrics.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Notifications &amp; Email.</w:t>
      </w:r>
    </w:p>
    <w:p>
      <w:pPr>
        <w:pStyle w:val="ListParagraph"/>
        <w:numPr>
          <w:ilvl w:val="0"/>
          <w:numId w:val="2"/>
        </w:numPr>
        <w:spacing w:after="40"/>
        <w:ind w:left="892"/>
      </w:pPr>
      <w:r>
        <w:rPr>
          <w:sz w:val="21"/>
          <w:szCs w:val="21"/>
        </w:rPr>
        <w:t xml:space="preserve">Go to Report alerts and select New alert.</w:t>
      </w:r>
    </w:p>
    <w:p>
      <w:pPr>
        <w:pStyle w:val="ListParagraph"/>
        <w:numPr>
          <w:ilvl w:val="0"/>
          <w:numId w:val="2"/>
        </w:numPr>
        <w:spacing w:after="40"/>
        <w:ind w:left="892"/>
      </w:pPr>
      <w:r>
        <w:rPr>
          <w:sz w:val="21"/>
          <w:szCs w:val="21"/>
        </w:rPr>
        <w:t xml:space="preserve">Enter an alert name and choose KPI threshold or Scheduled digest.</w:t>
      </w:r>
    </w:p>
    <w:p>
      <w:pPr>
        <w:pStyle w:val="ListParagraph"/>
        <w:numPr>
          <w:ilvl w:val="0"/>
          <w:numId w:val="2"/>
        </w:numPr>
        <w:spacing w:after="40"/>
        <w:ind w:left="892"/>
      </w:pPr>
      <w:r>
        <w:rPr>
          <w:sz w:val="21"/>
          <w:szCs w:val="21"/>
        </w:rPr>
        <w:t xml:space="preserve">For a threshold alert, choose the metric, condition, value, and reporting window.</w:t>
      </w:r>
    </w:p>
    <w:p>
      <w:pPr>
        <w:pStyle w:val="ListParagraph"/>
        <w:numPr>
          <w:ilvl w:val="0"/>
          <w:numId w:val="2"/>
        </w:numPr>
        <w:spacing w:after="40"/>
        <w:ind w:left="892"/>
      </w:pPr>
      <w:r>
        <w:rPr>
          <w:sz w:val="21"/>
          <w:szCs w:val="21"/>
        </w:rPr>
        <w:t xml:space="preserve">Select the team-member subscribers and create the alert.</w:t>
      </w:r>
    </w:p>
    <w:p>
      <w:pPr>
        <w:pStyle w:val="ListParagraph"/>
        <w:numPr>
          <w:ilvl w:val="0"/>
          <w:numId w:val="2"/>
        </w:numPr>
        <w:spacing w:after="40"/>
        <w:ind w:left="892"/>
      </w:pPr>
      <w:r>
        <w:rPr>
          <w:sz w:val="21"/>
          <w:szCs w:val="21"/>
        </w:rPr>
        <w:t xml:space="preserve">Review saved alerts in the Report alerts list.</w:t>
      </w:r>
    </w:p>
    <w:p>
      <w:pPr>
        <w:spacing w:after="40" w:before="70"/>
        <w:ind w:left="403"/>
      </w:pPr>
      <w:r>
        <w:rPr>
          <w:color w:val="8B8FA3"/>
          <w:sz w:val="17"/>
          <w:szCs w:val="17"/>
        </w:rPr>
        <w:t xml:space="preserve">Also in Settings   ·   Ref: pro-how-do-report-alerts-work-26</w:t>
      </w:r>
    </w:p>
    <w:p>
      <w:pPr>
        <w:keepNext/>
        <w:spacing w:after="90" w:before="220"/>
      </w:pPr>
      <w:r>
        <w:rPr>
          <w:b/>
          <w:bCs/>
          <w:color w:val="1A1C2E"/>
          <w:sz w:val="24"/>
          <w:szCs w:val="24"/>
        </w:rPr>
        <w:t xml:space="preserve">17.   What is in the Template Library?</w:t>
      </w:r>
    </w:p>
    <w:p>
      <w:pPr>
        <w:spacing w:after="90"/>
        <w:ind w:left="403"/>
      </w:pPr>
      <w:r>
        <w:rPr>
          <w:sz w:val="22"/>
          <w:szCs w:val="22"/>
        </w:rPr>
        <w:t xml:space="preserve">The Template Library gives the firm reusable starting points that can be added to its working configuration instead of rebuilding common content from scratch.</w:t>
      </w:r>
    </w:p>
    <w:p>
      <w:pPr>
        <w:spacing w:after="90"/>
        <w:ind w:left="403"/>
      </w:pPr>
      <w:r>
        <w:rPr>
          <w:b/>
          <w:bCs/>
          <w:color w:val="4735BE"/>
          <w:sz w:val="18"/>
          <w:szCs w:val="18"/>
        </w:rPr>
        <w:t xml:space="preserve">More   </w:t>
      </w:r>
      <w:r>
        <w:rPr>
          <w:sz w:val="22"/>
          <w:szCs w:val="22"/>
        </w:rPr>
        <w:t xml:space="preserve">Use All to browse across types or open a specific tab to reduce the catalog. Preview an item before adding it, review its tags and included content, then use the provided Open in… destination to configure the firm's working copy rather than treating the curated template as final client-ready content.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All combines the available library items in one view.</w:t>
      </w:r>
    </w:p>
    <w:p>
      <w:pPr>
        <w:pStyle w:val="ListParagraph"/>
        <w:numPr>
          <w:ilvl w:val="0"/>
          <w:numId w:val="2"/>
        </w:numPr>
        <w:spacing w:after="40"/>
        <w:ind w:left="892"/>
      </w:pPr>
      <w:r>
        <w:rPr>
          <w:sz w:val="21"/>
          <w:szCs w:val="21"/>
        </w:rPr>
        <w:t xml:space="preserve">Engagement Letter Templates provide agreement wording, packages, services, pricing structures, and related signing content.</w:t>
      </w:r>
    </w:p>
    <w:p>
      <w:pPr>
        <w:pStyle w:val="ListParagraph"/>
        <w:numPr>
          <w:ilvl w:val="0"/>
          <w:numId w:val="2"/>
        </w:numPr>
        <w:spacing w:after="40"/>
        <w:ind w:left="892"/>
      </w:pPr>
      <w:r>
        <w:rPr>
          <w:sz w:val="21"/>
          <w:szCs w:val="21"/>
        </w:rPr>
        <w:t xml:space="preserve">Workflows provide reusable stage and task sequences for recurring delivery processes.</w:t>
      </w:r>
    </w:p>
    <w:p>
      <w:pPr>
        <w:pStyle w:val="ListParagraph"/>
        <w:numPr>
          <w:ilvl w:val="0"/>
          <w:numId w:val="2"/>
        </w:numPr>
        <w:spacing w:after="40"/>
        <w:ind w:left="892"/>
      </w:pPr>
      <w:r>
        <w:rPr>
          <w:sz w:val="21"/>
          <w:szCs w:val="21"/>
        </w:rPr>
        <w:t xml:space="preserve">Folders provide standardized client-document structures.</w:t>
      </w:r>
    </w:p>
    <w:p>
      <w:pPr>
        <w:pStyle w:val="ListParagraph"/>
        <w:numPr>
          <w:ilvl w:val="0"/>
          <w:numId w:val="2"/>
        </w:numPr>
        <w:spacing w:after="40"/>
        <w:ind w:left="892"/>
      </w:pPr>
      <w:r>
        <w:rPr>
          <w:sz w:val="21"/>
          <w:szCs w:val="21"/>
        </w:rPr>
        <w:t xml:space="preserve">Messages provide reusable email and SMS wording for common client touchpoints.</w:t>
      </w:r>
    </w:p>
    <w:p>
      <w:pPr>
        <w:pStyle w:val="ListParagraph"/>
        <w:numPr>
          <w:ilvl w:val="0"/>
          <w:numId w:val="2"/>
        </w:numPr>
        <w:spacing w:after="40"/>
        <w:ind w:left="892"/>
      </w:pPr>
      <w:r>
        <w:rPr>
          <w:sz w:val="21"/>
          <w:szCs w:val="21"/>
        </w:rPr>
        <w:t xml:space="preserve">Search or filter the library, preview an item, review its included content and tags, and select Add to Library.</w:t>
      </w:r>
    </w:p>
    <w:p>
      <w:pPr>
        <w:pStyle w:val="ListParagraph"/>
        <w:numPr>
          <w:ilvl w:val="0"/>
          <w:numId w:val="2"/>
        </w:numPr>
        <w:spacing w:after="40"/>
        <w:ind w:left="892"/>
      </w:pPr>
      <w:r>
        <w:rPr>
          <w:sz w:val="21"/>
          <w:szCs w:val="21"/>
        </w:rPr>
        <w:t xml:space="preserve">Open the added item in its destination area and adapt the firm's copy before using it with a client.</w:t>
      </w:r>
    </w:p>
    <w:p>
      <w:pPr>
        <w:spacing w:after="40" w:before="70"/>
        <w:ind w:left="403"/>
      </w:pPr>
      <w:r>
        <w:rPr>
          <w:color w:val="8B8FA3"/>
          <w:sz w:val="17"/>
          <w:szCs w:val="17"/>
        </w:rPr>
        <w:t xml:space="preserve">Ref: pro-what-is-in-the-template-library-27</w:t>
      </w:r>
    </w:p>
    <w:p>
      <w:pPr>
        <w:keepNext/>
        <w:spacing w:after="90" w:before="220"/>
      </w:pPr>
      <w:r>
        <w:rPr>
          <w:b/>
          <w:bCs/>
          <w:color w:val="1A1C2E"/>
          <w:sz w:val="24"/>
          <w:szCs w:val="24"/>
        </w:rPr>
        <w:t xml:space="preserve">18.   How do I find the right Template Library item?</w:t>
      </w:r>
    </w:p>
    <w:p>
      <w:pPr>
        <w:spacing w:after="90"/>
        <w:ind w:left="403"/>
      </w:pPr>
      <w:r>
        <w:rPr>
          <w:sz w:val="22"/>
          <w:szCs w:val="22"/>
        </w:rPr>
        <w:t xml:space="preserve">The library can be searched by name, type, or tag, filtered by practice area, limited to items already added, sorted, or narrowed to one asset-type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Template Library from Admin.</w:t>
      </w:r>
    </w:p>
    <w:p>
      <w:pPr>
        <w:pStyle w:val="ListParagraph"/>
        <w:numPr>
          <w:ilvl w:val="0"/>
          <w:numId w:val="2"/>
        </w:numPr>
        <w:spacing w:after="40"/>
        <w:ind w:left="892"/>
      </w:pPr>
      <w:r>
        <w:rPr>
          <w:sz w:val="21"/>
          <w:szCs w:val="21"/>
        </w:rPr>
        <w:t xml:space="preserve">Choose All, Engagement Letter Templates, Workflows, Folders, or Messages.</w:t>
      </w:r>
    </w:p>
    <w:p>
      <w:pPr>
        <w:pStyle w:val="ListParagraph"/>
        <w:numPr>
          <w:ilvl w:val="0"/>
          <w:numId w:val="2"/>
        </w:numPr>
        <w:spacing w:after="40"/>
        <w:ind w:left="892"/>
      </w:pPr>
      <w:r>
        <w:rPr>
          <w:sz w:val="21"/>
          <w:szCs w:val="21"/>
        </w:rPr>
        <w:t xml:space="preserve">Search by name, type, or tag and select a practice area when needed.</w:t>
      </w:r>
    </w:p>
    <w:p>
      <w:pPr>
        <w:pStyle w:val="ListParagraph"/>
        <w:numPr>
          <w:ilvl w:val="0"/>
          <w:numId w:val="2"/>
        </w:numPr>
        <w:spacing w:after="40"/>
        <w:ind w:left="892"/>
      </w:pPr>
      <w:r>
        <w:rPr>
          <w:sz w:val="21"/>
          <w:szCs w:val="21"/>
        </w:rPr>
        <w:t xml:space="preserve">Turn on Added only to review the firm's activated items.</w:t>
      </w:r>
    </w:p>
    <w:p>
      <w:pPr>
        <w:pStyle w:val="ListParagraph"/>
        <w:numPr>
          <w:ilvl w:val="0"/>
          <w:numId w:val="2"/>
        </w:numPr>
        <w:spacing w:after="40"/>
        <w:ind w:left="892"/>
      </w:pPr>
      <w:r>
        <w:rPr>
          <w:sz w:val="21"/>
          <w:szCs w:val="21"/>
        </w:rPr>
        <w:t xml:space="preserve">Use Sort to change the catalog order and Preview to inspect an item before adding it.</w:t>
      </w:r>
    </w:p>
    <w:p>
      <w:pPr>
        <w:spacing w:after="40" w:before="70"/>
        <w:ind w:left="403"/>
      </w:pPr>
      <w:r>
        <w:rPr>
          <w:color w:val="8B8FA3"/>
          <w:sz w:val="17"/>
          <w:szCs w:val="17"/>
        </w:rPr>
        <w:t xml:space="preserve">Ref: pro-how-do-i-find-the-right-template-library-item-28</w:t>
      </w:r>
    </w:p>
    <w:p>
      <w:pPr>
        <w:keepNext/>
        <w:spacing w:after="90" w:before="220"/>
      </w:pPr>
      <w:r>
        <w:rPr>
          <w:b/>
          <w:bCs/>
          <w:color w:val="1A1C2E"/>
          <w:sz w:val="24"/>
          <w:szCs w:val="24"/>
        </w:rPr>
        <w:t xml:space="preserve">19.   How is a Template Library item added and edited?</w:t>
      </w:r>
    </w:p>
    <w:p>
      <w:pPr>
        <w:spacing w:after="90"/>
        <w:ind w:left="403"/>
      </w:pPr>
      <w:r>
        <w:rPr>
          <w:sz w:val="22"/>
          <w:szCs w:val="22"/>
        </w:rPr>
        <w:t xml:space="preserve">Select Add to Library on an available item. An item already activated displays Added and provides a destination-specific link such as Open in Engagement Letter, Open in Workflows, or Open in Document settings. Adding a curated item makes it available to the firm; its downstream editor is where the firm reviews or adapts it.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Preview the template and review its practice-area and entity tags plus its package, service, stage, task, folder, or channel summary.</w:t>
      </w:r>
    </w:p>
    <w:p>
      <w:pPr>
        <w:pStyle w:val="ListParagraph"/>
        <w:numPr>
          <w:ilvl w:val="0"/>
          <w:numId w:val="2"/>
        </w:numPr>
        <w:spacing w:after="40"/>
        <w:ind w:left="892"/>
      </w:pPr>
      <w:r>
        <w:rPr>
          <w:sz w:val="21"/>
          <w:szCs w:val="21"/>
        </w:rPr>
        <w:t xml:space="preserve">Select Add to Library.</w:t>
      </w:r>
    </w:p>
    <w:p>
      <w:pPr>
        <w:pStyle w:val="ListParagraph"/>
        <w:numPr>
          <w:ilvl w:val="0"/>
          <w:numId w:val="2"/>
        </w:numPr>
        <w:spacing w:after="40"/>
        <w:ind w:left="892"/>
      </w:pPr>
      <w:r>
        <w:rPr>
          <w:sz w:val="21"/>
          <w:szCs w:val="21"/>
        </w:rPr>
        <w:t xml:space="preserve">Use the provided Open in… link to go to the correct working area.</w:t>
      </w:r>
    </w:p>
    <w:p>
      <w:pPr>
        <w:pStyle w:val="ListParagraph"/>
        <w:numPr>
          <w:ilvl w:val="0"/>
          <w:numId w:val="2"/>
        </w:numPr>
        <w:spacing w:after="40"/>
        <w:ind w:left="892"/>
      </w:pPr>
      <w:r>
        <w:rPr>
          <w:sz w:val="21"/>
          <w:szCs w:val="21"/>
        </w:rPr>
        <w:t xml:space="preserve">Review and configure the firm's copy before using it in live client work.</w:t>
      </w:r>
    </w:p>
    <w:p>
      <w:pPr>
        <w:spacing w:after="40" w:before="70"/>
        <w:ind w:left="403"/>
      </w:pPr>
      <w:r>
        <w:rPr>
          <w:color w:val="8B8FA3"/>
          <w:sz w:val="17"/>
          <w:szCs w:val="17"/>
        </w:rPr>
        <w:t xml:space="preserve">Ref: pro-how-is-a-template-library-item-added-and-edited-29</w:t>
      </w:r>
    </w:p>
    <w:p>
      <w:pPr>
        <w:keepNext/>
        <w:spacing w:after="90" w:before="220"/>
      </w:pPr>
      <w:r>
        <w:rPr>
          <w:b/>
          <w:bCs/>
          <w:color w:val="1A1C2E"/>
          <w:sz w:val="24"/>
          <w:szCs w:val="24"/>
        </w:rPr>
        <w:t xml:space="preserve">20.   What does each Template Library type provide?</w:t>
      </w:r>
    </w:p>
    <w:p>
      <w:pPr>
        <w:spacing w:after="90"/>
        <w:ind w:left="403"/>
      </w:pPr>
      <w:r>
        <w:rPr>
          <w:sz w:val="22"/>
          <w:szCs w:val="22"/>
        </w:rPr>
        <w:t xml:space="preserve">Engagement Letter Templates include agreement prose, packages, services, and billing structures. Workflows provide stage-and-task sequences. Folders provide reusable per-client folder layouts. Messages provide reusable email or SMS wording for client touchpoints.</w:t>
      </w:r>
    </w:p>
    <w:p>
      <w:pPr>
        <w:spacing w:after="90"/>
        <w:ind w:left="403"/>
      </w:pPr>
      <w:r>
        <w:rPr>
          <w:b/>
          <w:bCs/>
          <w:color w:val="4735BE"/>
          <w:sz w:val="18"/>
          <w:szCs w:val="18"/>
        </w:rPr>
        <w:t xml:space="preserve">More   </w:t>
      </w:r>
      <w:r>
        <w:rPr>
          <w:sz w:val="22"/>
          <w:szCs w:val="22"/>
        </w:rPr>
        <w:t xml:space="preserve">For example, an Engagement Letter Template can provide packages and billing structures, while its linked Workflow supplies the operational stages and tasks and a Folder template supplies the document hierarchy. Message templates then standardize client reminders or other touchpoints around that work.</w:t>
      </w:r>
    </w:p>
    <w:p>
      <w:pPr>
        <w:spacing w:after="40" w:before="70"/>
        <w:ind w:left="403"/>
      </w:pPr>
      <w:r>
        <w:rPr>
          <w:color w:val="8B8FA3"/>
          <w:sz w:val="17"/>
          <w:szCs w:val="17"/>
        </w:rPr>
        <w:t xml:space="preserve">Ref: pro-what-does-each-template-library-type-provide-30</w:t>
      </w:r>
    </w:p>
    <w:p>
      <w:r>
        <w:br w:type="page"/>
      </w:r>
    </w:p>
    <w:p>
      <w:pPr>
        <w:pStyle w:val="Heading1"/>
        <w:spacing w:after="40" w:before="60"/>
      </w:pPr>
      <w:r>
        <w:rPr>
          <w:b/>
          <w:bCs/>
          <w:color w:val="1A1C2E"/>
          <w:sz w:val="32"/>
          <w:szCs w:val="32"/>
        </w:rPr>
        <w:t xml:space="preserve">Clients &amp; prospects</w:t>
      </w:r>
    </w:p>
    <w:p>
      <w:pPr>
        <w:pBdr>
          <w:bottom w:val="single" w:color="E4E2F0" w:sz="4"/>
        </w:pBdr>
        <w:spacing w:after="200"/>
      </w:pPr>
      <w:r>
        <w:rPr>
          <w:color w:val="8B8FA3"/>
          <w:sz w:val="20"/>
          <w:szCs w:val="20"/>
        </w:rPr>
        <w:t xml:space="preserve">19 questions</w:t>
      </w:r>
    </w:p>
    <w:p>
      <w:pPr>
        <w:keepNext/>
        <w:spacing w:after="90" w:before="220"/>
      </w:pPr>
      <w:r>
        <w:rPr>
          <w:b/>
          <w:bCs/>
          <w:color w:val="1A1C2E"/>
          <w:sz w:val="24"/>
          <w:szCs w:val="24"/>
        </w:rPr>
        <w:t xml:space="preserve">1.   How is a new client added directly?</w:t>
      </w:r>
    </w:p>
    <w:p>
      <w:pPr>
        <w:spacing w:after="90"/>
        <w:ind w:left="403"/>
      </w:pPr>
      <w:r>
        <w:rPr>
          <w:sz w:val="22"/>
          <w:szCs w:val="22"/>
        </w:rPr>
        <w:t xml:space="preserve">Use this path when the person or organization should begin as a client rather than first moving through the prospect pipeline.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Clients and select New Client, or choose Client from the global + New menu.</w:t>
      </w:r>
    </w:p>
    <w:p>
      <w:pPr>
        <w:pStyle w:val="ListParagraph"/>
        <w:numPr>
          <w:ilvl w:val="0"/>
          <w:numId w:val="2"/>
        </w:numPr>
        <w:spacing w:after="40"/>
        <w:ind w:left="892"/>
      </w:pPr>
      <w:r>
        <w:rPr>
          <w:sz w:val="21"/>
          <w:szCs w:val="21"/>
        </w:rPr>
        <w:t xml:space="preserve">Enter the required Client Name and Entity Type.</w:t>
      </w:r>
    </w:p>
    <w:p>
      <w:pPr>
        <w:pStyle w:val="ListParagraph"/>
        <w:numPr>
          <w:ilvl w:val="0"/>
          <w:numId w:val="2"/>
        </w:numPr>
        <w:spacing w:after="40"/>
        <w:ind w:left="892"/>
      </w:pPr>
      <w:r>
        <w:rPr>
          <w:sz w:val="21"/>
          <w:szCs w:val="21"/>
        </w:rPr>
        <w:t xml:space="preserve">Set the status, industry and sub-industry, assignees, folder template, country, and address as needed.</w:t>
      </w:r>
    </w:p>
    <w:p>
      <w:pPr>
        <w:pStyle w:val="ListParagraph"/>
        <w:numPr>
          <w:ilvl w:val="0"/>
          <w:numId w:val="2"/>
        </w:numPr>
        <w:spacing w:after="40"/>
        <w:ind w:left="892"/>
      </w:pPr>
      <w:r>
        <w:rPr>
          <w:sz w:val="21"/>
          <w:szCs w:val="21"/>
        </w:rPr>
        <w:t xml:space="preserve">Optionally add the primary contact's name, phone number, and email.</w:t>
      </w:r>
    </w:p>
    <w:p>
      <w:pPr>
        <w:pStyle w:val="ListParagraph"/>
        <w:numPr>
          <w:ilvl w:val="0"/>
          <w:numId w:val="2"/>
        </w:numPr>
        <w:spacing w:after="40"/>
        <w:ind w:left="892"/>
      </w:pPr>
      <w:r>
        <w:rPr>
          <w:sz w:val="21"/>
          <w:szCs w:val="21"/>
        </w:rPr>
        <w:t xml:space="preserve">Choose whether Send portal invite should remain selected.</w:t>
      </w:r>
    </w:p>
    <w:p>
      <w:pPr>
        <w:pStyle w:val="ListParagraph"/>
        <w:numPr>
          <w:ilvl w:val="0"/>
          <w:numId w:val="2"/>
        </w:numPr>
        <w:spacing w:after="40"/>
        <w:ind w:left="892"/>
      </w:pPr>
      <w:r>
        <w:rPr>
          <w:sz w:val="21"/>
          <w:szCs w:val="21"/>
        </w:rPr>
        <w:t xml:space="preserve">Review the record and select Create Client.</w:t>
      </w:r>
    </w:p>
    <w:p>
      <w:pPr>
        <w:spacing w:after="40" w:before="70"/>
        <w:ind w:left="403"/>
      </w:pPr>
      <w:r>
        <w:rPr>
          <w:color w:val="8B8FA3"/>
          <w:sz w:val="17"/>
          <w:szCs w:val="17"/>
        </w:rPr>
        <w:t xml:space="preserve">Search terms: create a client add client new client client onboarding   ·   Ref: pro-how-is-a-new-client-added-directly-31</w:t>
      </w:r>
    </w:p>
    <w:p>
      <w:pPr>
        <w:keepNext/>
        <w:spacing w:after="90" w:before="220"/>
      </w:pPr>
      <w:r>
        <w:rPr>
          <w:b/>
          <w:bCs/>
          <w:color w:val="1A1C2E"/>
          <w:sz w:val="24"/>
          <w:szCs w:val="24"/>
        </w:rPr>
        <w:t xml:space="preserve">2.   What are all the ways to add a client?</w:t>
      </w:r>
    </w:p>
    <w:p>
      <w:pPr>
        <w:spacing w:after="90"/>
        <w:ind w:left="403"/>
      </w:pPr>
      <w:r>
        <w:rPr>
          <w:sz w:val="22"/>
          <w:szCs w:val="22"/>
        </w:rPr>
        <w:t xml:space="preserve">AssurePro provides several entry points for different onboarding situations: create one client directly, convert a qualified prospect by moving it to Won, import many clients from a CSV or Excel file, or create a missing client from the client picker while starting an engagement. The global + New menu is another shortcut to the direct-client form.</w:t>
      </w:r>
    </w:p>
    <w:p>
      <w:pPr>
        <w:spacing w:after="90"/>
        <w:ind w:left="403"/>
      </w:pPr>
      <w:r>
        <w:rPr>
          <w:b/>
          <w:bCs/>
          <w:color w:val="4735BE"/>
          <w:sz w:val="18"/>
          <w:szCs w:val="18"/>
        </w:rPr>
        <w:t xml:space="preserve">More   </w:t>
      </w:r>
      <w:r>
        <w:rPr>
          <w:sz w:val="22"/>
          <w:szCs w:val="22"/>
        </w:rPr>
        <w:t xml:space="preserve">Choose the path that preserves the correct history: direct creation for an established client, Won conversion for a lead that passed through the pipeline, import for a prepared migration file, or contextual creation when an engagement cannot proceed because the client is missing. All paths should end with a review of contacts, assignments, portal access, folders, and onboarding defaults.</w:t>
      </w:r>
    </w:p>
    <w:p>
      <w:pPr>
        <w:spacing w:after="40" w:before="70"/>
        <w:ind w:left="403"/>
      </w:pPr>
      <w:r>
        <w:rPr>
          <w:color w:val="8B8FA3"/>
          <w:sz w:val="17"/>
          <w:szCs w:val="17"/>
        </w:rPr>
        <w:t xml:space="preserve">Search terms: client conversion convert prospect won onboarding   ·   Ref: pro-what-are-all-the-ways-to-add-a-client-32</w:t>
      </w:r>
    </w:p>
    <w:p>
      <w:pPr>
        <w:keepNext/>
        <w:spacing w:after="90" w:before="220"/>
      </w:pPr>
      <w:r>
        <w:rPr>
          <w:b/>
          <w:bCs/>
          <w:color w:val="1A1C2E"/>
          <w:sz w:val="24"/>
          <w:szCs w:val="24"/>
        </w:rPr>
        <w:t xml:space="preserve">3.   How do I convert a prospect into a client?</w:t>
      </w:r>
    </w:p>
    <w:p>
      <w:pPr>
        <w:spacing w:after="90"/>
        <w:ind w:left="403"/>
      </w:pPr>
      <w:r>
        <w:rPr>
          <w:sz w:val="22"/>
          <w:szCs w:val="22"/>
        </w:rPr>
        <w:t xml:space="preserve">Use the Won stage after the lead has completed the firm's prospect process. This preserves the prospect workflow and promotes the successful lead into client onboarding.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Prospects and find the lead in Board or List view.</w:t>
      </w:r>
    </w:p>
    <w:p>
      <w:pPr>
        <w:pStyle w:val="ListParagraph"/>
        <w:numPr>
          <w:ilvl w:val="0"/>
          <w:numId w:val="2"/>
        </w:numPr>
        <w:spacing w:after="40"/>
        <w:ind w:left="892"/>
      </w:pPr>
      <w:r>
        <w:rPr>
          <w:sz w:val="21"/>
          <w:szCs w:val="21"/>
        </w:rPr>
        <w:t xml:space="preserve">Open the prospect record and review the company, contact, service interest, owners, deal value, and other details that should carry forward.</w:t>
      </w:r>
    </w:p>
    <w:p>
      <w:pPr>
        <w:pStyle w:val="ListParagraph"/>
        <w:numPr>
          <w:ilvl w:val="0"/>
          <w:numId w:val="2"/>
        </w:numPr>
        <w:spacing w:after="40"/>
        <w:ind w:left="892"/>
      </w:pPr>
      <w:r>
        <w:rPr>
          <w:sz w:val="21"/>
          <w:szCs w:val="21"/>
        </w:rPr>
        <w:t xml:space="preserve">Open the Stage control and change the prospect to Won.</w:t>
      </w:r>
    </w:p>
    <w:p>
      <w:pPr>
        <w:pStyle w:val="ListParagraph"/>
        <w:numPr>
          <w:ilvl w:val="0"/>
          <w:numId w:val="2"/>
        </w:numPr>
        <w:spacing w:after="40"/>
        <w:ind w:left="892"/>
      </w:pPr>
      <w:r>
        <w:rPr>
          <w:sz w:val="21"/>
          <w:szCs w:val="21"/>
        </w:rPr>
        <w:t xml:space="preserve">Open the resulting client record and complete any client-specific information, assignments, documents, portal access, or engagement setup that was not captured on the prospect.</w:t>
      </w:r>
    </w:p>
    <w:p>
      <w:pPr>
        <w:spacing w:after="40" w:before="70"/>
        <w:ind w:left="403"/>
      </w:pPr>
      <w:r>
        <w:rPr>
          <w:color w:val="8B8FA3"/>
          <w:sz w:val="17"/>
          <w:szCs w:val="17"/>
        </w:rPr>
        <w:t xml:space="preserve">Search terms: convert prospect won client   ·   Ref: pro-how-do-i-convert-a-prospect-into-a-client-33</w:t>
      </w:r>
    </w:p>
    <w:p>
      <w:pPr>
        <w:keepNext/>
        <w:spacing w:after="90" w:before="220"/>
      </w:pPr>
      <w:r>
        <w:rPr>
          <w:b/>
          <w:bCs/>
          <w:color w:val="1A1C2E"/>
          <w:sz w:val="24"/>
          <w:szCs w:val="24"/>
        </w:rPr>
        <w:t xml:space="preserve">4.   How do I import multiple clients?</w:t>
      </w:r>
    </w:p>
    <w:p>
      <w:pPr>
        <w:spacing w:after="90"/>
        <w:ind w:left="403"/>
      </w:pPr>
      <w:r>
        <w:rPr>
          <w:sz w:val="22"/>
          <w:szCs w:val="22"/>
        </w:rPr>
        <w:t xml:space="preserve">The client import accepts CSV and XLSX files and provides a downloadable CSV template.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Clients.</w:t>
      </w:r>
    </w:p>
    <w:p>
      <w:pPr>
        <w:pStyle w:val="ListParagraph"/>
        <w:numPr>
          <w:ilvl w:val="0"/>
          <w:numId w:val="2"/>
        </w:numPr>
        <w:spacing w:after="40"/>
        <w:ind w:left="892"/>
      </w:pPr>
      <w:r>
        <w:rPr>
          <w:sz w:val="21"/>
          <w:szCs w:val="21"/>
        </w:rPr>
        <w:t xml:space="preserve">Select More ways to add clients, then Import from CSV.</w:t>
      </w:r>
    </w:p>
    <w:p>
      <w:pPr>
        <w:pStyle w:val="ListParagraph"/>
        <w:numPr>
          <w:ilvl w:val="0"/>
          <w:numId w:val="2"/>
        </w:numPr>
        <w:spacing w:after="40"/>
        <w:ind w:left="892"/>
      </w:pPr>
      <w:r>
        <w:rPr>
          <w:sz w:val="21"/>
          <w:szCs w:val="21"/>
        </w:rPr>
        <w:t xml:space="preserve">Download the CSV template if you need the expected structure, or prepare a supported .csv or .xlsx file.</w:t>
      </w:r>
    </w:p>
    <w:p>
      <w:pPr>
        <w:pStyle w:val="ListParagraph"/>
        <w:numPr>
          <w:ilvl w:val="0"/>
          <w:numId w:val="2"/>
        </w:numPr>
        <w:spacing w:after="40"/>
        <w:ind w:left="892"/>
      </w:pPr>
      <w:r>
        <w:rPr>
          <w:sz w:val="21"/>
          <w:szCs w:val="21"/>
        </w:rPr>
        <w:t xml:space="preserve">Drop the file into the import dialog or select it with the file browser.</w:t>
      </w:r>
    </w:p>
    <w:p>
      <w:pPr>
        <w:pStyle w:val="ListParagraph"/>
        <w:numPr>
          <w:ilvl w:val="0"/>
          <w:numId w:val="2"/>
        </w:numPr>
        <w:spacing w:after="40"/>
        <w:ind w:left="892"/>
      </w:pPr>
      <w:r>
        <w:rPr>
          <w:sz w:val="21"/>
          <w:szCs w:val="21"/>
        </w:rPr>
        <w:t xml:space="preserve">Follow the validation prompts shown for the uploaded file, then review the imported client records.</w:t>
      </w:r>
    </w:p>
    <w:p>
      <w:pPr>
        <w:spacing w:after="40" w:before="70"/>
        <w:ind w:left="403"/>
      </w:pPr>
      <w:r>
        <w:rPr>
          <w:color w:val="8B8FA3"/>
          <w:sz w:val="17"/>
          <w:szCs w:val="17"/>
        </w:rPr>
        <w:t xml:space="preserve">Search terms: bulk import clients csv excel xlsx   ·   Ref: pro-how-do-i-import-multiple-clients-34</w:t>
      </w:r>
    </w:p>
    <w:p>
      <w:pPr>
        <w:keepNext/>
        <w:spacing w:after="90" w:before="220"/>
      </w:pPr>
      <w:r>
        <w:rPr>
          <w:b/>
          <w:bCs/>
          <w:color w:val="1A1C2E"/>
          <w:sz w:val="24"/>
          <w:szCs w:val="24"/>
        </w:rPr>
        <w:t xml:space="preserve">5.   Can I create a client while starting an engagement?</w:t>
      </w:r>
    </w:p>
    <w:p>
      <w:pPr>
        <w:spacing w:after="90"/>
        <w:ind w:left="403"/>
      </w:pPr>
      <w:r>
        <w:rPr>
          <w:sz w:val="22"/>
          <w:szCs w:val="22"/>
        </w:rPr>
        <w:t xml:space="preserve">Yes. The New Engagement client chooser includes Create new client, so staff do not have to leave the workflow when the required client is missing.</w:t>
      </w:r>
    </w:p>
    <w:p>
      <w:pPr>
        <w:spacing w:after="90"/>
        <w:ind w:left="403"/>
      </w:pPr>
      <w:r>
        <w:rPr>
          <w:b/>
          <w:bCs/>
          <w:color w:val="4735BE"/>
          <w:sz w:val="18"/>
          <w:szCs w:val="18"/>
        </w:rPr>
        <w:t xml:space="preserve">More   </w:t>
      </w:r>
      <w:r>
        <w:rPr>
          <w:sz w:val="22"/>
          <w:szCs w:val="22"/>
        </w:rPr>
        <w:t xml:space="preserve">This is useful when staff discover that an otherwise ready engagement has no client record. The created client is available immediately in the engagement chooser; after saving the engagement, return to the client Info tab to complete any optional contact, entity, portal, assignment, or relationship fields that were not required in the contextual form.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Workflow and select New Engagement.</w:t>
      </w:r>
    </w:p>
    <w:p>
      <w:pPr>
        <w:pStyle w:val="ListParagraph"/>
        <w:numPr>
          <w:ilvl w:val="0"/>
          <w:numId w:val="2"/>
        </w:numPr>
        <w:spacing w:after="40"/>
        <w:ind w:left="892"/>
      </w:pPr>
      <w:r>
        <w:rPr>
          <w:sz w:val="21"/>
          <w:szCs w:val="21"/>
        </w:rPr>
        <w:t xml:space="preserve">Open the Client chooser.</w:t>
      </w:r>
    </w:p>
    <w:p>
      <w:pPr>
        <w:pStyle w:val="ListParagraph"/>
        <w:numPr>
          <w:ilvl w:val="0"/>
          <w:numId w:val="2"/>
        </w:numPr>
        <w:spacing w:after="40"/>
        <w:ind w:left="892"/>
      </w:pPr>
      <w:r>
        <w:rPr>
          <w:sz w:val="21"/>
          <w:szCs w:val="21"/>
        </w:rPr>
        <w:t xml:space="preserve">Select Create new client and complete the client record.</w:t>
      </w:r>
    </w:p>
    <w:p>
      <w:pPr>
        <w:pStyle w:val="ListParagraph"/>
        <w:numPr>
          <w:ilvl w:val="0"/>
          <w:numId w:val="2"/>
        </w:numPr>
        <w:spacing w:after="40"/>
        <w:ind w:left="892"/>
      </w:pPr>
      <w:r>
        <w:rPr>
          <w:sz w:val="21"/>
          <w:szCs w:val="21"/>
        </w:rPr>
        <w:t xml:space="preserve">Return to the engagement setup, select the new client and an Engagement type, and continue creating the engagement.</w:t>
      </w:r>
    </w:p>
    <w:p>
      <w:pPr>
        <w:spacing w:after="40" w:before="70"/>
        <w:ind w:left="403"/>
      </w:pPr>
      <w:r>
        <w:rPr>
          <w:color w:val="8B8FA3"/>
          <w:sz w:val="17"/>
          <w:szCs w:val="17"/>
        </w:rPr>
        <w:t xml:space="preserve">Search terms: new engagement create client contextual   ·   Ref: pro-can-i-create-a-client-while-starting-an-engagement-35</w:t>
      </w:r>
    </w:p>
    <w:p>
      <w:pPr>
        <w:keepNext/>
        <w:spacing w:after="90" w:before="220"/>
      </w:pPr>
      <w:r>
        <w:rPr>
          <w:b/>
          <w:bCs/>
          <w:color w:val="1A1C2E"/>
          <w:sz w:val="24"/>
          <w:szCs w:val="24"/>
        </w:rPr>
        <w:t xml:space="preserve">6.   What can staff see in a client workspace?</w:t>
      </w:r>
    </w:p>
    <w:p>
      <w:pPr>
        <w:spacing w:after="90"/>
        <w:ind w:left="403"/>
      </w:pPr>
      <w:r>
        <w:rPr>
          <w:sz w:val="22"/>
          <w:szCs w:val="22"/>
        </w:rPr>
        <w:t xml:space="preserve">Each client workspace has tabs for Overview, Info, Documents, Communications, Engagements, Billing, Engagement Letter, Credentials, Emails, and AI SOP. Overview summarizes items needing attention, engagements, open tasks, recent documents, balances, deadlines, client pending actions, communications, and recent activity.</w:t>
      </w:r>
    </w:p>
    <w:p>
      <w:pPr>
        <w:spacing w:after="90"/>
        <w:ind w:left="403"/>
      </w:pPr>
      <w:r>
        <w:rPr>
          <w:b/>
          <w:bCs/>
          <w:color w:val="4735BE"/>
          <w:sz w:val="18"/>
          <w:szCs w:val="18"/>
        </w:rPr>
        <w:t xml:space="preserve">More   </w:t>
      </w:r>
      <w:r>
        <w:rPr>
          <w:sz w:val="22"/>
          <w:szCs w:val="22"/>
        </w:rPr>
        <w:t xml:space="preserve">Use Overview for a concise operating summary and the specialized tabs for the full record. For example, an overdue invoice is reviewed in Billing, an unsigned package in Engagement Letter, missing source files in Documents, and the associated delivery plan in Engagements—without searching for the client again.</w:t>
      </w:r>
    </w:p>
    <w:p>
      <w:pPr>
        <w:spacing w:after="40" w:before="70"/>
        <w:ind w:left="403"/>
      </w:pPr>
      <w:r>
        <w:rPr>
          <w:color w:val="8B8FA3"/>
          <w:sz w:val="17"/>
          <w:szCs w:val="17"/>
        </w:rPr>
        <w:t xml:space="preserve">Ref: pro-what-can-staff-see-in-a-client-workspace-36</w:t>
      </w:r>
    </w:p>
    <w:p>
      <w:pPr>
        <w:keepNext/>
        <w:spacing w:after="90" w:before="220"/>
      </w:pPr>
      <w:r>
        <w:rPr>
          <w:b/>
          <w:bCs/>
          <w:color w:val="1A1C2E"/>
          <w:sz w:val="24"/>
          <w:szCs w:val="24"/>
        </w:rPr>
        <w:t xml:space="preserve">7.   What information is kept on the client Info tab?</w:t>
      </w:r>
    </w:p>
    <w:p>
      <w:pPr>
        <w:spacing w:after="90"/>
        <w:ind w:left="403"/>
      </w:pPr>
      <w:r>
        <w:rPr>
          <w:sz w:val="22"/>
          <w:szCs w:val="22"/>
        </w:rPr>
        <w:t xml:space="preserve">The Info tab includes profile completeness, contact information, entity details, contacts, tags, related entities, account roles, and notes. The displayed entity fields adjust to the client type; for an individual, the interface can request items such as SSN, date of birth, filing status, address, and period.</w:t>
      </w:r>
    </w:p>
    <w:p>
      <w:pPr>
        <w:spacing w:after="90"/>
        <w:ind w:left="403"/>
      </w:pPr>
      <w:r>
        <w:rPr>
          <w:b/>
          <w:bCs/>
          <w:color w:val="4735BE"/>
          <w:sz w:val="18"/>
          <w:szCs w:val="18"/>
        </w:rPr>
        <w:t xml:space="preserve">More   </w:t>
      </w:r>
      <w:r>
        <w:rPr>
          <w:sz w:val="22"/>
          <w:szCs w:val="22"/>
        </w:rPr>
        <w:t xml:space="preserve">The tab separates the primary entity record from Contacts, Related Entities, Account Roles, Tags, and Notes. This matters when one organization has several people or related businesses: update the appropriate relationship record instead of overwriting the primary client details.</w:t>
      </w:r>
    </w:p>
    <w:p>
      <w:pPr>
        <w:spacing w:after="40" w:before="70"/>
        <w:ind w:left="403"/>
      </w:pPr>
      <w:r>
        <w:rPr>
          <w:color w:val="8B8FA3"/>
          <w:sz w:val="17"/>
          <w:szCs w:val="17"/>
        </w:rPr>
        <w:t xml:space="preserve">Ref: pro-what-information-is-kept-on-the-client-info-tab-37</w:t>
      </w:r>
    </w:p>
    <w:p>
      <w:pPr>
        <w:keepNext/>
        <w:spacing w:after="90" w:before="220"/>
      </w:pPr>
      <w:r>
        <w:rPr>
          <w:b/>
          <w:bCs/>
          <w:color w:val="1A1C2E"/>
          <w:sz w:val="24"/>
          <w:szCs w:val="24"/>
        </w:rPr>
        <w:t xml:space="preserve">8.   Can a client have multiple contacts and relationship details?</w:t>
      </w:r>
    </w:p>
    <w:p>
      <w:pPr>
        <w:spacing w:after="90"/>
        <w:ind w:left="403"/>
      </w:pPr>
      <w:r>
        <w:rPr>
          <w:sz w:val="22"/>
          <w:szCs w:val="22"/>
        </w:rPr>
        <w:t xml:space="preserve">Yes. The client record includes a Contacts section as well as Related Entities and Account Roles. These areas keep the people and relationships associated with the client separate from the primary client record.</w:t>
      </w:r>
    </w:p>
    <w:p>
      <w:pPr>
        <w:spacing w:after="90"/>
        <w:ind w:left="403"/>
      </w:pPr>
      <w:r>
        <w:rPr>
          <w:b/>
          <w:bCs/>
          <w:color w:val="4735BE"/>
          <w:sz w:val="18"/>
          <w:szCs w:val="18"/>
        </w:rPr>
        <w:t xml:space="preserve">More   </w:t>
      </w:r>
      <w:r>
        <w:rPr>
          <w:sz w:val="22"/>
          <w:szCs w:val="22"/>
        </w:rPr>
        <w:t xml:space="preserve">For example, a business client can keep an owner, bookkeeper, payroll contact, and authorized signer as separate contacts, while Related Entities records connected companies and Account Roles clarifies each person's relationship. Portal access and communication recipients can then be managed against the appropriate contact.</w:t>
      </w:r>
    </w:p>
    <w:p>
      <w:pPr>
        <w:spacing w:after="40" w:before="70"/>
        <w:ind w:left="403"/>
      </w:pPr>
      <w:r>
        <w:rPr>
          <w:color w:val="8B8FA3"/>
          <w:sz w:val="17"/>
          <w:szCs w:val="17"/>
        </w:rPr>
        <w:t xml:space="preserve">Ref: pro-can-a-client-have-multiple-contacts-and-relationship-details-38</w:t>
      </w:r>
    </w:p>
    <w:p>
      <w:pPr>
        <w:keepNext/>
        <w:spacing w:after="90" w:before="220"/>
      </w:pPr>
      <w:r>
        <w:rPr>
          <w:b/>
          <w:bCs/>
          <w:color w:val="1A1C2E"/>
          <w:sz w:val="24"/>
          <w:szCs w:val="24"/>
        </w:rPr>
        <w:t xml:space="preserve">9.   How does AssurePro help complete a client profile?</w:t>
      </w:r>
    </w:p>
    <w:p>
      <w:pPr>
        <w:spacing w:after="90"/>
        <w:ind w:left="403"/>
      </w:pPr>
      <w:r>
        <w:rPr>
          <w:sz w:val="22"/>
          <w:szCs w:val="22"/>
        </w:rPr>
        <w:t xml:space="preserve">The Info tab shows a profile-completeness checklist and identifies missing fields. Staff can add missing contact, address, entity, and period information directly from that checklist.</w:t>
      </w:r>
    </w:p>
    <w:p>
      <w:pPr>
        <w:spacing w:after="90"/>
        <w:ind w:left="403"/>
      </w:pPr>
      <w:r>
        <w:rPr>
          <w:b/>
          <w:bCs/>
          <w:color w:val="4735BE"/>
          <w:sz w:val="18"/>
          <w:szCs w:val="18"/>
        </w:rPr>
        <w:t xml:space="preserve">More   </w:t>
      </w:r>
      <w:r>
        <w:rPr>
          <w:sz w:val="22"/>
          <w:szCs w:val="22"/>
        </w:rPr>
        <w:t xml:space="preserve">Treat the checklist as an onboarding quality control rather than a cosmetic score. Completing the missing entity, address, contact, filing-period, and related fields improves downstream engagement setup, document requests, communications, agreements, invoices, and reports.</w:t>
      </w:r>
    </w:p>
    <w:p>
      <w:pPr>
        <w:spacing w:after="40" w:before="70"/>
        <w:ind w:left="403"/>
      </w:pPr>
      <w:r>
        <w:rPr>
          <w:color w:val="8B8FA3"/>
          <w:sz w:val="17"/>
          <w:szCs w:val="17"/>
        </w:rPr>
        <w:t xml:space="preserve">Ref: pro-how-does-assurepro-help-complete-a-client-profile-39</w:t>
      </w:r>
    </w:p>
    <w:p>
      <w:pPr>
        <w:keepNext/>
        <w:spacing w:after="90" w:before="220"/>
      </w:pPr>
      <w:r>
        <w:rPr>
          <w:b/>
          <w:bCs/>
          <w:color w:val="1A1C2E"/>
          <w:sz w:val="24"/>
          <w:szCs w:val="24"/>
        </w:rPr>
        <w:t xml:space="preserve">10.   Can a portal invitation be sent again?</w:t>
      </w:r>
    </w:p>
    <w:p>
      <w:pPr>
        <w:spacing w:after="90"/>
        <w:ind w:left="403"/>
      </w:pPr>
      <w:r>
        <w:rPr>
          <w:sz w:val="22"/>
          <w:szCs w:val="22"/>
        </w:rPr>
        <w:t xml:space="preserve">Yes. Portal access can be initiated during client creation or managed later from the client record.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Info.</w:t>
      </w:r>
    </w:p>
    <w:p>
      <w:pPr>
        <w:pStyle w:val="ListParagraph"/>
        <w:numPr>
          <w:ilvl w:val="0"/>
          <w:numId w:val="2"/>
        </w:numPr>
        <w:spacing w:after="40"/>
        <w:ind w:left="892"/>
      </w:pPr>
      <w:r>
        <w:rPr>
          <w:sz w:val="21"/>
          <w:szCs w:val="21"/>
        </w:rPr>
        <w:t xml:space="preserve">Find the contact who should have portal access and confirm the email address is correct.</w:t>
      </w:r>
    </w:p>
    <w:p>
      <w:pPr>
        <w:pStyle w:val="ListParagraph"/>
        <w:numPr>
          <w:ilvl w:val="0"/>
          <w:numId w:val="2"/>
        </w:numPr>
        <w:spacing w:after="40"/>
        <w:ind w:left="892"/>
      </w:pPr>
      <w:r>
        <w:rPr>
          <w:sz w:val="21"/>
          <w:szCs w:val="21"/>
        </w:rPr>
        <w:t xml:space="preserve">Use Resend invite for a contact whose invitation needs to be issued again.</w:t>
      </w:r>
    </w:p>
    <w:p>
      <w:pPr>
        <w:pStyle w:val="ListParagraph"/>
        <w:numPr>
          <w:ilvl w:val="0"/>
          <w:numId w:val="2"/>
        </w:numPr>
        <w:spacing w:after="40"/>
        <w:ind w:left="892"/>
      </w:pPr>
      <w:r>
        <w:rPr>
          <w:sz w:val="21"/>
          <w:szCs w:val="21"/>
        </w:rPr>
        <w:t xml:space="preserve">Ask the client to open the newest invitation, accept it, verify the invited email when prompted, and set their portal password.</w:t>
      </w:r>
    </w:p>
    <w:p>
      <w:pPr>
        <w:pStyle w:val="ListParagraph"/>
        <w:numPr>
          <w:ilvl w:val="0"/>
          <w:numId w:val="2"/>
        </w:numPr>
        <w:spacing w:after="40"/>
        <w:ind w:left="892"/>
      </w:pPr>
      <w:r>
        <w:rPr>
          <w:sz w:val="21"/>
          <w:szCs w:val="21"/>
        </w:rPr>
        <w:t xml:space="preserve">Confirm successful access from the client's activity history or portal-access status.</w:t>
      </w:r>
    </w:p>
    <w:p>
      <w:pPr>
        <w:spacing w:after="40" w:before="70"/>
        <w:ind w:left="403"/>
      </w:pPr>
      <w:r>
        <w:rPr>
          <w:color w:val="8B8FA3"/>
          <w:sz w:val="17"/>
          <w:szCs w:val="17"/>
        </w:rPr>
        <w:t xml:space="preserve">Ref: pro-can-a-portal-invitation-be-sent-again-40</w:t>
      </w:r>
    </w:p>
    <w:p>
      <w:pPr>
        <w:keepNext/>
        <w:spacing w:after="90" w:before="220"/>
      </w:pPr>
      <w:r>
        <w:rPr>
          <w:b/>
          <w:bCs/>
          <w:color w:val="1A1C2E"/>
          <w:sz w:val="24"/>
          <w:szCs w:val="24"/>
        </w:rPr>
        <w:t xml:space="preserve">11.   What can a client do through the client portal?</w:t>
      </w:r>
    </w:p>
    <w:p>
      <w:pPr>
        <w:spacing w:after="90"/>
        <w:ind w:left="403"/>
      </w:pPr>
      <w:r>
        <w:rPr>
          <w:sz w:val="22"/>
          <w:szCs w:val="22"/>
        </w:rPr>
        <w:t xml:space="preserve">A client with portal access can work with the firm on the client-facing items made available to them, including engagement-letter review and signing, document requests and uploads, messages, and billing items. Portal access begins with the invitation sent during onboarding or from the client's Info tab.</w:t>
      </w:r>
    </w:p>
    <w:p>
      <w:pPr>
        <w:spacing w:after="90"/>
        <w:ind w:left="403"/>
      </w:pPr>
      <w:r>
        <w:rPr>
          <w:b/>
          <w:bCs/>
          <w:color w:val="4735BE"/>
          <w:sz w:val="18"/>
          <w:szCs w:val="18"/>
        </w:rPr>
        <w:t xml:space="preserve">More   </w:t>
      </w:r>
      <w:r>
        <w:rPr>
          <w:sz w:val="22"/>
          <w:szCs w:val="22"/>
        </w:rPr>
        <w:t xml:space="preserve">A typical flow is: accept the invitation, set a password, open a request or message, upload the requested documents, review and sign the engagement package, and pay an invoice when billing is enabled. The client sees only the client-facing work made available by the firm, not the internal staff workspace.</w:t>
      </w:r>
    </w:p>
    <w:p>
      <w:pPr>
        <w:spacing w:after="40" w:before="70"/>
        <w:ind w:left="403"/>
      </w:pPr>
      <w:r>
        <w:rPr>
          <w:color w:val="8B8FA3"/>
          <w:sz w:val="17"/>
          <w:szCs w:val="17"/>
        </w:rPr>
        <w:t xml:space="preserve">Ref: pro-what-can-a-client-do-through-the-client-portal-41</w:t>
      </w:r>
    </w:p>
    <w:p>
      <w:pPr>
        <w:keepNext/>
        <w:spacing w:after="90" w:before="220"/>
      </w:pPr>
      <w:r>
        <w:rPr>
          <w:b/>
          <w:bCs/>
          <w:color w:val="1A1C2E"/>
          <w:sz w:val="24"/>
          <w:szCs w:val="24"/>
        </w:rPr>
        <w:t xml:space="preserve">12.   Does a client set a password for the client portal, or use a passwordless link?</w:t>
      </w:r>
    </w:p>
    <w:p>
      <w:pPr>
        <w:spacing w:after="90"/>
        <w:ind w:left="403"/>
      </w:pPr>
      <w:r>
        <w:rPr>
          <w:sz w:val="22"/>
          <w:szCs w:val="22"/>
        </w:rPr>
        <w:t xml:space="preserve">The invitation flow uses an account password rather than a permanent passwordless link. The client opens the invitation sent to their email address, accepts it, completes the email-verification step when requested, and sets a password. Subsequent client activity—including invitation acceptance, password creation, and portal login—can appear in Recent activity for operational confirmation.</w:t>
      </w:r>
    </w:p>
    <w:p>
      <w:pPr>
        <w:spacing w:after="90"/>
        <w:ind w:left="403"/>
      </w:pPr>
      <w:r>
        <w:rPr>
          <w:b/>
          <w:bCs/>
          <w:color w:val="4735BE"/>
          <w:sz w:val="18"/>
          <w:szCs w:val="18"/>
        </w:rPr>
        <w:t xml:space="preserve">More   </w:t>
      </w:r>
      <w:r>
        <w:rPr>
          <w:sz w:val="22"/>
          <w:szCs w:val="22"/>
        </w:rPr>
        <w:t xml:space="preserve">If the client reports that the invitation link does not work, confirm the contact email and resend the invitation from Info. The client should use the newest email, complete the verification code step, set a password, and then use those credentials for later portal or mobile-app access.</w:t>
      </w:r>
    </w:p>
    <w:p>
      <w:pPr>
        <w:spacing w:after="40" w:before="70"/>
        <w:ind w:left="403"/>
      </w:pPr>
      <w:r>
        <w:rPr>
          <w:color w:val="8B8FA3"/>
          <w:sz w:val="17"/>
          <w:szCs w:val="17"/>
        </w:rPr>
        <w:t xml:space="preserve">Ref: pro-does-a-client-set-a-password-for-the-client-portal-or-use-a-passwordle-42</w:t>
      </w:r>
    </w:p>
    <w:p>
      <w:pPr>
        <w:keepNext/>
        <w:spacing w:after="90" w:before="220"/>
      </w:pPr>
      <w:r>
        <w:rPr>
          <w:b/>
          <w:bCs/>
          <w:color w:val="1A1C2E"/>
          <w:sz w:val="24"/>
          <w:szCs w:val="24"/>
        </w:rPr>
        <w:t xml:space="preserve">13.   Is there a mobile app for clients?</w:t>
      </w:r>
    </w:p>
    <w:p>
      <w:pPr>
        <w:spacing w:after="90"/>
        <w:ind w:left="403"/>
      </w:pPr>
      <w:r>
        <w:rPr>
          <w:sz w:val="22"/>
          <w:szCs w:val="22"/>
        </w:rPr>
        <w:t xml:space="preserve">Yes. AssurePro provides a client mobile app for both iOS and Android. Clients can use the mobile experience for the work the firm makes available to them, including reviewing requests, uploading documents, communicating with the firm, signing documents, and handling billing-related actions. The client must first accept the firm's portal invitation and establish their account before signing in on a mobile device.</w:t>
      </w:r>
    </w:p>
    <w:p>
      <w:pPr>
        <w:spacing w:after="90"/>
        <w:ind w:left="403"/>
      </w:pPr>
      <w:r>
        <w:rPr>
          <w:b/>
          <w:bCs/>
          <w:color w:val="4735BE"/>
          <w:sz w:val="18"/>
          <w:szCs w:val="18"/>
        </w:rPr>
        <w:t xml:space="preserve">More   </w:t>
      </w:r>
      <w:r>
        <w:rPr>
          <w:sz w:val="22"/>
          <w:szCs w:val="22"/>
        </w:rPr>
        <w:t xml:space="preserve">For a smooth rollout, ask the client to activate the account from the firm's invitation first, then install the appropriate app and sign in with the same account. The firm should still verify that the intended request, message, signing package, or invoice is visible to that contact before directing them to act.</w:t>
      </w:r>
    </w:p>
    <w:p>
      <w:pPr>
        <w:spacing w:after="40" w:before="70"/>
        <w:ind w:left="403"/>
      </w:pPr>
      <w:r>
        <w:rPr>
          <w:color w:val="8B8FA3"/>
          <w:sz w:val="17"/>
          <w:szCs w:val="17"/>
        </w:rPr>
        <w:t xml:space="preserve">Ref: pro-is-there-a-mobile-app-for-clients-43</w:t>
      </w:r>
    </w:p>
    <w:p>
      <w:pPr>
        <w:keepNext/>
        <w:spacing w:after="90" w:before="220"/>
      </w:pPr>
      <w:r>
        <w:rPr>
          <w:b/>
          <w:bCs/>
          <w:color w:val="1A1C2E"/>
          <w:sz w:val="24"/>
          <w:szCs w:val="24"/>
        </w:rPr>
        <w:t xml:space="preserve">14.   Can we migrate data from our previous practice-management software?</w:t>
      </w:r>
    </w:p>
    <w:p>
      <w:pPr>
        <w:spacing w:after="60"/>
        <w:ind w:left="403"/>
      </w:pPr>
      <w:r>
        <w:rPr>
          <w:sz w:val="22"/>
          <w:szCs w:val="22"/>
        </w:rPr>
        <w:t xml:space="preserve">Yes. AssurePro's implementation team supports migration from other practice-management platforms, including systems such as Karbon, Canopy, and TaxDome, as part of onboarding. The firm should identify the source system, records and documents to move, custom fields, user assignments, historical depth, and target cutover date. The implementation team then confirms the export format, field mapping, import sequence, exception handling, and validation process so the firm can review the migrated data before relying on it for live work.</w:t>
      </w:r>
    </w:p>
    <w:p>
      <w:pPr>
        <w:spacing w:after="40" w:before="70"/>
        <w:ind w:left="403"/>
      </w:pPr>
      <w:r>
        <w:rPr>
          <w:color w:val="8B8FA3"/>
          <w:sz w:val="17"/>
          <w:szCs w:val="17"/>
        </w:rPr>
        <w:t xml:space="preserve">Ref: pro-can-we-migrate-data-from-our-previous-practice-management-software-44</w:t>
      </w:r>
    </w:p>
    <w:p>
      <w:pPr>
        <w:keepNext/>
        <w:spacing w:after="90" w:before="220"/>
      </w:pPr>
      <w:r>
        <w:rPr>
          <w:b/>
          <w:bCs/>
          <w:color w:val="1A1C2E"/>
          <w:sz w:val="24"/>
          <w:szCs w:val="24"/>
        </w:rPr>
        <w:t xml:space="preserve">15.   Does AssurePro include CRM capabilities?</w:t>
      </w:r>
    </w:p>
    <w:p>
      <w:pPr>
        <w:spacing w:after="90"/>
        <w:ind w:left="403"/>
      </w:pPr>
      <w:r>
        <w:rPr>
          <w:sz w:val="22"/>
          <w:szCs w:val="22"/>
        </w:rPr>
        <w:t xml:space="preserve">Yes. AssurePro combines client records with a prospect pipeline. Firms can capture leads, owners, expected close dates, sources, service interests, deal values, and other prospect details, then manage active clients through dedicated workspaces containing contacts, engagements, documents, communications, billing, and related information.</w:t>
      </w:r>
    </w:p>
    <w:p>
      <w:pPr>
        <w:spacing w:after="90"/>
        <w:ind w:left="403"/>
      </w:pPr>
      <w:r>
        <w:rPr>
          <w:b/>
          <w:bCs/>
          <w:color w:val="4735BE"/>
          <w:sz w:val="18"/>
          <w:szCs w:val="18"/>
        </w:rPr>
        <w:t xml:space="preserve">More   </w:t>
      </w:r>
      <w:r>
        <w:rPr>
          <w:sz w:val="22"/>
          <w:szCs w:val="22"/>
        </w:rPr>
        <w:t xml:space="preserve">For example, a firm can capture a referral as a prospect, assign an owner and expected close date, record service interest and deal value, move it through Discovery and Proposal, and mark it Won. The resulting client can then continue into portal onboarding, documents, engagement delivery, agreements, and billing without rebuilding the relationship.</w:t>
      </w:r>
    </w:p>
    <w:p>
      <w:pPr>
        <w:spacing w:after="40" w:before="70"/>
        <w:ind w:left="403"/>
      </w:pPr>
      <w:r>
        <w:rPr>
          <w:color w:val="8B8FA3"/>
          <w:sz w:val="17"/>
          <w:szCs w:val="17"/>
        </w:rPr>
        <w:t xml:space="preserve">Ref: pro-does-assurepro-include-crm-capabilities-45</w:t>
      </w:r>
    </w:p>
    <w:p>
      <w:pPr>
        <w:keepNext/>
        <w:spacing w:after="90" w:before="220"/>
      </w:pPr>
      <w:r>
        <w:rPr>
          <w:b/>
          <w:bCs/>
          <w:color w:val="1A1C2E"/>
          <w:sz w:val="24"/>
          <w:szCs w:val="24"/>
        </w:rPr>
        <w:t xml:space="preserve">16.   How are prospects managed before they become clients?</w:t>
      </w:r>
    </w:p>
    <w:p>
      <w:pPr>
        <w:spacing w:after="90"/>
        <w:ind w:left="403"/>
      </w:pPr>
      <w:r>
        <w:rPr>
          <w:sz w:val="22"/>
          <w:szCs w:val="22"/>
        </w:rPr>
        <w:t xml:space="preserve">Prospects can be managed in Board or List view inside a firm-defined pipeline. The firm is not limited to one fixed sales process: administrators can create a new pipeline and define, rename, reorder, add, or restructure its stages to match the firm's qualification and proposal process.</w:t>
      </w:r>
    </w:p>
    <w:p>
      <w:pPr>
        <w:spacing w:after="90"/>
        <w:ind w:left="403"/>
      </w:pPr>
      <w:r>
        <w:rPr>
          <w:b/>
          <w:bCs/>
          <w:color w:val="4735BE"/>
          <w:sz w:val="18"/>
          <w:szCs w:val="18"/>
        </w:rPr>
        <w:t xml:space="preserve">More   </w:t>
      </w:r>
      <w:r>
        <w:rPr>
          <w:sz w:val="22"/>
          <w:szCs w:val="22"/>
        </w:rPr>
        <w:t xml:space="preserve">A firm may use one pipeline for all prospects or create separate pipelines for service lines or sales motions. For example, an advisory pipeline may include Assessment and Scoping stages, while a tax pipeline may move from New lead to Documents received, Proposal, Won, or Lost. Restructuring the stages changes how the firm organizes future pipeline work, so administrators should agree on the definitions before rollout.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Choose or create the pipeline used for the relevant service line or prospect process.</w:t>
      </w:r>
    </w:p>
    <w:p>
      <w:pPr>
        <w:pStyle w:val="ListParagraph"/>
        <w:numPr>
          <w:ilvl w:val="0"/>
          <w:numId w:val="2"/>
        </w:numPr>
        <w:spacing w:after="40"/>
        <w:ind w:left="892"/>
      </w:pPr>
      <w:r>
        <w:rPr>
          <w:sz w:val="21"/>
          <w:szCs w:val="21"/>
        </w:rPr>
        <w:t xml:space="preserve">Configure the stages in the order work should move—for example, New lead, Discovery, Qualified, Proposal, Decision, Won, and Lost.</w:t>
      </w:r>
    </w:p>
    <w:p>
      <w:pPr>
        <w:pStyle w:val="ListParagraph"/>
        <w:numPr>
          <w:ilvl w:val="0"/>
          <w:numId w:val="2"/>
        </w:numPr>
        <w:spacing w:after="40"/>
        <w:ind w:left="892"/>
      </w:pPr>
      <w:r>
        <w:rPr>
          <w:sz w:val="21"/>
          <w:szCs w:val="21"/>
        </w:rPr>
        <w:t xml:space="preserve">Use Board view to move prospects between stages and see the pipeline visually; use List view to search, filter, and compare prospect details in rows.</w:t>
      </w:r>
    </w:p>
    <w:p>
      <w:pPr>
        <w:pStyle w:val="ListParagraph"/>
        <w:numPr>
          <w:ilvl w:val="0"/>
          <w:numId w:val="2"/>
        </w:numPr>
        <w:spacing w:after="40"/>
        <w:ind w:left="892"/>
      </w:pPr>
      <w:r>
        <w:rPr>
          <w:sz w:val="21"/>
          <w:szCs w:val="21"/>
        </w:rPr>
        <w:t xml:space="preserve">Open a prospect to manage owners, tasks, notes, emails, calls, service interest, deal value, expected close date, and engagement-letter activity.</w:t>
      </w:r>
    </w:p>
    <w:p>
      <w:pPr>
        <w:pStyle w:val="ListParagraph"/>
        <w:numPr>
          <w:ilvl w:val="0"/>
          <w:numId w:val="2"/>
        </w:numPr>
        <w:spacing w:after="40"/>
        <w:ind w:left="892"/>
      </w:pPr>
      <w:r>
        <w:rPr>
          <w:sz w:val="21"/>
          <w:szCs w:val="21"/>
        </w:rPr>
        <w:t xml:space="preserve">Review lead count, pipeline value, won count and value, win rate, and average deal size for the selected pipeline.</w:t>
      </w:r>
    </w:p>
    <w:p>
      <w:pPr>
        <w:pStyle w:val="ListParagraph"/>
        <w:numPr>
          <w:ilvl w:val="0"/>
          <w:numId w:val="2"/>
        </w:numPr>
        <w:spacing w:after="40"/>
        <w:ind w:left="892"/>
      </w:pPr>
      <w:r>
        <w:rPr>
          <w:sz w:val="21"/>
          <w:szCs w:val="21"/>
        </w:rPr>
        <w:t xml:space="preserve">Move the prospect to Won when the opportunity is accepted; AssurePro then creates or promotes the client record so onboarding can continue without re-entering the prospect information.</w:t>
      </w:r>
    </w:p>
    <w:p>
      <w:pPr>
        <w:spacing w:after="40" w:before="70"/>
        <w:ind w:left="403"/>
      </w:pPr>
      <w:r>
        <w:rPr>
          <w:color w:val="8B8FA3"/>
          <w:sz w:val="17"/>
          <w:szCs w:val="17"/>
        </w:rPr>
        <w:t xml:space="preserve">Ref: pro-how-are-prospects-managed-before-they-become-clients-46</w:t>
      </w:r>
    </w:p>
    <w:p>
      <w:pPr>
        <w:keepNext/>
        <w:spacing w:after="90" w:before="220"/>
      </w:pPr>
      <w:r>
        <w:rPr>
          <w:b/>
          <w:bCs/>
          <w:color w:val="1A1C2E"/>
          <w:sz w:val="24"/>
          <w:szCs w:val="24"/>
        </w:rPr>
        <w:t xml:space="preserve">17.   How do I create a prospect?</w:t>
      </w:r>
    </w:p>
    <w:p>
      <w:pPr>
        <w:spacing w:after="90"/>
        <w:ind w:left="403"/>
      </w:pPr>
      <w:r>
        <w:rPr>
          <w:sz w:val="22"/>
          <w:szCs w:val="22"/>
        </w:rPr>
        <w:t xml:space="preserve">Open Prospects and select New prospect. Enter the required name and email, then add any company, deal value, phone, stage, source, owners, expected close date, tags, lead type, referrer, industry, size, job role, designation, service interest, and linked contact. Select Add prospect to place the lead in the chosen pipeline stage.</w:t>
      </w:r>
    </w:p>
    <w:p>
      <w:pPr>
        <w:spacing w:after="90"/>
        <w:ind w:left="403"/>
      </w:pPr>
      <w:r>
        <w:rPr>
          <w:b/>
          <w:bCs/>
          <w:color w:val="4735BE"/>
          <w:sz w:val="18"/>
          <w:szCs w:val="18"/>
        </w:rPr>
        <w:t xml:space="preserve">More   </w:t>
      </w:r>
      <w:r>
        <w:rPr>
          <w:sz w:val="22"/>
          <w:szCs w:val="22"/>
        </w:rPr>
        <w:t xml:space="preserve">After saving, confirm that the lead appears in the intended pipeline and stage and that the owner and expected close date are correct. Add a task or note for the next action; when the opportunity succeeds, move it to Won so the lead becomes a client without losing the prospect history.</w:t>
      </w:r>
    </w:p>
    <w:p>
      <w:pPr>
        <w:spacing w:after="40" w:before="70"/>
        <w:ind w:left="403"/>
      </w:pPr>
      <w:r>
        <w:rPr>
          <w:color w:val="8B8FA3"/>
          <w:sz w:val="17"/>
          <w:szCs w:val="17"/>
        </w:rPr>
        <w:t xml:space="preserve">Ref: pro-how-do-i-create-a-prospect-47</w:t>
      </w:r>
    </w:p>
    <w:p>
      <w:pPr>
        <w:keepNext/>
        <w:spacing w:after="90" w:before="220"/>
      </w:pPr>
      <w:r>
        <w:rPr>
          <w:b/>
          <w:bCs/>
          <w:color w:val="1A1C2E"/>
          <w:sz w:val="24"/>
          <w:szCs w:val="24"/>
        </w:rPr>
        <w:t xml:space="preserve">18.   What information can be captured for a prospect?</w:t>
      </w:r>
    </w:p>
    <w:p>
      <w:pPr>
        <w:spacing w:after="90"/>
        <w:ind w:left="403"/>
      </w:pPr>
      <w:r>
        <w:rPr>
          <w:sz w:val="22"/>
          <w:szCs w:val="22"/>
        </w:rPr>
        <w:t xml:space="preserve">A prospect record supports standard sales, contact, ownership, and qualification information, and the firm can extend the record with custom fields configured in Settings.</w:t>
      </w:r>
    </w:p>
    <w:p>
      <w:pPr>
        <w:spacing w:after="90"/>
        <w:ind w:left="403"/>
      </w:pPr>
      <w:r>
        <w:rPr>
          <w:b/>
          <w:bCs/>
          <w:color w:val="4735BE"/>
          <w:sz w:val="18"/>
          <w:szCs w:val="18"/>
        </w:rPr>
        <w:t xml:space="preserve">More   </w:t>
      </w:r>
      <w:r>
        <w:rPr>
          <w:sz w:val="22"/>
          <w:szCs w:val="22"/>
        </w:rPr>
        <w:t xml:space="preserve">Custom fields let the firm collect qualification details unique to its process—for example, current accounting system, number of entities, annual revenue band, fiscal year-end, tax jurisdictions, audit requirement, or preferred onboarding date. Use clear field labels and consistent field types so staff can complete the record reliably and the information remains useful after the prospect becomes a client.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Capture the prospect or company name, email, phone number, linked contact, and other contact details.</w:t>
      </w:r>
    </w:p>
    <w:p>
      <w:pPr>
        <w:pStyle w:val="ListParagraph"/>
        <w:numPr>
          <w:ilvl w:val="0"/>
          <w:numId w:val="2"/>
        </w:numPr>
        <w:spacing w:after="40"/>
        <w:ind w:left="892"/>
      </w:pPr>
      <w:r>
        <w:rPr>
          <w:sz w:val="21"/>
          <w:szCs w:val="21"/>
        </w:rPr>
        <w:t xml:space="preserve">Set the pipeline and stage, source, owner or owners, expected close date, deal value, lead type, referrer, and service interest.</w:t>
      </w:r>
    </w:p>
    <w:p>
      <w:pPr>
        <w:pStyle w:val="ListParagraph"/>
        <w:numPr>
          <w:ilvl w:val="0"/>
          <w:numId w:val="2"/>
        </w:numPr>
        <w:spacing w:after="40"/>
        <w:ind w:left="892"/>
      </w:pPr>
      <w:r>
        <w:rPr>
          <w:sz w:val="21"/>
          <w:szCs w:val="21"/>
        </w:rPr>
        <w:t xml:space="preserve">Add segmentation details such as tags, industry, company size, job role, and designation.</w:t>
      </w:r>
    </w:p>
    <w:p>
      <w:pPr>
        <w:pStyle w:val="ListParagraph"/>
        <w:numPr>
          <w:ilvl w:val="0"/>
          <w:numId w:val="2"/>
        </w:numPr>
        <w:spacing w:after="40"/>
        <w:ind w:left="892"/>
      </w:pPr>
      <w:r>
        <w:rPr>
          <w:sz w:val="21"/>
          <w:szCs w:val="21"/>
        </w:rPr>
        <w:t xml:space="preserve">When the firm needs information that is not part of the standard record, open Settings, create the appropriate prospect custom field, define its label and field type, and make it available for prospect records.</w:t>
      </w:r>
    </w:p>
    <w:p>
      <w:pPr>
        <w:pStyle w:val="ListParagraph"/>
        <w:numPr>
          <w:ilvl w:val="0"/>
          <w:numId w:val="2"/>
        </w:numPr>
        <w:spacing w:after="40"/>
        <w:ind w:left="892"/>
      </w:pPr>
      <w:r>
        <w:rPr>
          <w:sz w:val="21"/>
          <w:szCs w:val="21"/>
        </w:rPr>
        <w:t xml:space="preserve">Use those custom fields consistently on new and existing prospects so filtering, qualification, handoff, and conversion follow the firm's process.</w:t>
      </w:r>
    </w:p>
    <w:p>
      <w:pPr>
        <w:pStyle w:val="ListParagraph"/>
        <w:numPr>
          <w:ilvl w:val="0"/>
          <w:numId w:val="2"/>
        </w:numPr>
        <w:spacing w:after="40"/>
        <w:ind w:left="892"/>
      </w:pPr>
      <w:r>
        <w:rPr>
          <w:sz w:val="21"/>
          <w:szCs w:val="21"/>
        </w:rPr>
        <w:t xml:space="preserve">For a larger starting list, import prospects from CSV and map the available columns before completing the import.</w:t>
      </w:r>
    </w:p>
    <w:p>
      <w:pPr>
        <w:spacing w:after="40" w:before="70"/>
        <w:ind w:left="403"/>
      </w:pPr>
      <w:r>
        <w:rPr>
          <w:color w:val="8B8FA3"/>
          <w:sz w:val="17"/>
          <w:szCs w:val="17"/>
        </w:rPr>
        <w:t xml:space="preserve">Also in Settings   ·   Ref: pro-what-information-can-be-captured-for-a-prospect-48</w:t>
      </w:r>
    </w:p>
    <w:p>
      <w:pPr>
        <w:keepNext/>
        <w:spacing w:after="90" w:before="220"/>
      </w:pPr>
      <w:r>
        <w:rPr>
          <w:b/>
          <w:bCs/>
          <w:color w:val="1A1C2E"/>
          <w:sz w:val="24"/>
          <w:szCs w:val="24"/>
        </w:rPr>
        <w:t xml:space="preserve">19.   What work can be managed from a prospect record?</w:t>
      </w:r>
    </w:p>
    <w:p>
      <w:pPr>
        <w:spacing w:after="90"/>
        <w:ind w:left="403"/>
      </w:pPr>
      <w:r>
        <w:rPr>
          <w:sz w:val="22"/>
          <w:szCs w:val="22"/>
        </w:rPr>
        <w:t xml:space="preserve">A prospect record keeps the lead information and pipeline stage together with tabs for Overview, Tasks, Email, Calls, and Engagement Letters. Staff can also add tasks and notes while the opportunity moves through Prospect, Discovery, Proposal, Won, or Lost.</w:t>
      </w:r>
    </w:p>
    <w:p>
      <w:pPr>
        <w:spacing w:after="90"/>
        <w:ind w:left="403"/>
      </w:pPr>
      <w:r>
        <w:rPr>
          <w:b/>
          <w:bCs/>
          <w:color w:val="4735BE"/>
          <w:sz w:val="18"/>
          <w:szCs w:val="18"/>
        </w:rPr>
        <w:t xml:space="preserve">More   </w:t>
      </w:r>
      <w:r>
        <w:rPr>
          <w:sz w:val="22"/>
          <w:szCs w:val="22"/>
        </w:rPr>
        <w:t xml:space="preserve">A practical sequence is to record the lead, assign discovery tasks, keep outreach in Email or Calls, add notes after each conversation, prepare an engagement letter during Proposal, and change the stage as the opportunity advances. Mark Won only when it should enter client onboarding; use Lost when the opportunity should remain in history without becoming a client.</w:t>
      </w:r>
    </w:p>
    <w:p>
      <w:pPr>
        <w:spacing w:after="40" w:before="70"/>
        <w:ind w:left="403"/>
      </w:pPr>
      <w:r>
        <w:rPr>
          <w:color w:val="8B8FA3"/>
          <w:sz w:val="17"/>
          <w:szCs w:val="17"/>
        </w:rPr>
        <w:t xml:space="preserve">Ref: pro-what-work-can-be-managed-from-a-prospect-record-49</w:t>
      </w:r>
    </w:p>
    <w:p>
      <w:r>
        <w:br w:type="page"/>
      </w:r>
    </w:p>
    <w:p>
      <w:pPr>
        <w:pStyle w:val="Heading1"/>
        <w:spacing w:after="40" w:before="60"/>
      </w:pPr>
      <w:r>
        <w:rPr>
          <w:b/>
          <w:bCs/>
          <w:color w:val="1A1C2E"/>
          <w:sz w:val="32"/>
          <w:szCs w:val="32"/>
        </w:rPr>
        <w:t xml:space="preserve">Documents</w:t>
      </w:r>
    </w:p>
    <w:p>
      <w:pPr>
        <w:pBdr>
          <w:bottom w:val="single" w:color="E4E2F0" w:sz="4"/>
        </w:pBdr>
        <w:spacing w:after="200"/>
      </w:pPr>
      <w:r>
        <w:rPr>
          <w:color w:val="8B8FA3"/>
          <w:sz w:val="20"/>
          <w:szCs w:val="20"/>
        </w:rPr>
        <w:t xml:space="preserve">14 questions</w:t>
      </w:r>
    </w:p>
    <w:p>
      <w:pPr>
        <w:keepNext/>
        <w:spacing w:after="90" w:before="220"/>
      </w:pPr>
      <w:r>
        <w:rPr>
          <w:b/>
          <w:bCs/>
          <w:color w:val="1A1C2E"/>
          <w:sz w:val="24"/>
          <w:szCs w:val="24"/>
        </w:rPr>
        <w:t xml:space="preserve">1.   How are documents organized across the firm?</w:t>
      </w:r>
    </w:p>
    <w:p>
      <w:pPr>
        <w:spacing w:after="90"/>
        <w:ind w:left="403"/>
      </w:pPr>
      <w:r>
        <w:rPr>
          <w:sz w:val="22"/>
          <w:szCs w:val="22"/>
        </w:rPr>
        <w:t xml:space="preserve">The top-level Documents screen groups work by client and highlights clients that are awaiting documents. Inside a client workspace, documents are organized into folders and can be viewed by areas such as client uploads, messaging, engagement letters, tax returns, source documents, signed forms, correspondence, and miscellaneous files.</w:t>
      </w:r>
    </w:p>
    <w:p>
      <w:pPr>
        <w:spacing w:after="90"/>
        <w:ind w:left="403"/>
      </w:pPr>
      <w:r>
        <w:rPr>
          <w:b/>
          <w:bCs/>
          <w:color w:val="4735BE"/>
          <w:sz w:val="18"/>
          <w:szCs w:val="18"/>
        </w:rPr>
        <w:t xml:space="preserve">More   </w:t>
      </w:r>
      <w:r>
        <w:rPr>
          <w:sz w:val="22"/>
          <w:szCs w:val="22"/>
        </w:rPr>
        <w:t xml:space="preserve">The firm-level view helps staff find clients with missing documents, while the client workspace provides the actual folder hierarchy and request history. Use Folder Templates for consistency, Document Types for classification, and source filters to distinguish requested client uploads from internal or imported files.</w:t>
      </w:r>
    </w:p>
    <w:p>
      <w:pPr>
        <w:spacing w:after="40" w:before="70"/>
        <w:ind w:left="403"/>
      </w:pPr>
      <w:r>
        <w:rPr>
          <w:color w:val="8B8FA3"/>
          <w:sz w:val="17"/>
          <w:szCs w:val="17"/>
        </w:rPr>
        <w:t xml:space="preserve">Ref: pro-how-are-documents-organized-across-the-firm-50</w:t>
      </w:r>
    </w:p>
    <w:p>
      <w:pPr>
        <w:keepNext/>
        <w:spacing w:after="90" w:before="220"/>
      </w:pPr>
      <w:r>
        <w:rPr>
          <w:b/>
          <w:bCs/>
          <w:color w:val="1A1C2E"/>
          <w:sz w:val="24"/>
          <w:szCs w:val="24"/>
        </w:rPr>
        <w:t xml:space="preserve">2.   Can firms standardize folder structures and document labels?</w:t>
      </w:r>
    </w:p>
    <w:p>
      <w:pPr>
        <w:spacing w:after="90"/>
        <w:ind w:left="403"/>
      </w:pPr>
      <w:r>
        <w:rPr>
          <w:sz w:val="22"/>
          <w:szCs w:val="22"/>
        </w:rPr>
        <w:t xml:space="preserve">Yes. Documents settings contain Folder Templates, Document Types, and Work Types. Administrators can create folder templates, add folders, define document codes, labels, categories, descriptions, and fields, and control which definitions are active.</w:t>
      </w:r>
    </w:p>
    <w:p>
      <w:pPr>
        <w:spacing w:after="90"/>
        <w:ind w:left="403"/>
      </w:pPr>
      <w:r>
        <w:rPr>
          <w:b/>
          <w:bCs/>
          <w:color w:val="4735BE"/>
          <w:sz w:val="18"/>
          <w:szCs w:val="18"/>
        </w:rPr>
        <w:t xml:space="preserve">More   </w:t>
      </w:r>
      <w:r>
        <w:rPr>
          <w:sz w:val="22"/>
          <w:szCs w:val="22"/>
        </w:rPr>
        <w:t xml:space="preserve">For example, a tax folder template can create Intake, Source Documents, Workpapers, Review, Filed Return, and Correspondence folders, while document types distinguish W-2, 1099, K-1, identification, and signed forms. Apply the standard during onboarding so staff and clients see a predictable structure.</w:t>
      </w:r>
    </w:p>
    <w:p>
      <w:pPr>
        <w:spacing w:after="40" w:before="70"/>
        <w:ind w:left="403"/>
      </w:pPr>
      <w:r>
        <w:rPr>
          <w:color w:val="8B8FA3"/>
          <w:sz w:val="17"/>
          <w:szCs w:val="17"/>
        </w:rPr>
        <w:t xml:space="preserve">Also in Settings   ·   Ref: pro-can-firms-standardize-folder-structures-and-document-labels-51</w:t>
      </w:r>
    </w:p>
    <w:p>
      <w:pPr>
        <w:keepNext/>
        <w:spacing w:after="90" w:before="220"/>
      </w:pPr>
      <w:r>
        <w:rPr>
          <w:b/>
          <w:bCs/>
          <w:color w:val="1A1C2E"/>
          <w:sz w:val="24"/>
          <w:szCs w:val="24"/>
        </w:rPr>
        <w:t xml:space="preserve">3.   How do I create or update a folder template?</w:t>
      </w:r>
    </w:p>
    <w:p>
      <w:pPr>
        <w:spacing w:after="90"/>
        <w:ind w:left="403"/>
      </w:pPr>
      <w:r>
        <w:rPr>
          <w:sz w:val="22"/>
          <w:szCs w:val="22"/>
        </w:rPr>
        <w:t xml:space="preserve">Open Settings, choose Documents, and stay on Folder Templates. Select New template to create a structure or open an existing template, then use Add Folder to build its hierarchy. The finished template can be applied from a client's Documents tab or selected as an onboarding default.</w:t>
      </w:r>
    </w:p>
    <w:p>
      <w:pPr>
        <w:spacing w:after="90"/>
        <w:ind w:left="403"/>
      </w:pPr>
      <w:r>
        <w:rPr>
          <w:b/>
          <w:bCs/>
          <w:color w:val="4735BE"/>
          <w:sz w:val="18"/>
          <w:szCs w:val="18"/>
        </w:rPr>
        <w:t xml:space="preserve">More   </w:t>
      </w:r>
      <w:r>
        <w:rPr>
          <w:sz w:val="22"/>
          <w:szCs w:val="22"/>
        </w:rPr>
        <w:t xml:space="preserve">Design the template around a repeatable service or period rather than one exceptional client. After editing, test Apply Template in a demo client to confirm folder names and hierarchy; then select the template in Onboarding Defaults if it should be used automatically for future clients.</w:t>
      </w:r>
    </w:p>
    <w:p>
      <w:pPr>
        <w:spacing w:after="40" w:before="70"/>
        <w:ind w:left="403"/>
      </w:pPr>
      <w:r>
        <w:rPr>
          <w:color w:val="8B8FA3"/>
          <w:sz w:val="17"/>
          <w:szCs w:val="17"/>
        </w:rPr>
        <w:t xml:space="preserve">Also in Settings   ·   Ref: pro-how-do-i-create-or-update-a-folder-template-52</w:t>
      </w:r>
    </w:p>
    <w:p>
      <w:pPr>
        <w:keepNext/>
        <w:spacing w:after="90" w:before="220"/>
      </w:pPr>
      <w:r>
        <w:rPr>
          <w:b/>
          <w:bCs/>
          <w:color w:val="1A1C2E"/>
          <w:sz w:val="24"/>
          <w:szCs w:val="24"/>
        </w:rPr>
        <w:t xml:space="preserve">4.   What can be configured for Document Types?</w:t>
      </w:r>
    </w:p>
    <w:p>
      <w:pPr>
        <w:spacing w:after="90"/>
        <w:ind w:left="403"/>
      </w:pPr>
      <w:r>
        <w:rPr>
          <w:sz w:val="22"/>
          <w:szCs w:val="22"/>
        </w:rPr>
        <w:t xml:space="preserve">Document Types standardize how uploads are classified and which fields can be extracted. The table shows name, category, description, field count, status, and actions; system definitions are marked System. Categories can be filtered or managed, and new firm-specific document types can be added.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Documents, and select Document Types.</w:t>
      </w:r>
    </w:p>
    <w:p>
      <w:pPr>
        <w:pStyle w:val="ListParagraph"/>
        <w:numPr>
          <w:ilvl w:val="0"/>
          <w:numId w:val="2"/>
        </w:numPr>
        <w:spacing w:after="40"/>
        <w:ind w:left="892"/>
      </w:pPr>
      <w:r>
        <w:rPr>
          <w:sz w:val="21"/>
          <w:szCs w:val="21"/>
        </w:rPr>
        <w:t xml:space="preserve">Filter by category or select Manage categories when the classification list needs maintenance.</w:t>
      </w:r>
    </w:p>
    <w:p>
      <w:pPr>
        <w:pStyle w:val="ListParagraph"/>
        <w:numPr>
          <w:ilvl w:val="0"/>
          <w:numId w:val="2"/>
        </w:numPr>
        <w:spacing w:after="40"/>
        <w:ind w:left="892"/>
      </w:pPr>
      <w:r>
        <w:rPr>
          <w:sz w:val="21"/>
          <w:szCs w:val="21"/>
        </w:rPr>
        <w:t xml:space="preserve">Select New document type, or Edit beside an existing definition.</w:t>
      </w:r>
    </w:p>
    <w:p>
      <w:pPr>
        <w:pStyle w:val="ListParagraph"/>
        <w:numPr>
          <w:ilvl w:val="0"/>
          <w:numId w:val="2"/>
        </w:numPr>
        <w:spacing w:after="40"/>
        <w:ind w:left="892"/>
      </w:pPr>
      <w:r>
        <w:rPr>
          <w:sz w:val="21"/>
          <w:szCs w:val="21"/>
        </w:rPr>
        <w:t xml:space="preserve">Set the name, category, description, fields, and active state offered by the editor.</w:t>
      </w:r>
    </w:p>
    <w:p>
      <w:pPr>
        <w:pStyle w:val="ListParagraph"/>
        <w:numPr>
          <w:ilvl w:val="0"/>
          <w:numId w:val="2"/>
        </w:numPr>
        <w:spacing w:after="40"/>
        <w:ind w:left="892"/>
      </w:pPr>
      <w:r>
        <w:rPr>
          <w:sz w:val="21"/>
          <w:szCs w:val="21"/>
        </w:rPr>
        <w:t xml:space="preserve">Review the result in the Document Types table before using it in client work.</w:t>
      </w:r>
    </w:p>
    <w:p>
      <w:pPr>
        <w:spacing w:after="40" w:before="70"/>
        <w:ind w:left="403"/>
      </w:pPr>
      <w:r>
        <w:rPr>
          <w:color w:val="8B8FA3"/>
          <w:sz w:val="17"/>
          <w:szCs w:val="17"/>
        </w:rPr>
        <w:t xml:space="preserve">Also in Settings   ·   Ref: pro-what-can-be-configured-for-document-types-53</w:t>
      </w:r>
    </w:p>
    <w:p>
      <w:pPr>
        <w:keepNext/>
        <w:spacing w:after="90" w:before="220"/>
      </w:pPr>
      <w:r>
        <w:rPr>
          <w:b/>
          <w:bCs/>
          <w:color w:val="1A1C2E"/>
          <w:sz w:val="24"/>
          <w:szCs w:val="24"/>
        </w:rPr>
        <w:t xml:space="preserve">5.   What is available under Work Types in Documents settings?</w:t>
      </w:r>
    </w:p>
    <w:p>
      <w:pPr>
        <w:spacing w:after="90"/>
        <w:ind w:left="403"/>
      </w:pPr>
      <w:r>
        <w:rPr>
          <w:sz w:val="22"/>
          <w:szCs w:val="22"/>
        </w:rPr>
        <w:t xml:space="preserve">Work Types defines the selectable work classifications used when staff create intake templates for bookkeeping, audit, accounting, advisory, and tax work. The table shows Code, Label, Description, Type, Active status, and Actions. AssurePro includes system types such as Monthly Bookkeeping, Quarterly Bookkeeping, Financial Statement Audit, Financial Statement Review, Financial Statement Compilation, Employee Benefit Plan Audit, Advisory Engagement, and tax-return types such as 1040. System types can be activated or deactivated but cannot be renamed or deleted; firm-created custom types can be maintained separately.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Documents, and select Work Types.</w:t>
      </w:r>
    </w:p>
    <w:p>
      <w:pPr>
        <w:pStyle w:val="ListParagraph"/>
        <w:numPr>
          <w:ilvl w:val="0"/>
          <w:numId w:val="2"/>
        </w:numPr>
        <w:spacing w:after="40"/>
        <w:ind w:left="892"/>
      </w:pPr>
      <w:r>
        <w:rPr>
          <w:sz w:val="21"/>
          <w:szCs w:val="21"/>
        </w:rPr>
        <w:t xml:space="preserve">Search by code, label, or description; enable Show inactive when reviewing a type that was previously disabled.</w:t>
      </w:r>
    </w:p>
    <w:p>
      <w:pPr>
        <w:pStyle w:val="ListParagraph"/>
        <w:numPr>
          <w:ilvl w:val="0"/>
          <w:numId w:val="2"/>
        </w:numPr>
        <w:spacing w:after="40"/>
        <w:ind w:left="892"/>
      </w:pPr>
      <w:r>
        <w:rPr>
          <w:sz w:val="21"/>
          <w:szCs w:val="21"/>
        </w:rPr>
        <w:t xml:space="preserve">Use the Active switch to control whether a system or custom type is available for new intake-template work.</w:t>
      </w:r>
    </w:p>
    <w:p>
      <w:pPr>
        <w:pStyle w:val="ListParagraph"/>
        <w:numPr>
          <w:ilvl w:val="0"/>
          <w:numId w:val="2"/>
        </w:numPr>
        <w:spacing w:after="40"/>
        <w:ind w:left="892"/>
      </w:pPr>
      <w:r>
        <w:rPr>
          <w:sz w:val="21"/>
          <w:szCs w:val="21"/>
        </w:rPr>
        <w:t xml:space="preserve">Select Edit to review the fields that are editable for the chosen type; system identifiers remain protected.</w:t>
      </w:r>
    </w:p>
    <w:p>
      <w:pPr>
        <w:pStyle w:val="ListParagraph"/>
        <w:numPr>
          <w:ilvl w:val="0"/>
          <w:numId w:val="2"/>
        </w:numPr>
        <w:spacing w:after="40"/>
        <w:ind w:left="892"/>
      </w:pPr>
      <w:r>
        <w:rPr>
          <w:sz w:val="21"/>
          <w:szCs w:val="21"/>
        </w:rPr>
        <w:t xml:space="preserve">To add a firm-specific classification, select New work type.</w:t>
      </w:r>
    </w:p>
    <w:p>
      <w:pPr>
        <w:pStyle w:val="ListParagraph"/>
        <w:numPr>
          <w:ilvl w:val="0"/>
          <w:numId w:val="2"/>
        </w:numPr>
        <w:spacing w:after="40"/>
        <w:ind w:left="892"/>
      </w:pPr>
      <w:r>
        <w:rPr>
          <w:sz w:val="21"/>
          <w:szCs w:val="21"/>
        </w:rPr>
        <w:t xml:space="preserve">Enter a unique Code of no more than 20 characters, a client-friendly Label, and an optional Description of up to 500 characters explaining when the type applies.</w:t>
      </w:r>
    </w:p>
    <w:p>
      <w:pPr>
        <w:pStyle w:val="ListParagraph"/>
        <w:numPr>
          <w:ilvl w:val="0"/>
          <w:numId w:val="2"/>
        </w:numPr>
        <w:spacing w:after="40"/>
        <w:ind w:left="892"/>
      </w:pPr>
      <w:r>
        <w:rPr>
          <w:sz w:val="21"/>
          <w:szCs w:val="21"/>
        </w:rPr>
        <w:t xml:space="preserve">Create the type, then confirm it appears as Custom and is active before using it in an intake template.</w:t>
      </w:r>
    </w:p>
    <w:p>
      <w:pPr>
        <w:pStyle w:val="ListParagraph"/>
        <w:numPr>
          <w:ilvl w:val="0"/>
          <w:numId w:val="2"/>
        </w:numPr>
        <w:spacing w:after="40"/>
        <w:ind w:left="892"/>
      </w:pPr>
      <w:r>
        <w:rPr>
          <w:sz w:val="21"/>
          <w:szCs w:val="21"/>
        </w:rPr>
        <w:t xml:space="preserve">Delete a custom type only when it is no longer required; system types display a disabled delete action.</w:t>
      </w:r>
    </w:p>
    <w:p>
      <w:pPr>
        <w:spacing w:after="40" w:before="70"/>
        <w:ind w:left="403"/>
      </w:pPr>
      <w:r>
        <w:rPr>
          <w:color w:val="8B8FA3"/>
          <w:sz w:val="17"/>
          <w:szCs w:val="17"/>
        </w:rPr>
        <w:t xml:space="preserve">Also in Settings   ·   Ref: pro-what-is-available-under-work-types-in-documents-settings-54</w:t>
      </w:r>
    </w:p>
    <w:p>
      <w:pPr>
        <w:keepNext/>
        <w:spacing w:after="90" w:before="220"/>
      </w:pPr>
      <w:r>
        <w:rPr>
          <w:b/>
          <w:bCs/>
          <w:color w:val="1A1C2E"/>
          <w:sz w:val="24"/>
          <w:szCs w:val="24"/>
        </w:rPr>
        <w:t xml:space="preserve">6.   How is a folder template applied to a client?</w:t>
      </w:r>
    </w:p>
    <w:p>
      <w:pPr>
        <w:spacing w:after="90"/>
        <w:ind w:left="403"/>
      </w:pPr>
      <w:r>
        <w:rPr>
          <w:sz w:val="22"/>
          <w:szCs w:val="22"/>
        </w:rPr>
        <w:t xml:space="preserve">A template creates the firm's reusable folder structure inside a client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Documents.</w:t>
      </w:r>
    </w:p>
    <w:p>
      <w:pPr>
        <w:pStyle w:val="ListParagraph"/>
        <w:numPr>
          <w:ilvl w:val="0"/>
          <w:numId w:val="2"/>
        </w:numPr>
        <w:spacing w:after="40"/>
        <w:ind w:left="892"/>
      </w:pPr>
      <w:r>
        <w:rPr>
          <w:sz w:val="21"/>
          <w:szCs w:val="21"/>
        </w:rPr>
        <w:t xml:space="preserve">Select Apply Template and choose the appropriate firm template.</w:t>
      </w:r>
    </w:p>
    <w:p>
      <w:pPr>
        <w:pStyle w:val="ListParagraph"/>
        <w:numPr>
          <w:ilvl w:val="0"/>
          <w:numId w:val="2"/>
        </w:numPr>
        <w:spacing w:after="40"/>
        <w:ind w:left="892"/>
      </w:pPr>
      <w:r>
        <w:rPr>
          <w:sz w:val="21"/>
          <w:szCs w:val="21"/>
        </w:rPr>
        <w:t xml:space="preserve">Review the folders that will be added and apply the template.</w:t>
      </w:r>
    </w:p>
    <w:p>
      <w:pPr>
        <w:pStyle w:val="ListParagraph"/>
        <w:numPr>
          <w:ilvl w:val="0"/>
          <w:numId w:val="2"/>
        </w:numPr>
        <w:spacing w:after="40"/>
        <w:ind w:left="892"/>
      </w:pPr>
      <w:r>
        <w:rPr>
          <w:sz w:val="21"/>
          <w:szCs w:val="21"/>
        </w:rPr>
        <w:t xml:space="preserve">Use New Folder when the client needs an additional folder that is not part of the standard template.</w:t>
      </w:r>
    </w:p>
    <w:p>
      <w:pPr>
        <w:pStyle w:val="ListParagraph"/>
        <w:numPr>
          <w:ilvl w:val="0"/>
          <w:numId w:val="2"/>
        </w:numPr>
        <w:spacing w:after="40"/>
        <w:ind w:left="892"/>
      </w:pPr>
      <w:r>
        <w:rPr>
          <w:sz w:val="21"/>
          <w:szCs w:val="21"/>
        </w:rPr>
        <w:t xml:space="preserve">For future clients, choose the default folder template during client creation or configure it in Settings &gt; Onboarding Defaults.</w:t>
      </w:r>
    </w:p>
    <w:p>
      <w:pPr>
        <w:spacing w:after="40" w:before="70"/>
        <w:ind w:left="403"/>
      </w:pPr>
      <w:r>
        <w:rPr>
          <w:color w:val="8B8FA3"/>
          <w:sz w:val="17"/>
          <w:szCs w:val="17"/>
        </w:rPr>
        <w:t xml:space="preserve">Ref: pro-how-is-a-folder-template-applied-to-a-client-55</w:t>
      </w:r>
    </w:p>
    <w:p>
      <w:pPr>
        <w:keepNext/>
        <w:spacing w:after="90" w:before="220"/>
      </w:pPr>
      <w:r>
        <w:rPr>
          <w:b/>
          <w:bCs/>
          <w:color w:val="1A1C2E"/>
          <w:sz w:val="24"/>
          <w:szCs w:val="24"/>
        </w:rPr>
        <w:t xml:space="preserve">7.   How do I request documents from a client?</w:t>
      </w:r>
    </w:p>
    <w:p>
      <w:pPr>
        <w:spacing w:after="90"/>
        <w:ind w:left="403"/>
      </w:pPr>
      <w:r>
        <w:rPr>
          <w:sz w:val="22"/>
          <w:szCs w:val="22"/>
        </w:rPr>
        <w:t xml:space="preserve">A document request tells the client exactly what the firm needs and keeps the response attached to the client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Documents.</w:t>
      </w:r>
    </w:p>
    <w:p>
      <w:pPr>
        <w:pStyle w:val="ListParagraph"/>
        <w:numPr>
          <w:ilvl w:val="0"/>
          <w:numId w:val="2"/>
        </w:numPr>
        <w:spacing w:after="40"/>
        <w:ind w:left="892"/>
      </w:pPr>
      <w:r>
        <w:rPr>
          <w:sz w:val="21"/>
          <w:szCs w:val="21"/>
        </w:rPr>
        <w:t xml:space="preserve">Select Request and describe each document or item needed.</w:t>
      </w:r>
    </w:p>
    <w:p>
      <w:pPr>
        <w:pStyle w:val="ListParagraph"/>
        <w:numPr>
          <w:ilvl w:val="0"/>
          <w:numId w:val="2"/>
        </w:numPr>
        <w:spacing w:after="40"/>
        <w:ind w:left="892"/>
      </w:pPr>
      <w:r>
        <w:rPr>
          <w:sz w:val="21"/>
          <w:szCs w:val="21"/>
        </w:rPr>
        <w:t xml:space="preserve">Set any request details, destination, or due information offered by the form.</w:t>
      </w:r>
    </w:p>
    <w:p>
      <w:pPr>
        <w:pStyle w:val="ListParagraph"/>
        <w:numPr>
          <w:ilvl w:val="0"/>
          <w:numId w:val="2"/>
        </w:numPr>
        <w:spacing w:after="40"/>
        <w:ind w:left="892"/>
      </w:pPr>
      <w:r>
        <w:rPr>
          <w:sz w:val="21"/>
          <w:szCs w:val="21"/>
        </w:rPr>
        <w:t xml:space="preserve">Review the recipient and send the request.</w:t>
      </w:r>
    </w:p>
    <w:p>
      <w:pPr>
        <w:pStyle w:val="ListParagraph"/>
        <w:numPr>
          <w:ilvl w:val="0"/>
          <w:numId w:val="2"/>
        </w:numPr>
        <w:spacing w:after="40"/>
        <w:ind w:left="892"/>
      </w:pPr>
      <w:r>
        <w:rPr>
          <w:sz w:val="21"/>
          <w:szCs w:val="21"/>
        </w:rPr>
        <w:t xml:space="preserve">The client receives the request through the client experience and uploads the files against it.</w:t>
      </w:r>
    </w:p>
    <w:p>
      <w:pPr>
        <w:pStyle w:val="ListParagraph"/>
        <w:numPr>
          <w:ilvl w:val="0"/>
          <w:numId w:val="2"/>
        </w:numPr>
        <w:spacing w:after="40"/>
        <w:ind w:left="892"/>
      </w:pPr>
      <w:r>
        <w:rPr>
          <w:sz w:val="21"/>
          <w:szCs w:val="21"/>
        </w:rPr>
        <w:t xml:space="preserve">Return to the Requests view to monitor the outstanding item; completed uploads remain available in the client's Documents workspace.</w:t>
      </w:r>
    </w:p>
    <w:p>
      <w:pPr>
        <w:spacing w:after="40" w:before="70"/>
        <w:ind w:left="403"/>
      </w:pPr>
      <w:r>
        <w:rPr>
          <w:color w:val="8B8FA3"/>
          <w:sz w:val="17"/>
          <w:szCs w:val="17"/>
        </w:rPr>
        <w:t xml:space="preserve">Ref: pro-how-do-i-request-documents-from-a-client-56</w:t>
      </w:r>
    </w:p>
    <w:p>
      <w:pPr>
        <w:keepNext/>
        <w:spacing w:after="90" w:before="220"/>
      </w:pPr>
      <w:r>
        <w:rPr>
          <w:b/>
          <w:bCs/>
          <w:color w:val="1A1C2E"/>
          <w:sz w:val="24"/>
          <w:szCs w:val="24"/>
        </w:rPr>
        <w:t xml:space="preserve">8.   What happens if a client doesn't respond to a document request?</w:t>
      </w:r>
    </w:p>
    <w:p>
      <w:pPr>
        <w:spacing w:after="90"/>
        <w:ind w:left="403"/>
      </w:pPr>
      <w:r>
        <w:rPr>
          <w:sz w:val="22"/>
          <w:szCs w:val="22"/>
        </w:rPr>
        <w:t xml:space="preserve">AssurePro can continue following up through the configured Document requests reminder schedule, so staff do not have to rely only on manual chasing.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Reminders.</w:t>
      </w:r>
    </w:p>
    <w:p>
      <w:pPr>
        <w:pStyle w:val="ListParagraph"/>
        <w:numPr>
          <w:ilvl w:val="0"/>
          <w:numId w:val="2"/>
        </w:numPr>
        <w:spacing w:after="40"/>
        <w:ind w:left="892"/>
      </w:pPr>
      <w:r>
        <w:rPr>
          <w:sz w:val="21"/>
          <w:szCs w:val="21"/>
        </w:rPr>
        <w:t xml:space="preserve">Confirm that Document requests reminders are enabled.</w:t>
      </w:r>
    </w:p>
    <w:p>
      <w:pPr>
        <w:pStyle w:val="ListParagraph"/>
        <w:numPr>
          <w:ilvl w:val="0"/>
          <w:numId w:val="2"/>
        </w:numPr>
        <w:spacing w:after="40"/>
        <w:ind w:left="892"/>
      </w:pPr>
      <w:r>
        <w:rPr>
          <w:sz w:val="21"/>
          <w:szCs w:val="21"/>
        </w:rPr>
        <w:t xml:space="preserve">Review or edit the initial delay, repeat interval, and total number of reminders.</w:t>
      </w:r>
    </w:p>
    <w:p>
      <w:pPr>
        <w:pStyle w:val="ListParagraph"/>
        <w:numPr>
          <w:ilvl w:val="0"/>
          <w:numId w:val="2"/>
        </w:numPr>
        <w:spacing w:after="40"/>
        <w:ind w:left="892"/>
      </w:pPr>
      <w:r>
        <w:rPr>
          <w:sz w:val="21"/>
          <w:szCs w:val="21"/>
        </w:rPr>
        <w:t xml:space="preserve">Monitor the request from the client's Documents &gt; Requests view.</w:t>
      </w:r>
    </w:p>
    <w:p>
      <w:pPr>
        <w:pStyle w:val="ListParagraph"/>
        <w:numPr>
          <w:ilvl w:val="0"/>
          <w:numId w:val="2"/>
        </w:numPr>
        <w:spacing w:after="40"/>
        <w:ind w:left="892"/>
      </w:pPr>
      <w:r>
        <w:rPr>
          <w:sz w:val="21"/>
          <w:szCs w:val="21"/>
        </w:rPr>
        <w:t xml:space="preserve">If the request remains outstanding after the automated sequence, contact the client from Communications and document the follow-up in the shared conversation history.</w:t>
      </w:r>
    </w:p>
    <w:p>
      <w:pPr>
        <w:spacing w:after="40" w:before="70"/>
        <w:ind w:left="403"/>
      </w:pPr>
      <w:r>
        <w:rPr>
          <w:color w:val="8B8FA3"/>
          <w:sz w:val="17"/>
          <w:szCs w:val="17"/>
        </w:rPr>
        <w:t xml:space="preserve">Ref: pro-what-happens-if-a-client-doesn-t-respond-to-a-document-request-57</w:t>
      </w:r>
    </w:p>
    <w:p>
      <w:pPr>
        <w:keepNext/>
        <w:spacing w:after="90" w:before="220"/>
      </w:pPr>
      <w:r>
        <w:rPr>
          <w:b/>
          <w:bCs/>
          <w:color w:val="1A1C2E"/>
          <w:sz w:val="24"/>
          <w:szCs w:val="24"/>
        </w:rPr>
        <w:t xml:space="preserve">9.   What is the difference between Request, Import, and Upload?</w:t>
      </w:r>
    </w:p>
    <w:p>
      <w:pPr>
        <w:spacing w:after="90"/>
        <w:ind w:left="403"/>
      </w:pPr>
      <w:r>
        <w:rPr>
          <w:sz w:val="22"/>
          <w:szCs w:val="22"/>
        </w:rPr>
        <w:t xml:space="preserve">Request asks the client to provide documents through the portal. Import brings documents from connected Dropbox or OneDrive storage. Upload adds a file available on the user's computer directly to the selected client workspace. Choose the action based on who currently has the file and where it is stored.</w:t>
      </w:r>
    </w:p>
    <w:p>
      <w:pPr>
        <w:spacing w:after="90"/>
        <w:ind w:left="403"/>
      </w:pPr>
      <w:r>
        <w:rPr>
          <w:b/>
          <w:bCs/>
          <w:color w:val="4735BE"/>
          <w:sz w:val="18"/>
          <w:szCs w:val="18"/>
        </w:rPr>
        <w:t xml:space="preserve">More   </w:t>
      </w:r>
      <w:r>
        <w:rPr>
          <w:sz w:val="22"/>
          <w:szCs w:val="22"/>
        </w:rPr>
        <w:t xml:space="preserve">Example: use Request when the client still holds a W-2, Import when it already exists in the firm's connected OneDrive or Dropbox, and Upload when a staff member has the file locally. In every case, select the correct client and destination folder before completing the action.</w:t>
      </w:r>
    </w:p>
    <w:p>
      <w:pPr>
        <w:spacing w:after="40" w:before="70"/>
        <w:ind w:left="403"/>
      </w:pPr>
      <w:r>
        <w:rPr>
          <w:color w:val="8B8FA3"/>
          <w:sz w:val="17"/>
          <w:szCs w:val="17"/>
        </w:rPr>
        <w:t xml:space="preserve">Ref: pro-what-is-the-difference-between-request-import-and-upload-58</w:t>
      </w:r>
    </w:p>
    <w:p>
      <w:pPr>
        <w:keepNext/>
        <w:spacing w:after="90" w:before="220"/>
      </w:pPr>
      <w:r>
        <w:rPr>
          <w:b/>
          <w:bCs/>
          <w:color w:val="1A1C2E"/>
          <w:sz w:val="24"/>
          <w:szCs w:val="24"/>
        </w:rPr>
        <w:t xml:space="preserve">10.   How do I upload a document to a client workspace?</w:t>
      </w:r>
    </w:p>
    <w:p>
      <w:pPr>
        <w:spacing w:after="90"/>
        <w:ind w:left="403"/>
      </w:pPr>
      <w:r>
        <w:rPr>
          <w:sz w:val="22"/>
          <w:szCs w:val="22"/>
        </w:rPr>
        <w:t xml:space="preserve">Upload places a local file into the selected client's document structure.</w:t>
      </w:r>
    </w:p>
    <w:p>
      <w:pPr>
        <w:spacing w:after="90"/>
        <w:ind w:left="403"/>
      </w:pPr>
      <w:r>
        <w:rPr>
          <w:b/>
          <w:bCs/>
          <w:color w:val="4735BE"/>
          <w:sz w:val="18"/>
          <w:szCs w:val="18"/>
        </w:rPr>
        <w:t xml:space="preserve">More   </w:t>
      </w:r>
      <w:r>
        <w:rPr>
          <w:sz w:val="22"/>
          <w:szCs w:val="22"/>
        </w:rPr>
        <w:t xml:space="preserve">After upload, search for the filename and open it from the destination folder to confirm that the correct file—not an earlier draft—was stored. If the file should satisfy an outstanding client request, verify the Requests view rather than assuming a general upload automatically completes the requested item.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Documents and select the client.</w:t>
      </w:r>
    </w:p>
    <w:p>
      <w:pPr>
        <w:pStyle w:val="ListParagraph"/>
        <w:numPr>
          <w:ilvl w:val="0"/>
          <w:numId w:val="2"/>
        </w:numPr>
        <w:spacing w:after="40"/>
        <w:ind w:left="892"/>
      </w:pPr>
      <w:r>
        <w:rPr>
          <w:sz w:val="21"/>
          <w:szCs w:val="21"/>
        </w:rPr>
        <w:t xml:space="preserve">Choose the destination folder in the folder tree, or create a folder first with New Folder.</w:t>
      </w:r>
    </w:p>
    <w:p>
      <w:pPr>
        <w:pStyle w:val="ListParagraph"/>
        <w:numPr>
          <w:ilvl w:val="0"/>
          <w:numId w:val="2"/>
        </w:numPr>
        <w:spacing w:after="40"/>
        <w:ind w:left="892"/>
      </w:pPr>
      <w:r>
        <w:rPr>
          <w:sz w:val="21"/>
          <w:szCs w:val="21"/>
        </w:rPr>
        <w:t xml:space="preserve">Select Upload and choose the local file.</w:t>
      </w:r>
    </w:p>
    <w:p>
      <w:pPr>
        <w:pStyle w:val="ListParagraph"/>
        <w:numPr>
          <w:ilvl w:val="0"/>
          <w:numId w:val="2"/>
        </w:numPr>
        <w:spacing w:after="40"/>
        <w:ind w:left="892"/>
      </w:pPr>
      <w:r>
        <w:rPr>
          <w:sz w:val="21"/>
          <w:szCs w:val="21"/>
        </w:rPr>
        <w:t xml:space="preserve">Confirm the destination and review the uploaded file in the client workspace.</w:t>
      </w:r>
    </w:p>
    <w:p>
      <w:pPr>
        <w:spacing w:after="40" w:before="70"/>
        <w:ind w:left="403"/>
      </w:pPr>
      <w:r>
        <w:rPr>
          <w:color w:val="8B8FA3"/>
          <w:sz w:val="17"/>
          <w:szCs w:val="17"/>
        </w:rPr>
        <w:t xml:space="preserve">Ref: pro-how-do-i-upload-a-document-to-a-client-workspace-59</w:t>
      </w:r>
    </w:p>
    <w:p>
      <w:pPr>
        <w:keepNext/>
        <w:spacing w:after="90" w:before="220"/>
      </w:pPr>
      <w:r>
        <w:rPr>
          <w:b/>
          <w:bCs/>
          <w:color w:val="1A1C2E"/>
          <w:sz w:val="24"/>
          <w:szCs w:val="24"/>
        </w:rPr>
        <w:t xml:space="preserve">11.   How do I import documents from Dropbox or OneDrive?</w:t>
      </w:r>
    </w:p>
    <w:p>
      <w:pPr>
        <w:spacing w:after="90"/>
        <w:ind w:left="403"/>
      </w:pPr>
      <w:r>
        <w:rPr>
          <w:sz w:val="22"/>
          <w:szCs w:val="22"/>
        </w:rPr>
        <w:t xml:space="preserve">A storage connection must be configured before cloud import is available. If neither provider is connected, AssurePro directs the user to Settings.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Integrations, and connect Dropbox or OneDrive.</w:t>
      </w:r>
    </w:p>
    <w:p>
      <w:pPr>
        <w:pStyle w:val="ListParagraph"/>
        <w:numPr>
          <w:ilvl w:val="0"/>
          <w:numId w:val="2"/>
        </w:numPr>
        <w:spacing w:after="40"/>
        <w:ind w:left="892"/>
      </w:pPr>
      <w:r>
        <w:rPr>
          <w:sz w:val="21"/>
          <w:szCs w:val="21"/>
        </w:rPr>
        <w:t xml:space="preserve">Return to Documents and select the client and destination folder.</w:t>
      </w:r>
    </w:p>
    <w:p>
      <w:pPr>
        <w:pStyle w:val="ListParagraph"/>
        <w:numPr>
          <w:ilvl w:val="0"/>
          <w:numId w:val="2"/>
        </w:numPr>
        <w:spacing w:after="40"/>
        <w:ind w:left="892"/>
      </w:pPr>
      <w:r>
        <w:rPr>
          <w:sz w:val="21"/>
          <w:szCs w:val="21"/>
        </w:rPr>
        <w:t xml:space="preserve">Select Import and choose content from the connected storage provider.</w:t>
      </w:r>
    </w:p>
    <w:p>
      <w:pPr>
        <w:pStyle w:val="ListParagraph"/>
        <w:numPr>
          <w:ilvl w:val="0"/>
          <w:numId w:val="2"/>
        </w:numPr>
        <w:spacing w:after="40"/>
        <w:ind w:left="892"/>
      </w:pPr>
      <w:r>
        <w:rPr>
          <w:sz w:val="21"/>
          <w:szCs w:val="21"/>
        </w:rPr>
        <w:t xml:space="preserve">Complete the import and confirm the files in the client's document list.</w:t>
      </w:r>
    </w:p>
    <w:p>
      <w:pPr>
        <w:spacing w:after="40" w:before="70"/>
        <w:ind w:left="403"/>
      </w:pPr>
      <w:r>
        <w:rPr>
          <w:color w:val="8B8FA3"/>
          <w:sz w:val="17"/>
          <w:szCs w:val="17"/>
        </w:rPr>
        <w:t xml:space="preserve">Ref: pro-how-do-i-import-documents-from-dropbox-or-onedrive-60</w:t>
      </w:r>
    </w:p>
    <w:p>
      <w:pPr>
        <w:keepNext/>
        <w:spacing w:after="90" w:before="220"/>
      </w:pPr>
      <w:r>
        <w:rPr>
          <w:b/>
          <w:bCs/>
          <w:color w:val="1A1C2E"/>
          <w:sz w:val="24"/>
          <w:szCs w:val="24"/>
        </w:rPr>
        <w:t xml:space="preserve">12.   How do I find a file or review outstanding requests?</w:t>
      </w:r>
    </w:p>
    <w:p>
      <w:pPr>
        <w:spacing w:after="90"/>
        <w:ind w:left="403"/>
      </w:pPr>
      <w:r>
        <w:rPr>
          <w:sz w:val="22"/>
          <w:szCs w:val="22"/>
        </w:rPr>
        <w:t xml:space="preserve">The client Documents workspace provides search, source filters, display controls, and separate Files and Requests views.</w:t>
      </w:r>
    </w:p>
    <w:p>
      <w:pPr>
        <w:spacing w:after="90"/>
        <w:ind w:left="403"/>
      </w:pPr>
      <w:r>
        <w:rPr>
          <w:b/>
          <w:bCs/>
          <w:color w:val="4735BE"/>
          <w:sz w:val="18"/>
          <w:szCs w:val="18"/>
        </w:rPr>
        <w:t xml:space="preserve">More   </w:t>
      </w:r>
      <w:r>
        <w:rPr>
          <w:sz w:val="22"/>
          <w:szCs w:val="22"/>
        </w:rPr>
        <w:t xml:space="preserve">For example, select Requested to isolate client-provided files, switch to Requests to see items still awaiting a response, and use a folder plus filename search to narrow a large annual workspace. Reset filters when a known file does not appear before uploading a duplicate.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the client in Documents.</w:t>
      </w:r>
    </w:p>
    <w:p>
      <w:pPr>
        <w:pStyle w:val="ListParagraph"/>
        <w:numPr>
          <w:ilvl w:val="0"/>
          <w:numId w:val="2"/>
        </w:numPr>
        <w:spacing w:after="40"/>
        <w:ind w:left="892"/>
      </w:pPr>
      <w:r>
        <w:rPr>
          <w:sz w:val="21"/>
          <w:szCs w:val="21"/>
        </w:rPr>
        <w:t xml:space="preserve">Use the folder tree or All Documents to set the scope.</w:t>
      </w:r>
    </w:p>
    <w:p>
      <w:pPr>
        <w:pStyle w:val="ListParagraph"/>
        <w:numPr>
          <w:ilvl w:val="0"/>
          <w:numId w:val="2"/>
        </w:numPr>
        <w:spacing w:after="40"/>
        <w:ind w:left="892"/>
      </w:pPr>
      <w:r>
        <w:rPr>
          <w:sz w:val="21"/>
          <w:szCs w:val="21"/>
        </w:rPr>
        <w:t xml:space="preserve">Search by file name and narrow the source to All, Requested, or Internal when helpful.</w:t>
      </w:r>
    </w:p>
    <w:p>
      <w:pPr>
        <w:pStyle w:val="ListParagraph"/>
        <w:numPr>
          <w:ilvl w:val="0"/>
          <w:numId w:val="2"/>
        </w:numPr>
        <w:spacing w:after="40"/>
        <w:ind w:left="892"/>
      </w:pPr>
      <w:r>
        <w:rPr>
          <w:sz w:val="21"/>
          <w:szCs w:val="21"/>
        </w:rPr>
        <w:t xml:space="preserve">Switch between Files and Requests, and use list or grid view and the file-type filter to refine the results.</w:t>
      </w:r>
    </w:p>
    <w:p>
      <w:pPr>
        <w:spacing w:after="40" w:before="70"/>
        <w:ind w:left="403"/>
      </w:pPr>
      <w:r>
        <w:rPr>
          <w:color w:val="8B8FA3"/>
          <w:sz w:val="17"/>
          <w:szCs w:val="17"/>
        </w:rPr>
        <w:t xml:space="preserve">Ref: pro-how-do-i-find-a-file-or-review-outstanding-requests-61</w:t>
      </w:r>
    </w:p>
    <w:p>
      <w:pPr>
        <w:keepNext/>
        <w:spacing w:after="90" w:before="220"/>
      </w:pPr>
      <w:r>
        <w:rPr>
          <w:b/>
          <w:bCs/>
          <w:color w:val="1A1C2E"/>
          <w:sz w:val="24"/>
          <w:szCs w:val="24"/>
        </w:rPr>
        <w:t xml:space="preserve">13.   Can client documents be organized by tax year or reporting period?</w:t>
      </w:r>
    </w:p>
    <w:p>
      <w:pPr>
        <w:spacing w:after="90"/>
        <w:ind w:left="403"/>
      </w:pPr>
      <w:r>
        <w:rPr>
          <w:sz w:val="22"/>
          <w:szCs w:val="22"/>
        </w:rPr>
        <w:t xml:space="preserve">Yes. Administrators can build year- or period-based folders into a Folder Template, and staff can also create folders directly in a client's Documents tab. Apply the appropriate template to keep the same structure across clients; AssurePro does not require every firm to use one fixed folder hierarchy.</w:t>
      </w:r>
    </w:p>
    <w:p>
      <w:pPr>
        <w:spacing w:after="90"/>
        <w:ind w:left="403"/>
      </w:pPr>
      <w:r>
        <w:rPr>
          <w:b/>
          <w:bCs/>
          <w:color w:val="4735BE"/>
          <w:sz w:val="18"/>
          <w:szCs w:val="18"/>
        </w:rPr>
        <w:t xml:space="preserve">More   </w:t>
      </w:r>
      <w:r>
        <w:rPr>
          <w:sz w:val="22"/>
          <w:szCs w:val="22"/>
        </w:rPr>
        <w:t xml:space="preserve">For a recurring client, a template might create 2025 and 2026 folders or monthly and quarterly subfolders beneath the service. Decide whether the period belongs in the folder structure, filename, engagement, or all three, then use the convention consistently across clients.</w:t>
      </w:r>
    </w:p>
    <w:p>
      <w:pPr>
        <w:spacing w:after="40" w:before="70"/>
        <w:ind w:left="403"/>
      </w:pPr>
      <w:r>
        <w:rPr>
          <w:color w:val="8B8FA3"/>
          <w:sz w:val="17"/>
          <w:szCs w:val="17"/>
        </w:rPr>
        <w:t xml:space="preserve">Ref: pro-can-client-documents-be-organized-by-tax-year-or-reporting-period-62</w:t>
      </w:r>
    </w:p>
    <w:p>
      <w:pPr>
        <w:keepNext/>
        <w:spacing w:after="90" w:before="220"/>
      </w:pPr>
      <w:r>
        <w:rPr>
          <w:b/>
          <w:bCs/>
          <w:color w:val="1A1C2E"/>
          <w:sz w:val="24"/>
          <w:szCs w:val="24"/>
        </w:rPr>
        <w:t xml:space="preserve">14.   Can documents be brought in from cloud storage?</w:t>
      </w:r>
    </w:p>
    <w:p>
      <w:pPr>
        <w:spacing w:after="90"/>
        <w:ind w:left="403"/>
      </w:pPr>
      <w:r>
        <w:rPr>
          <w:sz w:val="22"/>
          <w:szCs w:val="22"/>
        </w:rPr>
        <w:t xml:space="preserve">Integrations supports Dropbox and OneDrive. Staff can import client documents without first downloading and re-uploading them, and synced folders can automatically bring new files from a connected cloud folder into a client's documents.</w:t>
      </w:r>
    </w:p>
    <w:p>
      <w:pPr>
        <w:spacing w:after="90"/>
        <w:ind w:left="403"/>
      </w:pPr>
      <w:r>
        <w:rPr>
          <w:b/>
          <w:bCs/>
          <w:color w:val="4735BE"/>
          <w:sz w:val="18"/>
          <w:szCs w:val="18"/>
        </w:rPr>
        <w:t xml:space="preserve">More   </w:t>
      </w:r>
      <w:r>
        <w:rPr>
          <w:sz w:val="22"/>
          <w:szCs w:val="22"/>
        </w:rPr>
        <w:t xml:space="preserve">Use Import for a one-time selection and configure a synced folder when new files should continue arriving from the connected source. After import or sync, confirm the target client and folder because a cloud connection can contain files for several clients.</w:t>
      </w:r>
    </w:p>
    <w:p>
      <w:pPr>
        <w:spacing w:after="40" w:before="70"/>
        <w:ind w:left="403"/>
      </w:pPr>
      <w:r>
        <w:rPr>
          <w:color w:val="8B8FA3"/>
          <w:sz w:val="17"/>
          <w:szCs w:val="17"/>
        </w:rPr>
        <w:t xml:space="preserve">Ref: pro-can-documents-be-brought-in-from-cloud-storage-63</w:t>
      </w:r>
    </w:p>
    <w:p>
      <w:r>
        <w:br w:type="page"/>
      </w:r>
    </w:p>
    <w:p>
      <w:pPr>
        <w:pStyle w:val="Heading1"/>
        <w:spacing w:after="40" w:before="60"/>
      </w:pPr>
      <w:r>
        <w:rPr>
          <w:b/>
          <w:bCs/>
          <w:color w:val="1A1C2E"/>
          <w:sz w:val="32"/>
          <w:szCs w:val="32"/>
        </w:rPr>
        <w:t xml:space="preserve">Workflow</w:t>
      </w:r>
    </w:p>
    <w:p>
      <w:pPr>
        <w:pBdr>
          <w:bottom w:val="single" w:color="E4E2F0" w:sz="4"/>
        </w:pBdr>
        <w:spacing w:after="200"/>
      </w:pPr>
      <w:r>
        <w:rPr>
          <w:color w:val="8B8FA3"/>
          <w:sz w:val="20"/>
          <w:szCs w:val="20"/>
        </w:rPr>
        <w:t xml:space="preserve">11 questions</w:t>
      </w:r>
    </w:p>
    <w:p>
      <w:pPr>
        <w:keepNext/>
        <w:spacing w:after="90" w:before="220"/>
      </w:pPr>
      <w:r>
        <w:rPr>
          <w:b/>
          <w:bCs/>
          <w:color w:val="1A1C2E"/>
          <w:sz w:val="24"/>
          <w:szCs w:val="24"/>
        </w:rPr>
        <w:t xml:space="preserve">1.   What views are available for engagement work?</w:t>
      </w:r>
    </w:p>
    <w:p>
      <w:pPr>
        <w:spacing w:after="90"/>
        <w:ind w:left="403"/>
      </w:pPr>
      <w:r>
        <w:rPr>
          <w:sz w:val="22"/>
          <w:szCs w:val="22"/>
        </w:rPr>
        <w:t xml:space="preserve">Workflow provides Board, List, and Tasks views. Staff can select a workflow, search engagements, create a new engagement, customize displayed information, and open workflow configuration.</w:t>
      </w:r>
    </w:p>
    <w:p>
      <w:pPr>
        <w:spacing w:after="90"/>
        <w:ind w:left="403"/>
      </w:pPr>
      <w:r>
        <w:rPr>
          <w:b/>
          <w:bCs/>
          <w:color w:val="4735BE"/>
          <w:sz w:val="18"/>
          <w:szCs w:val="18"/>
        </w:rPr>
        <w:t xml:space="preserve">More   </w:t>
      </w:r>
      <w:r>
        <w:rPr>
          <w:sz w:val="22"/>
          <w:szCs w:val="22"/>
        </w:rPr>
        <w:t xml:space="preserve">Board is best for seeing work by stage and moving an engagement through the process; List is best for scanning or sorting engagement fields; Tasks isolates the actionable work items across engagements. A user can switch views without changing the underlying engagement, then open the same client work from whichever view makes the next decision clearest.</w:t>
      </w:r>
    </w:p>
    <w:p>
      <w:pPr>
        <w:spacing w:after="40" w:before="70"/>
        <w:ind w:left="403"/>
      </w:pPr>
      <w:r>
        <w:rPr>
          <w:color w:val="8B8FA3"/>
          <w:sz w:val="17"/>
          <w:szCs w:val="17"/>
        </w:rPr>
        <w:t xml:space="preserve">Ref: pro-what-views-are-available-for-engagement-work-64</w:t>
      </w:r>
    </w:p>
    <w:p>
      <w:pPr>
        <w:keepNext/>
        <w:spacing w:after="90" w:before="220"/>
      </w:pPr>
      <w:r>
        <w:rPr>
          <w:b/>
          <w:bCs/>
          <w:color w:val="1A1C2E"/>
          <w:sz w:val="24"/>
          <w:szCs w:val="24"/>
        </w:rPr>
        <w:t xml:space="preserve">2.   What does the Workflow board show?</w:t>
      </w:r>
    </w:p>
    <w:p>
      <w:pPr>
        <w:spacing w:after="90"/>
        <w:ind w:left="403"/>
      </w:pPr>
      <w:r>
        <w:rPr>
          <w:sz w:val="22"/>
          <w:szCs w:val="22"/>
        </w:rPr>
        <w:t xml:space="preserve">The Board groups engagements by configured stages and shows stage totals, engagement value, priority, role assignments, due dates, time in stage, start date, and task progress. The Overview also surfaces open, due-soon, past-due, stalled, and review-related work.</w:t>
      </w:r>
    </w:p>
    <w:p>
      <w:pPr>
        <w:spacing w:after="90"/>
        <w:ind w:left="403"/>
      </w:pPr>
      <w:r>
        <w:rPr>
          <w:b/>
          <w:bCs/>
          <w:color w:val="4735BE"/>
          <w:sz w:val="18"/>
          <w:szCs w:val="18"/>
        </w:rPr>
        <w:t xml:space="preserve">More   </w:t>
      </w:r>
      <w:r>
        <w:rPr>
          <w:sz w:val="22"/>
          <w:szCs w:val="22"/>
        </w:rPr>
        <w:t xml:space="preserve">For example, a card can show a high-priority 1040 engagement in Review, its assigned roles, due date, days in stage, start date, value, and completed-task progress. Stage totals and overdue counts help a manager distinguish one delayed card from a broader process bottleneck.</w:t>
      </w:r>
    </w:p>
    <w:p>
      <w:pPr>
        <w:spacing w:after="40" w:before="70"/>
        <w:ind w:left="403"/>
      </w:pPr>
      <w:r>
        <w:rPr>
          <w:color w:val="8B8FA3"/>
          <w:sz w:val="17"/>
          <w:szCs w:val="17"/>
        </w:rPr>
        <w:t xml:space="preserve">Ref: pro-what-does-the-workflow-board-show-65</w:t>
      </w:r>
    </w:p>
    <w:p>
      <w:pPr>
        <w:keepNext/>
        <w:spacing w:after="90" w:before="220"/>
      </w:pPr>
      <w:r>
        <w:rPr>
          <w:b/>
          <w:bCs/>
          <w:color w:val="1A1C2E"/>
          <w:sz w:val="24"/>
          <w:szCs w:val="24"/>
        </w:rPr>
        <w:t xml:space="preserve">3.   How are engagement workflows configured?</w:t>
      </w:r>
    </w:p>
    <w:p>
      <w:pPr>
        <w:spacing w:after="90"/>
        <w:ind w:left="403"/>
      </w:pPr>
      <w:r>
        <w:rPr>
          <w:sz w:val="22"/>
          <w:szCs w:val="22"/>
        </w:rPr>
        <w:t xml:space="preserve">A workflow is the reusable operating path applied to engagements of the relevant type. Administrators define the stages, the order in which work moves, the controls for advancing, and the task templates that should be created as an engagement reaches each stage.</w:t>
      </w:r>
    </w:p>
    <w:p>
      <w:pPr>
        <w:spacing w:after="90"/>
        <w:ind w:left="403"/>
      </w:pPr>
      <w:r>
        <w:rPr>
          <w:b/>
          <w:bCs/>
          <w:color w:val="4735BE"/>
          <w:sz w:val="18"/>
          <w:szCs w:val="18"/>
        </w:rPr>
        <w:t xml:space="preserve">More   </w:t>
      </w:r>
      <w:r>
        <w:rPr>
          <w:sz w:val="22"/>
          <w:szCs w:val="22"/>
        </w:rPr>
        <w:t xml:space="preserve">A strict stage can require its gates before work advances, while a flexible stage allows the team to move work with fewer constraints. Pair required task templates and relative due dates with the appropriate staff role so a new engagement receives a usable plan instead of only a set of empty stage names.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Workflow, then open an existing workflow or select New Workflow.</w:t>
      </w:r>
    </w:p>
    <w:p>
      <w:pPr>
        <w:pStyle w:val="ListParagraph"/>
        <w:numPr>
          <w:ilvl w:val="0"/>
          <w:numId w:val="2"/>
        </w:numPr>
        <w:spacing w:after="40"/>
        <w:ind w:left="892"/>
      </w:pPr>
      <w:r>
        <w:rPr>
          <w:sz w:val="21"/>
          <w:szCs w:val="21"/>
        </w:rPr>
        <w:t xml:space="preserve">Name the workflow and add the stages that represent the firm's delivery process, such as Intake, Document Collection, Preparation, Review, Client Approval, and Complete.</w:t>
      </w:r>
    </w:p>
    <w:p>
      <w:pPr>
        <w:pStyle w:val="ListParagraph"/>
        <w:numPr>
          <w:ilvl w:val="0"/>
          <w:numId w:val="2"/>
        </w:numPr>
        <w:spacing w:after="40"/>
        <w:ind w:left="892"/>
      </w:pPr>
      <w:r>
        <w:rPr>
          <w:sz w:val="21"/>
          <w:szCs w:val="21"/>
        </w:rPr>
        <w:t xml:space="preserve">Drag the stages into the order staff should follow.</w:t>
      </w:r>
    </w:p>
    <w:p>
      <w:pPr>
        <w:pStyle w:val="ListParagraph"/>
        <w:numPr>
          <w:ilvl w:val="0"/>
          <w:numId w:val="2"/>
        </w:numPr>
        <w:spacing w:after="40"/>
        <w:ind w:left="892"/>
      </w:pPr>
      <w:r>
        <w:rPr>
          <w:sz w:val="21"/>
          <w:szCs w:val="21"/>
        </w:rPr>
        <w:t xml:space="preserve">Choose strict stage behavior when required gates must be satisfied before an engagement advances; choose flexible behavior when staff may move work without every gate being mandatory.</w:t>
      </w:r>
    </w:p>
    <w:p>
      <w:pPr>
        <w:pStyle w:val="ListParagraph"/>
        <w:numPr>
          <w:ilvl w:val="0"/>
          <w:numId w:val="2"/>
        </w:numPr>
        <w:spacing w:after="40"/>
        <w:ind w:left="892"/>
      </w:pPr>
      <w:r>
        <w:rPr>
          <w:sz w:val="21"/>
          <w:szCs w:val="21"/>
        </w:rPr>
        <w:t xml:space="preserve">Configure each stage's gates and add reusable task templates.</w:t>
      </w:r>
    </w:p>
    <w:p>
      <w:pPr>
        <w:pStyle w:val="ListParagraph"/>
        <w:numPr>
          <w:ilvl w:val="0"/>
          <w:numId w:val="2"/>
        </w:numPr>
        <w:spacing w:after="40"/>
        <w:ind w:left="892"/>
      </w:pPr>
      <w:r>
        <w:rPr>
          <w:sz w:val="21"/>
          <w:szCs w:val="21"/>
        </w:rPr>
        <w:t xml:space="preserve">For every task template, enter a clear task name, assign the responsible role, set its relative due-date offset from the date the engagement enters the stage, and mark the task Required when it must be completed before progression.</w:t>
      </w:r>
    </w:p>
    <w:p>
      <w:pPr>
        <w:pStyle w:val="ListParagraph"/>
        <w:numPr>
          <w:ilvl w:val="0"/>
          <w:numId w:val="2"/>
        </w:numPr>
        <w:spacing w:after="40"/>
        <w:ind w:left="892"/>
      </w:pPr>
      <w:r>
        <w:rPr>
          <w:sz w:val="21"/>
          <w:szCs w:val="21"/>
        </w:rPr>
        <w:t xml:space="preserve">Reorder the task templates so the generated engagement plan is easy for staff to follow.</w:t>
      </w:r>
    </w:p>
    <w:p>
      <w:pPr>
        <w:pStyle w:val="ListParagraph"/>
        <w:numPr>
          <w:ilvl w:val="0"/>
          <w:numId w:val="2"/>
        </w:numPr>
        <w:spacing w:after="40"/>
        <w:ind w:left="892"/>
      </w:pPr>
      <w:r>
        <w:rPr>
          <w:sz w:val="21"/>
          <w:szCs w:val="21"/>
        </w:rPr>
        <w:t xml:space="preserve">Save the workflow, create or open a matching engagement, and confirm that its stages, generated tasks, assignee roles, due dates, and required controls behave as intended.</w:t>
      </w:r>
    </w:p>
    <w:p>
      <w:pPr>
        <w:pStyle w:val="ListParagraph"/>
        <w:numPr>
          <w:ilvl w:val="0"/>
          <w:numId w:val="2"/>
        </w:numPr>
        <w:spacing w:after="40"/>
        <w:ind w:left="892"/>
      </w:pPr>
      <w:r>
        <w:rPr>
          <w:sz w:val="21"/>
          <w:szCs w:val="21"/>
        </w:rPr>
        <w:t xml:space="preserve">Use the active and overdue counts shown for each stage to maintain the workflow after rollout and correct recurring bottlenecks.</w:t>
      </w:r>
    </w:p>
    <w:p>
      <w:pPr>
        <w:spacing w:after="40" w:before="70"/>
        <w:ind w:left="403"/>
      </w:pPr>
      <w:r>
        <w:rPr>
          <w:color w:val="8B8FA3"/>
          <w:sz w:val="17"/>
          <w:szCs w:val="17"/>
        </w:rPr>
        <w:t xml:space="preserve">Also in Settings   ·   Ref: pro-how-are-engagement-workflows-configured-66</w:t>
      </w:r>
    </w:p>
    <w:p>
      <w:pPr>
        <w:keepNext/>
        <w:spacing w:after="90" w:before="220"/>
      </w:pPr>
      <w:r>
        <w:rPr>
          <w:b/>
          <w:bCs/>
          <w:color w:val="1A1C2E"/>
          <w:sz w:val="24"/>
          <w:szCs w:val="24"/>
        </w:rPr>
        <w:t xml:space="preserve">4.   How do I create a workflow?</w:t>
      </w:r>
    </w:p>
    <w:p>
      <w:pPr>
        <w:spacing w:after="90"/>
        <w:ind w:left="403"/>
      </w:pPr>
      <w:r>
        <w:rPr>
          <w:sz w:val="22"/>
          <w:szCs w:val="22"/>
        </w:rPr>
        <w:t xml:space="preserve">Open Settings, choose Workflow, and select New Workflow. Add and order the required stages, then add task templates to each stage with the appropriate role, relative due date, and required status. The configured workflow becomes available when new engagements are created.</w:t>
      </w:r>
    </w:p>
    <w:p>
      <w:pPr>
        <w:spacing w:after="90"/>
        <w:ind w:left="403"/>
      </w:pPr>
      <w:r>
        <w:rPr>
          <w:b/>
          <w:bCs/>
          <w:color w:val="4735BE"/>
          <w:sz w:val="18"/>
          <w:szCs w:val="18"/>
        </w:rPr>
        <w:t xml:space="preserve">More   </w:t>
      </w:r>
      <w:r>
        <w:rPr>
          <w:sz w:val="22"/>
          <w:szCs w:val="22"/>
        </w:rPr>
        <w:t xml:space="preserve">After saving the stages, test the workflow by creating a demo engagement of the intended type. Confirm that stage order, gates, tasks, assignees, and relative due dates appear as expected before the workflow is selected for live clients.</w:t>
      </w:r>
    </w:p>
    <w:p>
      <w:pPr>
        <w:spacing w:after="40" w:before="70"/>
        <w:ind w:left="403"/>
      </w:pPr>
      <w:r>
        <w:rPr>
          <w:color w:val="8B8FA3"/>
          <w:sz w:val="17"/>
          <w:szCs w:val="17"/>
        </w:rPr>
        <w:t xml:space="preserve">Also in Settings   ·   Ref: pro-how-do-i-create-a-workflow-67</w:t>
      </w:r>
    </w:p>
    <w:p>
      <w:pPr>
        <w:keepNext/>
        <w:spacing w:after="90" w:before="220"/>
      </w:pPr>
      <w:r>
        <w:rPr>
          <w:b/>
          <w:bCs/>
          <w:color w:val="1A1C2E"/>
          <w:sz w:val="24"/>
          <w:szCs w:val="24"/>
        </w:rPr>
        <w:t xml:space="preserve">5.   What can be configured on workflow task templates?</w:t>
      </w:r>
    </w:p>
    <w:p>
      <w:pPr>
        <w:spacing w:after="90"/>
        <w:ind w:left="403"/>
      </w:pPr>
      <w:r>
        <w:rPr>
          <w:sz w:val="22"/>
          <w:szCs w:val="22"/>
        </w:rPr>
        <w:t xml:space="preserve">A task template has a task name, responsible role, relative due-date offset from the time the engagement enters the stage, and an optional Required designation. Administrators can add, edit, delete, and drag task templates into the required order inside each stage.</w:t>
      </w:r>
    </w:p>
    <w:p>
      <w:pPr>
        <w:spacing w:after="90"/>
        <w:ind w:left="403"/>
      </w:pPr>
      <w:r>
        <w:rPr>
          <w:b/>
          <w:bCs/>
          <w:color w:val="4735BE"/>
          <w:sz w:val="18"/>
          <w:szCs w:val="18"/>
        </w:rPr>
        <w:t xml:space="preserve">More   </w:t>
      </w:r>
      <w:r>
        <w:rPr>
          <w:sz w:val="22"/>
          <w:szCs w:val="22"/>
        </w:rPr>
        <w:t xml:space="preserve">Use the task name to describe the deliverable, the role to identify who should own it, the relative due date to anchor timing to the engagement, and Required when the stage must not be completed without it. For example, an Intake stage can require “Confirm signed engagement letter” before Document Collection begins.</w:t>
      </w:r>
    </w:p>
    <w:p>
      <w:pPr>
        <w:spacing w:after="40" w:before="70"/>
        <w:ind w:left="403"/>
      </w:pPr>
      <w:r>
        <w:rPr>
          <w:color w:val="8B8FA3"/>
          <w:sz w:val="17"/>
          <w:szCs w:val="17"/>
        </w:rPr>
        <w:t xml:space="preserve">Also in Settings   ·   Ref: pro-what-can-be-configured-on-workflow-task-templates-68</w:t>
      </w:r>
    </w:p>
    <w:p>
      <w:pPr>
        <w:keepNext/>
        <w:spacing w:after="90" w:before="220"/>
      </w:pPr>
      <w:r>
        <w:rPr>
          <w:b/>
          <w:bCs/>
          <w:color w:val="1A1C2E"/>
          <w:sz w:val="24"/>
          <w:szCs w:val="24"/>
        </w:rPr>
        <w:t xml:space="preserve">6.   What is Firm SOP and how is it managed?</w:t>
      </w:r>
    </w:p>
    <w:p>
      <w:pPr>
        <w:spacing w:after="90"/>
        <w:ind w:left="403"/>
      </w:pPr>
      <w:r>
        <w:rPr>
          <w:sz w:val="22"/>
          <w:szCs w:val="22"/>
        </w:rPr>
        <w:t xml:space="preserve">Firm SOP stores firm-wide procedures so preparers can follow one documented method. The page separates All, Pending, Active, Draft, and Rejected items and provides New SOP to start a procedure; client-specific procedures remain in the client's AI SOP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SOP.</w:t>
      </w:r>
    </w:p>
    <w:p>
      <w:pPr>
        <w:pStyle w:val="ListParagraph"/>
        <w:numPr>
          <w:ilvl w:val="0"/>
          <w:numId w:val="2"/>
        </w:numPr>
        <w:spacing w:after="40"/>
        <w:ind w:left="892"/>
      </w:pPr>
      <w:r>
        <w:rPr>
          <w:sz w:val="21"/>
          <w:szCs w:val="21"/>
        </w:rPr>
        <w:t xml:space="preserve">Select New SOP and document the procedure.</w:t>
      </w:r>
    </w:p>
    <w:p>
      <w:pPr>
        <w:pStyle w:val="ListParagraph"/>
        <w:numPr>
          <w:ilvl w:val="0"/>
          <w:numId w:val="2"/>
        </w:numPr>
        <w:spacing w:after="40"/>
        <w:ind w:left="892"/>
      </w:pPr>
      <w:r>
        <w:rPr>
          <w:sz w:val="21"/>
          <w:szCs w:val="21"/>
        </w:rPr>
        <w:t xml:space="preserve">Save it in the appropriate workflow state and use the status tabs to review Pending, Active, Draft, or Rejected SOPs.</w:t>
      </w:r>
    </w:p>
    <w:p>
      <w:pPr>
        <w:pStyle w:val="ListParagraph"/>
        <w:numPr>
          <w:ilvl w:val="0"/>
          <w:numId w:val="2"/>
        </w:numPr>
        <w:spacing w:after="40"/>
        <w:ind w:left="892"/>
      </w:pPr>
      <w:r>
        <w:rPr>
          <w:sz w:val="21"/>
          <w:szCs w:val="21"/>
        </w:rPr>
        <w:t xml:space="preserve">Keep client-specific instructions in that client's AI SOP rather than in the firm-wide library.</w:t>
      </w:r>
    </w:p>
    <w:p>
      <w:pPr>
        <w:spacing w:after="40" w:before="70"/>
        <w:ind w:left="403"/>
      </w:pPr>
      <w:r>
        <w:rPr>
          <w:color w:val="8B8FA3"/>
          <w:sz w:val="17"/>
          <w:szCs w:val="17"/>
        </w:rPr>
        <w:t xml:space="preserve">Also in Settings   ·   Ref: pro-what-is-firm-sop-and-how-is-it-managed-69</w:t>
      </w:r>
    </w:p>
    <w:p>
      <w:pPr>
        <w:keepNext/>
        <w:spacing w:after="90" w:before="220"/>
      </w:pPr>
      <w:r>
        <w:rPr>
          <w:b/>
          <w:bCs/>
          <w:color w:val="1A1C2E"/>
          <w:sz w:val="24"/>
          <w:szCs w:val="24"/>
        </w:rPr>
        <w:t xml:space="preserve">7.   How is a new engagement created?</w:t>
      </w:r>
    </w:p>
    <w:p>
      <w:pPr>
        <w:spacing w:after="90"/>
        <w:ind w:left="403"/>
      </w:pPr>
      <w:r>
        <w:rPr>
          <w:sz w:val="22"/>
          <w:szCs w:val="22"/>
        </w:rPr>
        <w:t xml:space="preserve">An engagement can be started from Workflow or from the selected client's Engagements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New Engagement.</w:t>
      </w:r>
    </w:p>
    <w:p>
      <w:pPr>
        <w:pStyle w:val="ListParagraph"/>
        <w:numPr>
          <w:ilvl w:val="0"/>
          <w:numId w:val="2"/>
        </w:numPr>
        <w:spacing w:after="40"/>
        <w:ind w:left="892"/>
      </w:pPr>
      <w:r>
        <w:rPr>
          <w:sz w:val="21"/>
          <w:szCs w:val="21"/>
        </w:rPr>
        <w:t xml:space="preserve">Search for and select the client; if the client is missing, choose Create new client.</w:t>
      </w:r>
    </w:p>
    <w:p>
      <w:pPr>
        <w:pStyle w:val="ListParagraph"/>
        <w:numPr>
          <w:ilvl w:val="0"/>
          <w:numId w:val="2"/>
        </w:numPr>
        <w:spacing w:after="40"/>
        <w:ind w:left="892"/>
      </w:pPr>
      <w:r>
        <w:rPr>
          <w:sz w:val="21"/>
          <w:szCs w:val="21"/>
        </w:rPr>
        <w:t xml:space="preserve">Search for and select the Engagement type. AssurePro uses that selection to set up the rest of the engagement.</w:t>
      </w:r>
    </w:p>
    <w:p>
      <w:pPr>
        <w:pStyle w:val="ListParagraph"/>
        <w:numPr>
          <w:ilvl w:val="0"/>
          <w:numId w:val="2"/>
        </w:numPr>
        <w:spacing w:after="40"/>
        <w:ind w:left="892"/>
      </w:pPr>
      <w:r>
        <w:rPr>
          <w:sz w:val="21"/>
          <w:szCs w:val="21"/>
        </w:rPr>
        <w:t xml:space="preserve">Complete the engagement details presented for that type and select Create Engagement.</w:t>
      </w:r>
    </w:p>
    <w:p>
      <w:pPr>
        <w:pStyle w:val="ListParagraph"/>
        <w:numPr>
          <w:ilvl w:val="0"/>
          <w:numId w:val="2"/>
        </w:numPr>
        <w:spacing w:after="40"/>
        <w:ind w:left="892"/>
      </w:pPr>
      <w:r>
        <w:rPr>
          <w:sz w:val="21"/>
          <w:szCs w:val="21"/>
        </w:rPr>
        <w:t xml:space="preserve">Open the new engagement to review its configured workflow stages, tasks, roles, and dates.</w:t>
      </w:r>
    </w:p>
    <w:p>
      <w:pPr>
        <w:spacing w:after="40" w:before="70"/>
        <w:ind w:left="403"/>
      </w:pPr>
      <w:r>
        <w:rPr>
          <w:color w:val="8B8FA3"/>
          <w:sz w:val="17"/>
          <w:szCs w:val="17"/>
        </w:rPr>
        <w:t xml:space="preserve">Search terms: create an engagement add engagement new engagement   ·   Ref: pro-how-is-a-new-engagement-created-70</w:t>
      </w:r>
    </w:p>
    <w:p>
      <w:pPr>
        <w:keepNext/>
        <w:spacing w:after="90" w:before="220"/>
      </w:pPr>
      <w:r>
        <w:rPr>
          <w:b/>
          <w:bCs/>
          <w:color w:val="1A1C2E"/>
          <w:sz w:val="24"/>
          <w:szCs w:val="24"/>
        </w:rPr>
        <w:t xml:space="preserve">8.   How should staff use Board, List, and Tasks views?</w:t>
      </w:r>
    </w:p>
    <w:p>
      <w:pPr>
        <w:spacing w:after="90"/>
        <w:ind w:left="403"/>
      </w:pPr>
      <w:r>
        <w:rPr>
          <w:sz w:val="22"/>
          <w:szCs w:val="22"/>
        </w:rPr>
        <w:t xml:space="preserve">Board is best for seeing engagements by workflow stage, List is best for scanning engagement records in rows, and Tasks focuses on the work items assigned within engagements.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Workflow and select the workflow you want to review.</w:t>
      </w:r>
    </w:p>
    <w:p>
      <w:pPr>
        <w:pStyle w:val="ListParagraph"/>
        <w:numPr>
          <w:ilvl w:val="0"/>
          <w:numId w:val="2"/>
        </w:numPr>
        <w:spacing w:after="40"/>
        <w:ind w:left="892"/>
      </w:pPr>
      <w:r>
        <w:rPr>
          <w:sz w:val="21"/>
          <w:szCs w:val="21"/>
        </w:rPr>
        <w:t xml:space="preserve">Use Board to identify stage volume, overdue work, role assignments, due dates, days in stage, and task progress.</w:t>
      </w:r>
    </w:p>
    <w:p>
      <w:pPr>
        <w:pStyle w:val="ListParagraph"/>
        <w:numPr>
          <w:ilvl w:val="0"/>
          <w:numId w:val="2"/>
        </w:numPr>
        <w:spacing w:after="40"/>
        <w:ind w:left="892"/>
      </w:pPr>
      <w:r>
        <w:rPr>
          <w:sz w:val="21"/>
          <w:szCs w:val="21"/>
        </w:rPr>
        <w:t xml:space="preserve">Use List when you need a compact record-level view and search.</w:t>
      </w:r>
    </w:p>
    <w:p>
      <w:pPr>
        <w:pStyle w:val="ListParagraph"/>
        <w:numPr>
          <w:ilvl w:val="0"/>
          <w:numId w:val="2"/>
        </w:numPr>
        <w:spacing w:after="40"/>
        <w:ind w:left="892"/>
      </w:pPr>
      <w:r>
        <w:rPr>
          <w:sz w:val="21"/>
          <w:szCs w:val="21"/>
        </w:rPr>
        <w:t xml:space="preserve">Use Tasks to focus on the individual work items and their status.</w:t>
      </w:r>
    </w:p>
    <w:p>
      <w:pPr>
        <w:spacing w:after="40" w:before="70"/>
        <w:ind w:left="403"/>
      </w:pPr>
      <w:r>
        <w:rPr>
          <w:color w:val="8B8FA3"/>
          <w:sz w:val="17"/>
          <w:szCs w:val="17"/>
        </w:rPr>
        <w:t xml:space="preserve">Ref: pro-how-should-staff-use-board-list-and-tasks-views-71</w:t>
      </w:r>
    </w:p>
    <w:p>
      <w:pPr>
        <w:keepNext/>
        <w:spacing w:after="90" w:before="220"/>
      </w:pPr>
      <w:r>
        <w:rPr>
          <w:b/>
          <w:bCs/>
          <w:color w:val="1A1C2E"/>
          <w:sz w:val="24"/>
          <w:szCs w:val="24"/>
        </w:rPr>
        <w:t xml:space="preserve">9.   Can an engagement repeat?</w:t>
      </w:r>
    </w:p>
    <w:p>
      <w:pPr>
        <w:spacing w:after="90"/>
        <w:ind w:left="403"/>
      </w:pPr>
      <w:r>
        <w:rPr>
          <w:sz w:val="22"/>
          <w:szCs w:val="22"/>
        </w:rPr>
        <w:t xml:space="preserve">Yes. Workflow includes recurring engagements and shows recurrence badges such as monthly and semesterly, occurrence counts, and a Finished repeating state. Recurrence availability and options are determined during the selected engagement setup.</w:t>
      </w:r>
    </w:p>
    <w:p>
      <w:pPr>
        <w:spacing w:after="90"/>
        <w:ind w:left="403"/>
      </w:pPr>
      <w:r>
        <w:rPr>
          <w:b/>
          <w:bCs/>
          <w:color w:val="4735BE"/>
          <w:sz w:val="18"/>
          <w:szCs w:val="18"/>
        </w:rPr>
        <w:t xml:space="preserve">More   </w:t>
      </w:r>
      <w:r>
        <w:rPr>
          <w:sz w:val="22"/>
          <w:szCs w:val="22"/>
        </w:rPr>
        <w:t xml:space="preserve">Use recurrence for work such as monthly bookkeeping or quarterly advisory where the same engagement structure should be created on a regular cadence. Confirm the recurrence pattern, the starting period, and the expected workflow so each generated occurrence has the right client, type, dates, assignments, and tasks.</w:t>
      </w:r>
    </w:p>
    <w:p>
      <w:pPr>
        <w:spacing w:after="40" w:before="70"/>
        <w:ind w:left="403"/>
      </w:pPr>
      <w:r>
        <w:rPr>
          <w:color w:val="8B8FA3"/>
          <w:sz w:val="17"/>
          <w:szCs w:val="17"/>
        </w:rPr>
        <w:t xml:space="preserve">Ref: pro-can-an-engagement-repeat-72</w:t>
      </w:r>
    </w:p>
    <w:p>
      <w:pPr>
        <w:keepNext/>
        <w:spacing w:after="90" w:before="220"/>
      </w:pPr>
      <w:r>
        <w:rPr>
          <w:b/>
          <w:bCs/>
          <w:color w:val="1A1C2E"/>
          <w:sz w:val="24"/>
          <w:szCs w:val="24"/>
        </w:rPr>
        <w:t xml:space="preserve">10.   How are tasks tracked?</w:t>
      </w:r>
    </w:p>
    <w:p>
      <w:pPr>
        <w:spacing w:after="90"/>
        <w:ind w:left="403"/>
      </w:pPr>
      <w:r>
        <w:rPr>
          <w:sz w:val="22"/>
          <w:szCs w:val="22"/>
        </w:rPr>
        <w:t xml:space="preserve">Tasks can carry a priority, due date, assignee, completion state, and engagement context. They appear in Workflow, on the client Overview, and in dashboard task and review widgets, with overdue work called out separately.</w:t>
      </w:r>
    </w:p>
    <w:p>
      <w:pPr>
        <w:spacing w:after="90"/>
        <w:ind w:left="403"/>
      </w:pPr>
      <w:r>
        <w:rPr>
          <w:b/>
          <w:bCs/>
          <w:color w:val="4735BE"/>
          <w:sz w:val="18"/>
          <w:szCs w:val="18"/>
        </w:rPr>
        <w:t xml:space="preserve">More   </w:t>
      </w:r>
      <w:r>
        <w:rPr>
          <w:sz w:val="22"/>
          <w:szCs w:val="22"/>
        </w:rPr>
        <w:t xml:space="preserve">A task should identify one actionable result, one owner or role, and a meaningful due date. For example, “Review uploaded W-2s” belongs to the client's tax engagement, can be marked high priority, appears in the engagement and Tasks view, and is surfaced as overdue on dashboards if the due date passes.</w:t>
      </w:r>
    </w:p>
    <w:p>
      <w:pPr>
        <w:spacing w:after="40" w:before="70"/>
        <w:ind w:left="403"/>
      </w:pPr>
      <w:r>
        <w:rPr>
          <w:color w:val="8B8FA3"/>
          <w:sz w:val="17"/>
          <w:szCs w:val="17"/>
        </w:rPr>
        <w:t xml:space="preserve">Ref: pro-how-are-tasks-tracked-73</w:t>
      </w:r>
    </w:p>
    <w:p>
      <w:pPr>
        <w:keepNext/>
        <w:spacing w:after="90" w:before="220"/>
      </w:pPr>
      <w:r>
        <w:rPr>
          <w:b/>
          <w:bCs/>
          <w:color w:val="1A1C2E"/>
          <w:sz w:val="24"/>
          <w:szCs w:val="24"/>
        </w:rPr>
        <w:t xml:space="preserve">11.   Can standard operating procedures be managed in AssurePro?</w:t>
      </w:r>
    </w:p>
    <w:p>
      <w:pPr>
        <w:spacing w:after="90"/>
        <w:ind w:left="403"/>
      </w:pPr>
      <w:r>
        <w:rPr>
          <w:sz w:val="22"/>
          <w:szCs w:val="22"/>
        </w:rPr>
        <w:t xml:space="preserve">Yes. Firm SOP stores firm-wide procedures with Pending, Active, Draft, and Rejected states. A client's AI SOP tab stores client-specific procedures so the work can follow the same documented steps across preparers.</w:t>
      </w:r>
    </w:p>
    <w:p>
      <w:pPr>
        <w:spacing w:after="90"/>
        <w:ind w:left="403"/>
      </w:pPr>
      <w:r>
        <w:rPr>
          <w:b/>
          <w:bCs/>
          <w:color w:val="4735BE"/>
          <w:sz w:val="18"/>
          <w:szCs w:val="18"/>
        </w:rPr>
        <w:t xml:space="preserve">More   </w:t>
      </w:r>
      <w:r>
        <w:rPr>
          <w:sz w:val="22"/>
          <w:szCs w:val="22"/>
        </w:rPr>
        <w:t xml:space="preserve">Use Firm SOP for procedures that apply across clients, a service's SOP for how that catalog service is delivered, and the client's AI SOP tab for client-specific instructions. Statuses such as Draft, Pending, Active, and Rejected help distinguish work being written or reviewed from procedures staff should actively follow.</w:t>
      </w:r>
    </w:p>
    <w:p>
      <w:pPr>
        <w:spacing w:after="40" w:before="70"/>
        <w:ind w:left="403"/>
      </w:pPr>
      <w:r>
        <w:rPr>
          <w:color w:val="8B8FA3"/>
          <w:sz w:val="17"/>
          <w:szCs w:val="17"/>
        </w:rPr>
        <w:t xml:space="preserve">Also in Settings   ·   Ref: pro-can-standard-operating-procedures-be-managed-in-assurepro-78</w:t>
      </w:r>
    </w:p>
    <w:p>
      <w:r>
        <w:br w:type="page"/>
      </w:r>
    </w:p>
    <w:p>
      <w:pPr>
        <w:pStyle w:val="Heading1"/>
        <w:spacing w:after="40" w:before="60"/>
      </w:pPr>
      <w:r>
        <w:rPr>
          <w:b/>
          <w:bCs/>
          <w:color w:val="1A1C2E"/>
          <w:sz w:val="32"/>
          <w:szCs w:val="32"/>
        </w:rPr>
        <w:t xml:space="preserve">Time Sheet</w:t>
      </w:r>
    </w:p>
    <w:p>
      <w:pPr>
        <w:pBdr>
          <w:bottom w:val="single" w:color="E4E2F0" w:sz="4"/>
        </w:pBdr>
        <w:spacing w:after="200"/>
      </w:pPr>
      <w:r>
        <w:rPr>
          <w:color w:val="8B8FA3"/>
          <w:sz w:val="20"/>
          <w:szCs w:val="20"/>
        </w:rPr>
        <w:t xml:space="preserve">4 questions</w:t>
      </w:r>
    </w:p>
    <w:p>
      <w:pPr>
        <w:keepNext/>
        <w:spacing w:after="90" w:before="220"/>
      </w:pPr>
      <w:r>
        <w:rPr>
          <w:b/>
          <w:bCs/>
          <w:color w:val="1A1C2E"/>
          <w:sz w:val="24"/>
          <w:szCs w:val="24"/>
        </w:rPr>
        <w:t xml:space="preserve">1.   How does the time tracker work?</w:t>
      </w:r>
    </w:p>
    <w:p>
      <w:pPr>
        <w:spacing w:after="90"/>
        <w:ind w:left="403"/>
      </w:pPr>
      <w:r>
        <w:rPr>
          <w:sz w:val="22"/>
          <w:szCs w:val="22"/>
        </w:rPr>
        <w:t xml:space="preserve">The header timer records work while it is being performed and keeps the entry connected to the correct client, engagement, task, billing treatment, and staff member.</w:t>
      </w:r>
    </w:p>
    <w:p>
      <w:pPr>
        <w:spacing w:after="90"/>
        <w:ind w:left="403"/>
      </w:pPr>
      <w:r>
        <w:rPr>
          <w:b/>
          <w:bCs/>
          <w:color w:val="4735BE"/>
          <w:sz w:val="18"/>
          <w:szCs w:val="18"/>
        </w:rPr>
        <w:t xml:space="preserve">More   </w:t>
      </w:r>
      <w:r>
        <w:rPr>
          <w:sz w:val="22"/>
          <w:szCs w:val="22"/>
        </w:rPr>
        <w:t xml:space="preserve">Use Start when work is beginning now and the user wants AssurePro to calculate elapsed time; use the manual hours and minutes controls when the duration is already known. Selecting the client, engagement or task, billable state, date, and note at entry time reduces cleanup before invoicing and reporting.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timer from the application header.</w:t>
      </w:r>
    </w:p>
    <w:p>
      <w:pPr>
        <w:pStyle w:val="ListParagraph"/>
        <w:numPr>
          <w:ilvl w:val="0"/>
          <w:numId w:val="2"/>
        </w:numPr>
        <w:spacing w:after="40"/>
        <w:ind w:left="892"/>
      </w:pPr>
      <w:r>
        <w:rPr>
          <w:sz w:val="21"/>
          <w:szCs w:val="21"/>
        </w:rPr>
        <w:t xml:space="preserve">Choose Client work or Internal work, then select the client and engagement when applicable.</w:t>
      </w:r>
    </w:p>
    <w:p>
      <w:pPr>
        <w:pStyle w:val="ListParagraph"/>
        <w:numPr>
          <w:ilvl w:val="0"/>
          <w:numId w:val="2"/>
        </w:numPr>
        <w:spacing w:after="40"/>
        <w:ind w:left="892"/>
      </w:pPr>
      <w:r>
        <w:rPr>
          <w:sz w:val="21"/>
          <w:szCs w:val="21"/>
        </w:rPr>
        <w:t xml:space="preserve">Select an existing task or create the task needed for the entry.</w:t>
      </w:r>
    </w:p>
    <w:p>
      <w:pPr>
        <w:pStyle w:val="ListParagraph"/>
        <w:numPr>
          <w:ilvl w:val="0"/>
          <w:numId w:val="2"/>
        </w:numPr>
        <w:spacing w:after="40"/>
        <w:ind w:left="892"/>
      </w:pPr>
      <w:r>
        <w:rPr>
          <w:sz w:val="21"/>
          <w:szCs w:val="21"/>
        </w:rPr>
        <w:t xml:space="preserve">Start the timer for live tracking, or enter the hours and minutes manually.</w:t>
      </w:r>
    </w:p>
    <w:p>
      <w:pPr>
        <w:pStyle w:val="ListParagraph"/>
        <w:numPr>
          <w:ilvl w:val="0"/>
          <w:numId w:val="2"/>
        </w:numPr>
        <w:spacing w:after="40"/>
        <w:ind w:left="892"/>
      </w:pPr>
      <w:r>
        <w:rPr>
          <w:sz w:val="21"/>
          <w:szCs w:val="21"/>
        </w:rPr>
        <w:t xml:space="preserve">Confirm the work date, add a useful description, and mark the time billable or non-billable.</w:t>
      </w:r>
    </w:p>
    <w:p>
      <w:pPr>
        <w:pStyle w:val="ListParagraph"/>
        <w:numPr>
          <w:ilvl w:val="0"/>
          <w:numId w:val="2"/>
        </w:numPr>
        <w:spacing w:after="40"/>
        <w:ind w:left="892"/>
      </w:pPr>
      <w:r>
        <w:rPr>
          <w:sz w:val="21"/>
          <w:szCs w:val="21"/>
        </w:rPr>
        <w:t xml:space="preserve">Save the entry and review it in Time Sheet, where the duration, rate, amount, billable status, and invoice status are visible.</w:t>
      </w:r>
    </w:p>
    <w:p>
      <w:pPr>
        <w:spacing w:after="40" w:before="70"/>
        <w:ind w:left="403"/>
      </w:pPr>
      <w:r>
        <w:rPr>
          <w:color w:val="8B8FA3"/>
          <w:sz w:val="17"/>
          <w:szCs w:val="17"/>
        </w:rPr>
        <w:t xml:space="preserve">Ref: pro-how-does-the-time-tracker-work-74</w:t>
      </w:r>
    </w:p>
    <w:p>
      <w:pPr>
        <w:keepNext/>
        <w:spacing w:after="90" w:before="220"/>
      </w:pPr>
      <w:r>
        <w:rPr>
          <w:b/>
          <w:bCs/>
          <w:color w:val="1A1C2E"/>
          <w:sz w:val="24"/>
          <w:szCs w:val="24"/>
        </w:rPr>
        <w:t xml:space="preserve">2.   Can time be entered manually instead of using the timer?</w:t>
      </w:r>
    </w:p>
    <w:p>
      <w:pPr>
        <w:spacing w:after="90"/>
        <w:ind w:left="403"/>
      </w:pPr>
      <w:r>
        <w:rPr>
          <w:sz w:val="22"/>
          <w:szCs w:val="22"/>
        </w:rPr>
        <w:t xml:space="preserve">Yes. Manual entry is useful for work completed away from the live timer, corrections, or time reconstructed from another reliable work record.</w:t>
      </w:r>
    </w:p>
    <w:p>
      <w:pPr>
        <w:spacing w:after="90"/>
        <w:ind w:left="403"/>
      </w:pPr>
      <w:r>
        <w:rPr>
          <w:b/>
          <w:bCs/>
          <w:color w:val="4735BE"/>
          <w:sz w:val="18"/>
          <w:szCs w:val="18"/>
        </w:rPr>
        <w:t xml:space="preserve">More   </w:t>
      </w:r>
      <w:r>
        <w:rPr>
          <w:sz w:val="22"/>
          <w:szCs w:val="22"/>
        </w:rPr>
        <w:t xml:space="preserve">Manual entry is appropriate for work performed away from the timer, corrections, or time reconstructed from another record. Enter the actual date and duration, select the correct client, engagement, and task, add a useful description, choose billable or non-billable, and review the resulting rate and amount in Time Sheet.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time tracker and select the correct client or internal-work option.</w:t>
      </w:r>
    </w:p>
    <w:p>
      <w:pPr>
        <w:pStyle w:val="ListParagraph"/>
        <w:numPr>
          <w:ilvl w:val="0"/>
          <w:numId w:val="2"/>
        </w:numPr>
        <w:spacing w:after="40"/>
        <w:ind w:left="892"/>
      </w:pPr>
      <w:r>
        <w:rPr>
          <w:sz w:val="21"/>
          <w:szCs w:val="21"/>
        </w:rPr>
        <w:t xml:space="preserve">Choose the engagement and task when the time relates to client work.</w:t>
      </w:r>
    </w:p>
    <w:p>
      <w:pPr>
        <w:pStyle w:val="ListParagraph"/>
        <w:numPr>
          <w:ilvl w:val="0"/>
          <w:numId w:val="2"/>
        </w:numPr>
        <w:spacing w:after="40"/>
        <w:ind w:left="892"/>
      </w:pPr>
      <w:r>
        <w:rPr>
          <w:sz w:val="21"/>
          <w:szCs w:val="21"/>
        </w:rPr>
        <w:t xml:space="preserve">Enter the actual hours and minutes and select the date on which the work occurred.</w:t>
      </w:r>
    </w:p>
    <w:p>
      <w:pPr>
        <w:pStyle w:val="ListParagraph"/>
        <w:numPr>
          <w:ilvl w:val="0"/>
          <w:numId w:val="2"/>
        </w:numPr>
        <w:spacing w:after="40"/>
        <w:ind w:left="892"/>
      </w:pPr>
      <w:r>
        <w:rPr>
          <w:sz w:val="21"/>
          <w:szCs w:val="21"/>
        </w:rPr>
        <w:t xml:space="preserve">Add a description that lets a reviewer understand what was completed.</w:t>
      </w:r>
    </w:p>
    <w:p>
      <w:pPr>
        <w:pStyle w:val="ListParagraph"/>
        <w:numPr>
          <w:ilvl w:val="0"/>
          <w:numId w:val="2"/>
        </w:numPr>
        <w:spacing w:after="40"/>
        <w:ind w:left="892"/>
      </w:pPr>
      <w:r>
        <w:rPr>
          <w:sz w:val="21"/>
          <w:szCs w:val="21"/>
        </w:rPr>
        <w:t xml:space="preserve">Choose billable or non-billable and verify the rate when one applies.</w:t>
      </w:r>
    </w:p>
    <w:p>
      <w:pPr>
        <w:pStyle w:val="ListParagraph"/>
        <w:numPr>
          <w:ilvl w:val="0"/>
          <w:numId w:val="2"/>
        </w:numPr>
        <w:spacing w:after="40"/>
        <w:ind w:left="892"/>
      </w:pPr>
      <w:r>
        <w:rPr>
          <w:sz w:val="21"/>
          <w:szCs w:val="21"/>
        </w:rPr>
        <w:t xml:space="preserve">Save the entry, then confirm its duration, amount, assignee, and invoice status in Time Sheet before it is included in billing.</w:t>
      </w:r>
    </w:p>
    <w:p>
      <w:pPr>
        <w:spacing w:after="40" w:before="70"/>
        <w:ind w:left="403"/>
      </w:pPr>
      <w:r>
        <w:rPr>
          <w:color w:val="8B8FA3"/>
          <w:sz w:val="17"/>
          <w:szCs w:val="17"/>
        </w:rPr>
        <w:t xml:space="preserve">Ref: pro-can-time-be-entered-manually-instead-of-using-the-timer-75</w:t>
      </w:r>
    </w:p>
    <w:p>
      <w:pPr>
        <w:keepNext/>
        <w:spacing w:after="90" w:before="220"/>
      </w:pPr>
      <w:r>
        <w:rPr>
          <w:b/>
          <w:bCs/>
          <w:color w:val="1A1C2E"/>
          <w:sz w:val="24"/>
          <w:szCs w:val="24"/>
        </w:rPr>
        <w:t xml:space="preserve">3.   How does AssurePro support workload, capacity, and budget oversight?</w:t>
      </w:r>
    </w:p>
    <w:p>
      <w:pPr>
        <w:spacing w:after="90"/>
        <w:ind w:left="403"/>
      </w:pPr>
      <w:r>
        <w:rPr>
          <w:sz w:val="22"/>
          <w:szCs w:val="22"/>
        </w:rPr>
        <w:t xml:space="preserve">AssurePro brings workload, progress, actual time, and financial reporting together so managers can decide where attention or reassignment is needed.</w:t>
      </w:r>
    </w:p>
    <w:p>
      <w:pPr>
        <w:spacing w:after="90"/>
        <w:ind w:left="403"/>
      </w:pPr>
      <w:r>
        <w:rPr>
          <w:b/>
          <w:bCs/>
          <w:color w:val="4735BE"/>
          <w:sz w:val="18"/>
          <w:szCs w:val="18"/>
        </w:rPr>
        <w:t xml:space="preserve">More   </w:t>
      </w:r>
      <w:r>
        <w:rPr>
          <w:sz w:val="22"/>
          <w:szCs w:val="22"/>
        </w:rPr>
        <w:t xml:space="preserve">Managers get the clearest picture by reading the views together: Team load explains who is carrying the work, Workflow explains where the work is held up, Time Sheet explains the actual effort already spent, and Reports explains the operational or financial trend. This makes the follow-up actionable rather than relying on a single capacity number without its client and workflow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Use Team load to compare active staff, assigned task volume, overdue work, and members whose workload is marked as overloaded.</w:t>
      </w:r>
    </w:p>
    <w:p>
      <w:pPr>
        <w:pStyle w:val="ListParagraph"/>
        <w:numPr>
          <w:ilvl w:val="0"/>
          <w:numId w:val="2"/>
        </w:numPr>
        <w:spacing w:after="40"/>
        <w:ind w:left="892"/>
      </w:pPr>
      <w:r>
        <w:rPr>
          <w:sz w:val="21"/>
          <w:szCs w:val="21"/>
        </w:rPr>
        <w:t xml:space="preserve">Use Workflow to review how many engagements sit in each stage, how long work has remained there, task completion, due dates, and bottlenecks that are affecting delivery.</w:t>
      </w:r>
    </w:p>
    <w:p>
      <w:pPr>
        <w:pStyle w:val="ListParagraph"/>
        <w:numPr>
          <w:ilvl w:val="0"/>
          <w:numId w:val="2"/>
        </w:numPr>
        <w:spacing w:after="40"/>
        <w:ind w:left="892"/>
      </w:pPr>
      <w:r>
        <w:rPr>
          <w:sz w:val="21"/>
          <w:szCs w:val="21"/>
        </w:rPr>
        <w:t xml:space="preserve">Use Time Sheet to compare the actual hours recorded by client, engagement, task, or assignee and to distinguish billable, non-billable, invoiced, and uninvoiced time.</w:t>
      </w:r>
    </w:p>
    <w:p>
      <w:pPr>
        <w:pStyle w:val="ListParagraph"/>
        <w:numPr>
          <w:ilvl w:val="0"/>
          <w:numId w:val="2"/>
        </w:numPr>
        <w:spacing w:after="40"/>
        <w:ind w:left="892"/>
      </w:pPr>
      <w:r>
        <w:rPr>
          <w:sz w:val="21"/>
          <w:szCs w:val="21"/>
        </w:rPr>
        <w:t xml:space="preserve">Use the available reporting widgets for time, utilization, workflow, and budget-versus-actual analysis when those measures are configured for the firm.</w:t>
      </w:r>
    </w:p>
    <w:p>
      <w:pPr>
        <w:pStyle w:val="ListParagraph"/>
        <w:numPr>
          <w:ilvl w:val="0"/>
          <w:numId w:val="2"/>
        </w:numPr>
        <w:spacing w:after="40"/>
        <w:ind w:left="892"/>
      </w:pPr>
      <w:r>
        <w:rPr>
          <w:sz w:val="21"/>
          <w:szCs w:val="21"/>
        </w:rPr>
        <w:t xml:space="preserve">Example: if Team load shows one reviewer as overloaded, Workflow shows several files waiting in Review, and Time Sheet shows higher-than-expected actual hours, a manager can redistribute review tasks, update due dates, and investigate the source of the overrun.</w:t>
      </w:r>
    </w:p>
    <w:p>
      <w:pPr>
        <w:pStyle w:val="ListParagraph"/>
        <w:numPr>
          <w:ilvl w:val="0"/>
          <w:numId w:val="2"/>
        </w:numPr>
        <w:spacing w:after="40"/>
        <w:ind w:left="892"/>
      </w:pPr>
      <w:r>
        <w:rPr>
          <w:sz w:val="21"/>
          <w:szCs w:val="21"/>
        </w:rPr>
        <w:t xml:space="preserve">Apply the same review on a regular cadence so capacity decisions use current assignments, deadlines, progress, and actual time rather than one isolated figure.</w:t>
      </w:r>
    </w:p>
    <w:p>
      <w:pPr>
        <w:spacing w:after="40" w:before="70"/>
        <w:ind w:left="403"/>
      </w:pPr>
      <w:r>
        <w:rPr>
          <w:color w:val="8B8FA3"/>
          <w:sz w:val="17"/>
          <w:szCs w:val="17"/>
        </w:rPr>
        <w:t xml:space="preserve">Ref: pro-how-does-assurepro-support-workload-capacity-and-budget-oversight-76</w:t>
      </w:r>
    </w:p>
    <w:p>
      <w:pPr>
        <w:keepNext/>
        <w:spacing w:after="90" w:before="220"/>
      </w:pPr>
      <w:r>
        <w:rPr>
          <w:b/>
          <w:bCs/>
          <w:color w:val="1A1C2E"/>
          <w:sz w:val="24"/>
          <w:szCs w:val="24"/>
        </w:rPr>
        <w:t xml:space="preserve">4.   What can we do in Time Sheet?</w:t>
      </w:r>
    </w:p>
    <w:p>
      <w:pPr>
        <w:spacing w:after="90"/>
        <w:ind w:left="403"/>
      </w:pPr>
      <w:r>
        <w:rPr>
          <w:sz w:val="22"/>
          <w:szCs w:val="22"/>
        </w:rPr>
        <w:t xml:space="preserve">Time Sheet is the detailed register for reviewing recorded time and moving eligible billable entries into invoicing.</w:t>
      </w:r>
    </w:p>
    <w:p>
      <w:pPr>
        <w:spacing w:after="90"/>
        <w:ind w:left="403"/>
      </w:pPr>
      <w:r>
        <w:rPr>
          <w:b/>
          <w:bCs/>
          <w:color w:val="4735BE"/>
          <w:sz w:val="18"/>
          <w:szCs w:val="18"/>
        </w:rPr>
        <w:t xml:space="preserve">More   </w:t>
      </w:r>
      <w:r>
        <w:rPr>
          <w:sz w:val="22"/>
          <w:szCs w:val="22"/>
        </w:rPr>
        <w:t xml:space="preserve">A manager can, for example, filter to one client, group by engagement or assignee, show billable time only, identify entries that remain uninvoiced, and select those entries for Generate invoice. Export supports analysis outside AssurePro, while invoice status prevents the same time from being billed again inadvertently.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Review the date, start and end time, client, engagement, task, assignee, description, rate, duration, amount, billable status, and invoice status for each entry.</w:t>
      </w:r>
    </w:p>
    <w:p>
      <w:pPr>
        <w:pStyle w:val="ListParagraph"/>
        <w:numPr>
          <w:ilvl w:val="0"/>
          <w:numId w:val="2"/>
        </w:numPr>
        <w:spacing w:after="40"/>
        <w:ind w:left="892"/>
      </w:pPr>
      <w:r>
        <w:rPr>
          <w:sz w:val="21"/>
          <w:szCs w:val="21"/>
        </w:rPr>
        <w:t xml:space="preserve">Search and filter the register to the client, engagement, task, assignee, date range, or status that needs review.</w:t>
      </w:r>
    </w:p>
    <w:p>
      <w:pPr>
        <w:pStyle w:val="ListParagraph"/>
        <w:numPr>
          <w:ilvl w:val="0"/>
          <w:numId w:val="2"/>
        </w:numPr>
        <w:spacing w:after="40"/>
        <w:ind w:left="892"/>
      </w:pPr>
      <w:r>
        <w:rPr>
          <w:sz w:val="21"/>
          <w:szCs w:val="21"/>
        </w:rPr>
        <w:t xml:space="preserve">Group entries to compare time by client, engagement, task, or team member, and use the billable-only option when preparing billing.</w:t>
      </w:r>
    </w:p>
    <w:p>
      <w:pPr>
        <w:pStyle w:val="ListParagraph"/>
        <w:numPr>
          <w:ilvl w:val="0"/>
          <w:numId w:val="2"/>
        </w:numPr>
        <w:spacing w:after="40"/>
        <w:ind w:left="892"/>
      </w:pPr>
      <w:r>
        <w:rPr>
          <w:sz w:val="21"/>
          <w:szCs w:val="21"/>
        </w:rPr>
        <w:t xml:space="preserve">Correct incomplete or inaccurate entries before they are invoiced, subject to the user's permissions.</w:t>
      </w:r>
    </w:p>
    <w:p>
      <w:pPr>
        <w:pStyle w:val="ListParagraph"/>
        <w:numPr>
          <w:ilvl w:val="0"/>
          <w:numId w:val="2"/>
        </w:numPr>
        <w:spacing w:after="40"/>
        <w:ind w:left="892"/>
      </w:pPr>
      <w:r>
        <w:rPr>
          <w:sz w:val="21"/>
          <w:szCs w:val="21"/>
        </w:rPr>
        <w:t xml:space="preserve">Select eligible uninvoiced billable entries and choose Generate invoice, or import unbilled time from the invoice builder.</w:t>
      </w:r>
    </w:p>
    <w:p>
      <w:pPr>
        <w:pStyle w:val="ListParagraph"/>
        <w:numPr>
          <w:ilvl w:val="0"/>
          <w:numId w:val="2"/>
        </w:numPr>
        <w:spacing w:after="40"/>
        <w:ind w:left="892"/>
      </w:pPr>
      <w:r>
        <w:rPr>
          <w:sz w:val="21"/>
          <w:szCs w:val="21"/>
        </w:rPr>
        <w:t xml:space="preserve">Export the filtered time data when the firm needs an external analysis or reconciliation.</w:t>
      </w:r>
    </w:p>
    <w:p>
      <w:pPr>
        <w:pStyle w:val="ListParagraph"/>
        <w:numPr>
          <w:ilvl w:val="0"/>
          <w:numId w:val="2"/>
        </w:numPr>
        <w:spacing w:after="40"/>
        <w:ind w:left="892"/>
      </w:pPr>
      <w:r>
        <w:rPr>
          <w:sz w:val="21"/>
          <w:szCs w:val="21"/>
        </w:rPr>
        <w:t xml:space="preserve">Confirm invoice status after billing so the same time is not charged twice.</w:t>
      </w:r>
    </w:p>
    <w:p>
      <w:pPr>
        <w:spacing w:after="40" w:before="70"/>
        <w:ind w:left="403"/>
      </w:pPr>
      <w:r>
        <w:rPr>
          <w:color w:val="8B8FA3"/>
          <w:sz w:val="17"/>
          <w:szCs w:val="17"/>
        </w:rPr>
        <w:t xml:space="preserve">Ref: pro-what-can-we-do-in-time-sheet-77</w:t>
      </w:r>
    </w:p>
    <w:p>
      <w:r>
        <w:br w:type="page"/>
      </w:r>
    </w:p>
    <w:p>
      <w:pPr>
        <w:pStyle w:val="Heading1"/>
        <w:spacing w:after="40" w:before="60"/>
      </w:pPr>
      <w:r>
        <w:rPr>
          <w:b/>
          <w:bCs/>
          <w:color w:val="1A1C2E"/>
          <w:sz w:val="32"/>
          <w:szCs w:val="32"/>
        </w:rPr>
        <w:t xml:space="preserve">Engagement letters</w:t>
      </w:r>
    </w:p>
    <w:p>
      <w:pPr>
        <w:pBdr>
          <w:bottom w:val="single" w:color="E4E2F0" w:sz="4"/>
        </w:pBdr>
        <w:spacing w:after="200"/>
      </w:pPr>
      <w:r>
        <w:rPr>
          <w:color w:val="8B8FA3"/>
          <w:sz w:val="20"/>
          <w:szCs w:val="20"/>
        </w:rPr>
        <w:t xml:space="preserve">13 questions</w:t>
      </w:r>
    </w:p>
    <w:p>
      <w:pPr>
        <w:keepNext/>
        <w:spacing w:after="90" w:before="220"/>
      </w:pPr>
      <w:r>
        <w:rPr>
          <w:b/>
          <w:bCs/>
          <w:color w:val="1A1C2E"/>
          <w:sz w:val="24"/>
          <w:szCs w:val="24"/>
        </w:rPr>
        <w:t xml:space="preserve">1.   How can a new signing package be started?</w:t>
      </w:r>
    </w:p>
    <w:p>
      <w:pPr>
        <w:spacing w:after="90"/>
        <w:ind w:left="403"/>
      </w:pPr>
      <w:r>
        <w:rPr>
          <w:sz w:val="22"/>
          <w:szCs w:val="22"/>
        </w:rPr>
        <w:t xml:space="preserve">A signing package can start from scratch or from a saved or curated template. Import from agreement is displayed as Coming soon and is not currently available as a starting method.</w:t>
      </w:r>
    </w:p>
    <w:p>
      <w:pPr>
        <w:spacing w:after="90"/>
        <w:ind w:left="403"/>
      </w:pPr>
      <w:r>
        <w:rPr>
          <w:b/>
          <w:bCs/>
          <w:color w:val="4735BE"/>
          <w:sz w:val="18"/>
          <w:szCs w:val="18"/>
        </w:rPr>
        <w:t xml:space="preserve">More   </w:t>
      </w:r>
      <w:r>
        <w:rPr>
          <w:sz w:val="22"/>
          <w:szCs w:val="22"/>
        </w:rPr>
        <w:t xml:space="preserve">Start from scratch when the client or commercial terms are unique; use a saved firm template for a repeatable service; and use a curated template as a reviewed starting point before adapting it to the firm. Import from agreement is marked Coming soon, so it should not be presented as an available production path yet.</w:t>
      </w:r>
    </w:p>
    <w:p>
      <w:pPr>
        <w:spacing w:after="40" w:before="70"/>
        <w:ind w:left="403"/>
      </w:pPr>
      <w:r>
        <w:rPr>
          <w:color w:val="8B8FA3"/>
          <w:sz w:val="17"/>
          <w:szCs w:val="17"/>
        </w:rPr>
        <w:t xml:space="preserve">Ref: pro-how-can-a-new-signing-package-be-started-80</w:t>
      </w:r>
    </w:p>
    <w:p>
      <w:pPr>
        <w:keepNext/>
        <w:spacing w:after="90" w:before="220"/>
      </w:pPr>
      <w:r>
        <w:rPr>
          <w:b/>
          <w:bCs/>
          <w:color w:val="1A1C2E"/>
          <w:sz w:val="24"/>
          <w:szCs w:val="24"/>
        </w:rPr>
        <w:t xml:space="preserve">2.   What are the main steps in the engagement-letter builder?</w:t>
      </w:r>
    </w:p>
    <w:p>
      <w:pPr>
        <w:spacing w:after="90"/>
        <w:ind w:left="403"/>
      </w:pPr>
      <w:r>
        <w:rPr>
          <w:sz w:val="22"/>
          <w:szCs w:val="22"/>
        </w:rPr>
        <w:t xml:space="preserve">The engagement-letter builder separates the package into four connected sections so the firm can validate the client, commercial terms, agreement content, and delivery settings before sending.</w:t>
      </w:r>
    </w:p>
    <w:p>
      <w:pPr>
        <w:spacing w:after="90"/>
        <w:ind w:left="403"/>
      </w:pPr>
      <w:r>
        <w:rPr>
          <w:b/>
          <w:bCs/>
          <w:color w:val="4735BE"/>
          <w:sz w:val="18"/>
          <w:szCs w:val="18"/>
        </w:rPr>
        <w:t xml:space="preserve">More   </w:t>
      </w:r>
      <w:r>
        <w:rPr>
          <w:sz w:val="22"/>
          <w:szCs w:val="22"/>
        </w:rPr>
        <w:t xml:space="preserve">Setup answers who the client and signers are; Services &amp; Pricing defines what is being offered and how choices work; Agreement &amp; Terms contains the legal and supporting content; Review &amp; Send confirms dates, reminders, billing, approvals, and unresolved requirements. The progress indicator lets staff return to an earlier section without losing the overall package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Setup: select the client, name the signing package, and confirm the primary and any additional recipients.</w:t>
      </w:r>
    </w:p>
    <w:p>
      <w:pPr>
        <w:pStyle w:val="ListParagraph"/>
        <w:numPr>
          <w:ilvl w:val="0"/>
          <w:numId w:val="2"/>
        </w:numPr>
        <w:spacing w:after="40"/>
        <w:ind w:left="892"/>
      </w:pPr>
      <w:r>
        <w:rPr>
          <w:sz w:val="21"/>
          <w:szCs w:val="21"/>
        </w:rPr>
        <w:t xml:space="preserve">Services &amp; Pricing: add the services, packages, add-ons, prices, discounts, billing method, and any client choices.</w:t>
      </w:r>
    </w:p>
    <w:p>
      <w:pPr>
        <w:pStyle w:val="ListParagraph"/>
        <w:numPr>
          <w:ilvl w:val="0"/>
          <w:numId w:val="2"/>
        </w:numPr>
        <w:spacing w:after="40"/>
        <w:ind w:left="892"/>
      </w:pPr>
      <w:r>
        <w:rPr>
          <w:sz w:val="21"/>
          <w:szCs w:val="21"/>
        </w:rPr>
        <w:t xml:space="preserve">Agreement &amp; Terms: select or edit the agreement wording, decide whether explicit approval is required, and add supporting text, PDFs, terms, notes, payment capture, or approval automation where needed.</w:t>
      </w:r>
    </w:p>
    <w:p>
      <w:pPr>
        <w:pStyle w:val="ListParagraph"/>
        <w:numPr>
          <w:ilvl w:val="0"/>
          <w:numId w:val="2"/>
        </w:numPr>
        <w:spacing w:after="40"/>
        <w:ind w:left="892"/>
      </w:pPr>
      <w:r>
        <w:rPr>
          <w:sz w:val="21"/>
          <w:szCs w:val="21"/>
        </w:rPr>
        <w:t xml:space="preserve">Review &amp; Send: confirm the recipients, sign-by and validity dates, reminder cadence, selected services, total, billing arrangement, terms, and approval requirements.</w:t>
      </w:r>
    </w:p>
    <w:p>
      <w:pPr>
        <w:pStyle w:val="ListParagraph"/>
        <w:numPr>
          <w:ilvl w:val="0"/>
          <w:numId w:val="2"/>
        </w:numPr>
        <w:spacing w:after="40"/>
        <w:ind w:left="892"/>
      </w:pPr>
      <w:r>
        <w:rPr>
          <w:sz w:val="21"/>
          <w:szCs w:val="21"/>
        </w:rPr>
        <w:t xml:space="preserve">Use Preview to read the package as the client will see it and correct any unclear wording or choices.</w:t>
      </w:r>
    </w:p>
    <w:p>
      <w:pPr>
        <w:pStyle w:val="ListParagraph"/>
        <w:numPr>
          <w:ilvl w:val="0"/>
          <w:numId w:val="2"/>
        </w:numPr>
        <w:spacing w:after="40"/>
        <w:ind w:left="892"/>
      </w:pPr>
      <w:r>
        <w:rPr>
          <w:sz w:val="21"/>
          <w:szCs w:val="21"/>
        </w:rPr>
        <w:t xml:space="preserve">Resolve every item in the missing-requirements list; Send remains unavailable until the required client, package, recipient, service, and agreement information is complete.</w:t>
      </w:r>
    </w:p>
    <w:p>
      <w:pPr>
        <w:spacing w:after="40" w:before="70"/>
        <w:ind w:left="403"/>
      </w:pPr>
      <w:r>
        <w:rPr>
          <w:color w:val="8B8FA3"/>
          <w:sz w:val="17"/>
          <w:szCs w:val="17"/>
        </w:rPr>
        <w:t xml:space="preserve">Ref: pro-what-are-the-main-steps-in-the-engagement-letter-builder-81</w:t>
      </w:r>
    </w:p>
    <w:p>
      <w:pPr>
        <w:keepNext/>
        <w:spacing w:after="90" w:before="220"/>
      </w:pPr>
      <w:r>
        <w:rPr>
          <w:b/>
          <w:bCs/>
          <w:color w:val="1A1C2E"/>
          <w:sz w:val="24"/>
          <w:szCs w:val="24"/>
        </w:rPr>
        <w:t xml:space="preserve">3.   How do I create and send an engagement letter?</w:t>
      </w:r>
    </w:p>
    <w:p>
      <w:pPr>
        <w:spacing w:after="90"/>
        <w:ind w:left="403"/>
      </w:pPr>
      <w:r>
        <w:rPr>
          <w:sz w:val="22"/>
          <w:szCs w:val="22"/>
        </w:rPr>
        <w:t xml:space="preserve">The builder prevents sending until its required client, package, recipient, and service information is complete.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 and start a new Engagement Letter.</w:t>
      </w:r>
    </w:p>
    <w:p>
      <w:pPr>
        <w:pStyle w:val="ListParagraph"/>
        <w:numPr>
          <w:ilvl w:val="0"/>
          <w:numId w:val="2"/>
        </w:numPr>
        <w:spacing w:after="40"/>
        <w:ind w:left="892"/>
      </w:pPr>
      <w:r>
        <w:rPr>
          <w:sz w:val="21"/>
          <w:szCs w:val="21"/>
        </w:rPr>
        <w:t xml:space="preserve">Start from scratch or choose a saved or curated template.</w:t>
      </w:r>
    </w:p>
    <w:p>
      <w:pPr>
        <w:pStyle w:val="ListParagraph"/>
        <w:numPr>
          <w:ilvl w:val="0"/>
          <w:numId w:val="2"/>
        </w:numPr>
        <w:spacing w:after="40"/>
        <w:ind w:left="892"/>
      </w:pPr>
      <w:r>
        <w:rPr>
          <w:sz w:val="21"/>
          <w:szCs w:val="21"/>
        </w:rPr>
        <w:t xml:space="preserve">In Setup, select the client, name the package, and confirm the primary and any additional recipients.</w:t>
      </w:r>
    </w:p>
    <w:p>
      <w:pPr>
        <w:pStyle w:val="ListParagraph"/>
        <w:numPr>
          <w:ilvl w:val="0"/>
          <w:numId w:val="2"/>
        </w:numPr>
        <w:spacing w:after="40"/>
        <w:ind w:left="892"/>
      </w:pPr>
      <w:r>
        <w:rPr>
          <w:sz w:val="21"/>
          <w:szCs w:val="21"/>
        </w:rPr>
        <w:t xml:space="preserve">Add Services &amp; Pricing and choose how each service is presented to the client.</w:t>
      </w:r>
    </w:p>
    <w:p>
      <w:pPr>
        <w:pStyle w:val="ListParagraph"/>
        <w:numPr>
          <w:ilvl w:val="0"/>
          <w:numId w:val="2"/>
        </w:numPr>
        <w:spacing w:after="40"/>
        <w:ind w:left="892"/>
      </w:pPr>
      <w:r>
        <w:rPr>
          <w:sz w:val="21"/>
          <w:szCs w:val="21"/>
        </w:rPr>
        <w:t xml:space="preserve">Configure Agreement &amp; Terms, including approval requirements and supporting content.</w:t>
      </w:r>
    </w:p>
    <w:p>
      <w:pPr>
        <w:pStyle w:val="ListParagraph"/>
        <w:numPr>
          <w:ilvl w:val="0"/>
          <w:numId w:val="2"/>
        </w:numPr>
        <w:spacing w:after="40"/>
        <w:ind w:left="892"/>
      </w:pPr>
      <w:r>
        <w:rPr>
          <w:sz w:val="21"/>
          <w:szCs w:val="21"/>
        </w:rPr>
        <w:t xml:space="preserve">Preview the client experience.</w:t>
      </w:r>
    </w:p>
    <w:p>
      <w:pPr>
        <w:pStyle w:val="ListParagraph"/>
        <w:numPr>
          <w:ilvl w:val="0"/>
          <w:numId w:val="2"/>
        </w:numPr>
        <w:spacing w:after="40"/>
        <w:ind w:left="892"/>
      </w:pPr>
      <w:r>
        <w:rPr>
          <w:sz w:val="21"/>
          <w:szCs w:val="21"/>
        </w:rPr>
        <w:t xml:space="preserve">In Review &amp; Send, set the sign-by date, validity date, reminders, and other package details.</w:t>
      </w:r>
    </w:p>
    <w:p>
      <w:pPr>
        <w:pStyle w:val="ListParagraph"/>
        <w:numPr>
          <w:ilvl w:val="0"/>
          <w:numId w:val="2"/>
        </w:numPr>
        <w:spacing w:after="40"/>
        <w:ind w:left="892"/>
      </w:pPr>
      <w:r>
        <w:rPr>
          <w:sz w:val="21"/>
          <w:szCs w:val="21"/>
        </w:rPr>
        <w:t xml:space="preserve">Resolve every missing requirement and select Send package.</w:t>
      </w:r>
    </w:p>
    <w:p>
      <w:pPr>
        <w:spacing w:after="40" w:before="70"/>
        <w:ind w:left="403"/>
      </w:pPr>
      <w:r>
        <w:rPr>
          <w:color w:val="8B8FA3"/>
          <w:sz w:val="17"/>
          <w:szCs w:val="17"/>
        </w:rPr>
        <w:t xml:space="preserve">Ref: pro-how-do-i-create-and-send-an-engagement-letter-82</w:t>
      </w:r>
    </w:p>
    <w:p>
      <w:pPr>
        <w:keepNext/>
        <w:spacing w:after="90" w:before="220"/>
      </w:pPr>
      <w:r>
        <w:rPr>
          <w:b/>
          <w:bCs/>
          <w:color w:val="1A1C2E"/>
          <w:sz w:val="24"/>
          <w:szCs w:val="24"/>
        </w:rPr>
        <w:t xml:space="preserve">4.   Can engagement letters be created and sent in bulk?</w:t>
      </w:r>
    </w:p>
    <w:p>
      <w:pPr>
        <w:spacing w:after="90"/>
        <w:ind w:left="403"/>
      </w:pPr>
      <w:r>
        <w:rPr>
          <w:sz w:val="22"/>
          <w:szCs w:val="22"/>
        </w:rPr>
        <w:t xml:space="preserve">Engagement letters are currently created and sent as client-specific signing packages; the Engagement Letter screen does not provide a bulk-create or bulk-send action. This keeps each package tied to the correct client, recipients, services, pricing, terms, and signature requirements.</w:t>
      </w:r>
    </w:p>
    <w:p>
      <w:pPr>
        <w:spacing w:after="90"/>
        <w:ind w:left="403"/>
      </w:pPr>
      <w:r>
        <w:rPr>
          <w:b/>
          <w:bCs/>
          <w:color w:val="4735BE"/>
          <w:sz w:val="18"/>
          <w:szCs w:val="18"/>
        </w:rPr>
        <w:t xml:space="preserve">More   </w:t>
      </w:r>
      <w:r>
        <w:rPr>
          <w:sz w:val="22"/>
          <w:szCs w:val="22"/>
        </w:rPr>
        <w:t xml:space="preserve">For example, a firm preparing annual tax packages can save one approved tax template and reuse it across clients, while still checking each client's entity, recipients, selected services, price, due dates, and billing schedule before sending. This provides consistency without treating client-specific agreements as an undifferentiated bulk message.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Letters and select New signing package.</w:t>
      </w:r>
    </w:p>
    <w:p>
      <w:pPr>
        <w:pStyle w:val="ListParagraph"/>
        <w:numPr>
          <w:ilvl w:val="0"/>
          <w:numId w:val="2"/>
        </w:numPr>
        <w:spacing w:after="40"/>
        <w:ind w:left="892"/>
      </w:pPr>
      <w:r>
        <w:rPr>
          <w:sz w:val="21"/>
          <w:szCs w:val="21"/>
        </w:rPr>
        <w:t xml:space="preserve">Choose the client and add the required recipients.</w:t>
      </w:r>
    </w:p>
    <w:p>
      <w:pPr>
        <w:pStyle w:val="ListParagraph"/>
        <w:numPr>
          <w:ilvl w:val="0"/>
          <w:numId w:val="2"/>
        </w:numPr>
        <w:spacing w:after="40"/>
        <w:ind w:left="892"/>
      </w:pPr>
      <w:r>
        <w:rPr>
          <w:sz w:val="21"/>
          <w:szCs w:val="21"/>
        </w:rPr>
        <w:t xml:space="preserve">Build the letter from scratch, a firm template, or a curated template.</w:t>
      </w:r>
    </w:p>
    <w:p>
      <w:pPr>
        <w:pStyle w:val="ListParagraph"/>
        <w:numPr>
          <w:ilvl w:val="0"/>
          <w:numId w:val="2"/>
        </w:numPr>
        <w:spacing w:after="40"/>
        <w:ind w:left="892"/>
      </w:pPr>
      <w:r>
        <w:rPr>
          <w:sz w:val="21"/>
          <w:szCs w:val="21"/>
        </w:rPr>
        <w:t xml:space="preserve">Review the services, pricing, billing schedule, terms, and signature fields for that client.</w:t>
      </w:r>
    </w:p>
    <w:p>
      <w:pPr>
        <w:pStyle w:val="ListParagraph"/>
        <w:numPr>
          <w:ilvl w:val="0"/>
          <w:numId w:val="2"/>
        </w:numPr>
        <w:spacing w:after="40"/>
        <w:ind w:left="892"/>
      </w:pPr>
      <w:r>
        <w:rPr>
          <w:sz w:val="21"/>
          <w:szCs w:val="21"/>
        </w:rPr>
        <w:t xml:space="preserve">Send the package and monitor its status from Engagement Letters.</w:t>
      </w:r>
    </w:p>
    <w:p>
      <w:pPr>
        <w:pStyle w:val="ListParagraph"/>
        <w:numPr>
          <w:ilvl w:val="0"/>
          <w:numId w:val="2"/>
        </w:numPr>
        <w:spacing w:after="40"/>
        <w:ind w:left="892"/>
      </w:pPr>
      <w:r>
        <w:rPr>
          <w:sz w:val="21"/>
          <w:szCs w:val="21"/>
        </w:rPr>
        <w:t xml:space="preserve">Repeat the package flow for the next client; reusable templates reduce repeated drafting even though sending remains client-specific.</w:t>
      </w:r>
    </w:p>
    <w:p>
      <w:pPr>
        <w:spacing w:after="40" w:before="70"/>
        <w:ind w:left="403"/>
      </w:pPr>
      <w:r>
        <w:rPr>
          <w:color w:val="8B8FA3"/>
          <w:sz w:val="17"/>
          <w:szCs w:val="17"/>
        </w:rPr>
        <w:t xml:space="preserve">Ref: pro-can-engagement-letters-be-created-and-sent-in-bulk-83</w:t>
      </w:r>
    </w:p>
    <w:p>
      <w:pPr>
        <w:keepNext/>
        <w:spacing w:after="90" w:before="220"/>
      </w:pPr>
      <w:r>
        <w:rPr>
          <w:b/>
          <w:bCs/>
          <w:color w:val="1A1C2E"/>
          <w:sz w:val="24"/>
          <w:szCs w:val="24"/>
        </w:rPr>
        <w:t xml:space="preserve">5.   How can services be presented to a client in a signing package?</w:t>
      </w:r>
    </w:p>
    <w:p>
      <w:pPr>
        <w:spacing w:after="90"/>
        <w:ind w:left="403"/>
      </w:pPr>
      <w:r>
        <w:rPr>
          <w:sz w:val="22"/>
          <w:szCs w:val="22"/>
        </w:rPr>
        <w:t xml:space="preserve">Services &amp; Pricing supports three structures: Client picks one for choose-one packages, Client can add it for optional add-ons, and No client choice for services that are always included. The builder also supports billing software as part of the package.</w:t>
      </w:r>
    </w:p>
    <w:p>
      <w:pPr>
        <w:spacing w:after="90"/>
        <w:ind w:left="403"/>
      </w:pPr>
      <w:r>
        <w:rPr>
          <w:b/>
          <w:bCs/>
          <w:color w:val="4735BE"/>
          <w:sz w:val="18"/>
          <w:szCs w:val="18"/>
        </w:rPr>
        <w:t xml:space="preserve">More   </w:t>
      </w:r>
      <w:r>
        <w:rPr>
          <w:sz w:val="22"/>
          <w:szCs w:val="22"/>
        </w:rPr>
        <w:t xml:space="preserve">Use Client picks one when packages are mutually exclusive, such as Basic, Standard, and Premium; Client can add it for optional items such as audit protection or an advisory consultation; and No client choice for a service that must always be included. Preview the package to confirm the client's choices and total are understandable before sending.</w:t>
      </w:r>
    </w:p>
    <w:p>
      <w:pPr>
        <w:spacing w:after="40" w:before="70"/>
        <w:ind w:left="403"/>
      </w:pPr>
      <w:r>
        <w:rPr>
          <w:color w:val="8B8FA3"/>
          <w:sz w:val="17"/>
          <w:szCs w:val="17"/>
        </w:rPr>
        <w:t xml:space="preserve">Ref: pro-how-can-services-be-presented-to-a-client-in-a-signing-package-84</w:t>
      </w:r>
    </w:p>
    <w:p>
      <w:pPr>
        <w:keepNext/>
        <w:spacing w:after="90" w:before="220"/>
      </w:pPr>
      <w:r>
        <w:rPr>
          <w:b/>
          <w:bCs/>
          <w:color w:val="1A1C2E"/>
          <w:sz w:val="24"/>
          <w:szCs w:val="24"/>
        </w:rPr>
        <w:t xml:space="preserve">6.   Can a package include more than one recipient?</w:t>
      </w:r>
    </w:p>
    <w:p>
      <w:pPr>
        <w:spacing w:after="90"/>
        <w:ind w:left="403"/>
      </w:pPr>
      <w:r>
        <w:rPr>
          <w:sz w:val="22"/>
          <w:szCs w:val="22"/>
        </w:rPr>
        <w:t xml:space="preserve">Yes. After selecting the client in Setup, confirm the primary recipient and use Add additional recipient for every other required signer. Review each recipient's name and email before sending, then confirm the package's signing mode and recipient summary in Review &amp; Send. After delivery, the package status can distinguish a partially signed package from one completed by all required recipients.</w:t>
      </w:r>
    </w:p>
    <w:p>
      <w:pPr>
        <w:spacing w:after="90"/>
        <w:ind w:left="403"/>
      </w:pPr>
      <w:r>
        <w:rPr>
          <w:b/>
          <w:bCs/>
          <w:color w:val="4735BE"/>
          <w:sz w:val="18"/>
          <w:szCs w:val="18"/>
        </w:rPr>
        <w:t xml:space="preserve">More   </w:t>
      </w:r>
      <w:r>
        <w:rPr>
          <w:sz w:val="22"/>
          <w:szCs w:val="22"/>
        </w:rPr>
        <w:t xml:space="preserve">For example, a business package can include an owner as primary recipient and a second authorized signer. If only one signer completes their part, the package remains Partial; staff can use the status and recipient detail to follow up with the outstanding signer rather than resending the entire package blindly.</w:t>
      </w:r>
    </w:p>
    <w:p>
      <w:pPr>
        <w:spacing w:after="40" w:before="70"/>
        <w:ind w:left="403"/>
      </w:pPr>
      <w:r>
        <w:rPr>
          <w:color w:val="8B8FA3"/>
          <w:sz w:val="17"/>
          <w:szCs w:val="17"/>
        </w:rPr>
        <w:t xml:space="preserve">Ref: pro-can-a-package-include-more-than-one-recipient-85</w:t>
      </w:r>
    </w:p>
    <w:p>
      <w:pPr>
        <w:keepNext/>
        <w:spacing w:after="90" w:before="220"/>
      </w:pPr>
      <w:r>
        <w:rPr>
          <w:b/>
          <w:bCs/>
          <w:color w:val="1A1C2E"/>
          <w:sz w:val="24"/>
          <w:szCs w:val="24"/>
        </w:rPr>
        <w:t xml:space="preserve">7.   Can the firm customize the introduction and agreement terms?</w:t>
      </w:r>
    </w:p>
    <w:p>
      <w:pPr>
        <w:spacing w:after="90"/>
        <w:ind w:left="403"/>
      </w:pPr>
      <w:r>
        <w:rPr>
          <w:sz w:val="22"/>
          <w:szCs w:val="22"/>
        </w:rPr>
        <w:t xml:space="preserve">Yes. A package can include an introduction with a selected or custom message. Agreement &amp; Terms uses a terms template, can require explicit approval before signing, and can add supporting material such as text pages, PDFs, extra terms, notes, payment capture, or approval automation.</w:t>
      </w:r>
    </w:p>
    <w:p>
      <w:pPr>
        <w:spacing w:after="90"/>
        <w:ind w:left="403"/>
      </w:pPr>
      <w:r>
        <w:rPr>
          <w:b/>
          <w:bCs/>
          <w:color w:val="4735BE"/>
          <w:sz w:val="18"/>
          <w:szCs w:val="18"/>
        </w:rPr>
        <w:t xml:space="preserve">More   </w:t>
      </w:r>
      <w:r>
        <w:rPr>
          <w:sz w:val="22"/>
          <w:szCs w:val="22"/>
        </w:rPr>
        <w:t xml:space="preserve">Use the introduction to explain the relationship in plain language and the terms template for the formal agreement. Supporting pages can add a PDF, extra terms, firm notes, payment capture, or approval automation; preview the combined package so optional content does not contradict the selected services, pricing, dates, or approval rule.</w:t>
      </w:r>
    </w:p>
    <w:p>
      <w:pPr>
        <w:spacing w:after="40" w:before="70"/>
        <w:ind w:left="403"/>
      </w:pPr>
      <w:r>
        <w:rPr>
          <w:color w:val="8B8FA3"/>
          <w:sz w:val="17"/>
          <w:szCs w:val="17"/>
        </w:rPr>
        <w:t xml:space="preserve">Ref: pro-can-the-firm-customize-the-introduction-and-agreement-terms-86</w:t>
      </w:r>
    </w:p>
    <w:p>
      <w:pPr>
        <w:keepNext/>
        <w:spacing w:after="90" w:before="220"/>
      </w:pPr>
      <w:r>
        <w:rPr>
          <w:b/>
          <w:bCs/>
          <w:color w:val="1A1C2E"/>
          <w:sz w:val="24"/>
          <w:szCs w:val="24"/>
        </w:rPr>
        <w:t xml:space="preserve">8.   What is checked before a package is sent?</w:t>
      </w:r>
    </w:p>
    <w:p>
      <w:pPr>
        <w:spacing w:after="90"/>
        <w:ind w:left="403"/>
      </w:pPr>
      <w:r>
        <w:rPr>
          <w:sz w:val="22"/>
          <w:szCs w:val="22"/>
        </w:rPr>
        <w:t xml:space="preserve">Review &amp; Send summarizes the client, package name, recipients, sign-by date, validity date, reminder cadence, billing, terms, and approval requirement. The builder lists each unresolved requirement and keeps Send disabled until required items are resolved.</w:t>
      </w:r>
    </w:p>
    <w:p>
      <w:pPr>
        <w:spacing w:after="90"/>
        <w:ind w:left="403"/>
      </w:pPr>
      <w:r>
        <w:rPr>
          <w:b/>
          <w:bCs/>
          <w:color w:val="4735BE"/>
          <w:sz w:val="18"/>
          <w:szCs w:val="18"/>
        </w:rPr>
        <w:t xml:space="preserve">More   </w:t>
      </w:r>
      <w:r>
        <w:rPr>
          <w:sz w:val="22"/>
          <w:szCs w:val="22"/>
        </w:rPr>
        <w:t xml:space="preserve">Treat the unresolved-requirements list as a preflight check. A package should not be sent until the client, package name, every recipient, service choice, price, terms, required approval, sign-by date, validity period, reminder cadence, and billing behavior all match what the firm intends to offer.</w:t>
      </w:r>
    </w:p>
    <w:p>
      <w:pPr>
        <w:spacing w:after="40" w:before="70"/>
        <w:ind w:left="403"/>
      </w:pPr>
      <w:r>
        <w:rPr>
          <w:color w:val="8B8FA3"/>
          <w:sz w:val="17"/>
          <w:szCs w:val="17"/>
        </w:rPr>
        <w:t xml:space="preserve">Ref: pro-what-is-checked-before-a-package-is-sent-87</w:t>
      </w:r>
    </w:p>
    <w:p>
      <w:pPr>
        <w:keepNext/>
        <w:spacing w:after="90" w:before="220"/>
      </w:pPr>
      <w:r>
        <w:rPr>
          <w:b/>
          <w:bCs/>
          <w:color w:val="1A1C2E"/>
          <w:sz w:val="24"/>
          <w:szCs w:val="24"/>
        </w:rPr>
        <w:t xml:space="preserve">9.   Can AssurePro remind a client to sign an engagement letter?</w:t>
      </w:r>
    </w:p>
    <w:p>
      <w:pPr>
        <w:spacing w:after="90"/>
        <w:ind w:left="403"/>
      </w:pPr>
      <w:r>
        <w:rPr>
          <w:sz w:val="22"/>
          <w:szCs w:val="22"/>
        </w:rPr>
        <w:t xml:space="preserve">Yes. Review &amp; Send includes a reminder cadence for the signing package. Set the sign-by and validity dates as needed, choose the reminder schedule, and confirm the reminder details before sending.</w:t>
      </w:r>
    </w:p>
    <w:p>
      <w:pPr>
        <w:spacing w:after="90"/>
        <w:ind w:left="403"/>
      </w:pPr>
      <w:r>
        <w:rPr>
          <w:b/>
          <w:bCs/>
          <w:color w:val="4735BE"/>
          <w:sz w:val="18"/>
          <w:szCs w:val="18"/>
        </w:rPr>
        <w:t xml:space="preserve">More   </w:t>
      </w:r>
      <w:r>
        <w:rPr>
          <w:sz w:val="22"/>
          <w:szCs w:val="22"/>
        </w:rPr>
        <w:t xml:space="preserve">For example, set a sign-by date that reflects the onboarding deadline, choose a reminder cadence that gives the client time to respond, and make sure the validity date does not expire before the final reminder. After sending, monitor Viewed, Partial, and Signed rather than assuming each reminder means no activity occurred.</w:t>
      </w:r>
    </w:p>
    <w:p>
      <w:pPr>
        <w:spacing w:after="40" w:before="70"/>
        <w:ind w:left="403"/>
      </w:pPr>
      <w:r>
        <w:rPr>
          <w:color w:val="8B8FA3"/>
          <w:sz w:val="17"/>
          <w:szCs w:val="17"/>
        </w:rPr>
        <w:t xml:space="preserve">Ref: pro-can-assurepro-remind-a-client-to-sign-an-engagement-letter-88</w:t>
      </w:r>
    </w:p>
    <w:p>
      <w:pPr>
        <w:keepNext/>
        <w:spacing w:after="90" w:before="220"/>
      </w:pPr>
      <w:r>
        <w:rPr>
          <w:b/>
          <w:bCs/>
          <w:color w:val="1A1C2E"/>
          <w:sz w:val="24"/>
          <w:szCs w:val="24"/>
        </w:rPr>
        <w:t xml:space="preserve">10.   Which signing statuses can staff track?</w:t>
      </w:r>
    </w:p>
    <w:p>
      <w:pPr>
        <w:spacing w:after="90"/>
        <w:ind w:left="403"/>
      </w:pPr>
      <w:r>
        <w:rPr>
          <w:sz w:val="22"/>
          <w:szCs w:val="22"/>
        </w:rPr>
        <w:t xml:space="preserve">The package list shows states including Draft, Sent, Viewed, Partial, Signed, Declined, and Archived. Rows also show events such as sent, completed, partially signed, backdated, and consent status where applicable.</w:t>
      </w:r>
    </w:p>
    <w:p>
      <w:pPr>
        <w:spacing w:after="90"/>
        <w:ind w:left="403"/>
      </w:pPr>
      <w:r>
        <w:rPr>
          <w:b/>
          <w:bCs/>
          <w:color w:val="4735BE"/>
          <w:sz w:val="18"/>
          <w:szCs w:val="18"/>
        </w:rPr>
        <w:t xml:space="preserve">More   </w:t>
      </w:r>
      <w:r>
        <w:rPr>
          <w:sz w:val="22"/>
          <w:szCs w:val="22"/>
        </w:rPr>
        <w:t xml:space="preserve">Draft means the package has not been sent; Sent confirms delivery was initiated; Viewed shows client access; Partial means at least one required signer remains; Signed marks completion; Declined records refusal; and Archived removes the package from the active list. Event dates and consent information provide additional context for follow-up.</w:t>
      </w:r>
    </w:p>
    <w:p>
      <w:pPr>
        <w:spacing w:after="40" w:before="70"/>
        <w:ind w:left="403"/>
      </w:pPr>
      <w:r>
        <w:rPr>
          <w:color w:val="8B8FA3"/>
          <w:sz w:val="17"/>
          <w:szCs w:val="17"/>
        </w:rPr>
        <w:t xml:space="preserve">Ref: pro-which-signing-statuses-can-staff-track-89</w:t>
      </w:r>
    </w:p>
    <w:p>
      <w:pPr>
        <w:keepNext/>
        <w:spacing w:after="90" w:before="220"/>
      </w:pPr>
      <w:r>
        <w:rPr>
          <w:b/>
          <w:bCs/>
          <w:color w:val="1A1C2E"/>
          <w:sz w:val="24"/>
          <w:szCs w:val="24"/>
        </w:rPr>
        <w:t xml:space="preserve">11.   How does the engagement-letter signature process work?</w:t>
      </w:r>
    </w:p>
    <w:p>
      <w:pPr>
        <w:spacing w:after="90"/>
        <w:ind w:left="403"/>
      </w:pPr>
      <w:r>
        <w:rPr>
          <w:sz w:val="22"/>
          <w:szCs w:val="22"/>
        </w:rPr>
        <w:t xml:space="preserve">The signer opens the client-facing engagement package, reviews the offered services, pricing, agreement terms, and supporting content, and then completes the required signature step by drawing a signature or typing the signer's name.</w:t>
      </w:r>
    </w:p>
    <w:p>
      <w:pPr>
        <w:spacing w:after="90"/>
        <w:ind w:left="403"/>
      </w:pPr>
      <w:r>
        <w:rPr>
          <w:b/>
          <w:bCs/>
          <w:color w:val="4735BE"/>
          <w:sz w:val="18"/>
          <w:szCs w:val="18"/>
        </w:rPr>
        <w:t xml:space="preserve">More   </w:t>
      </w:r>
      <w:r>
        <w:rPr>
          <w:sz w:val="22"/>
          <w:szCs w:val="22"/>
        </w:rPr>
        <w:t xml:space="preserve">The completed package keeps the agreed services, pricing, terms, recipients, consent, signature result, and related audit activity with the client record. The firm should select the authorized signer and finish its internal review before sending so the signed package accurately represents the engagement the client accepted.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Confirm the correct client, recipients, services, price, terms, sign-by date, and approval requirements before sending.</w:t>
      </w:r>
    </w:p>
    <w:p>
      <w:pPr>
        <w:pStyle w:val="ListParagraph"/>
        <w:numPr>
          <w:ilvl w:val="0"/>
          <w:numId w:val="2"/>
        </w:numPr>
        <w:spacing w:after="40"/>
        <w:ind w:left="892"/>
      </w:pPr>
      <w:r>
        <w:rPr>
          <w:sz w:val="21"/>
          <w:szCs w:val="21"/>
        </w:rPr>
        <w:t xml:space="preserve">The recipient opens the engagement package from the delivered client link and completes any required selections or approvals.</w:t>
      </w:r>
    </w:p>
    <w:p>
      <w:pPr>
        <w:pStyle w:val="ListParagraph"/>
        <w:numPr>
          <w:ilvl w:val="0"/>
          <w:numId w:val="2"/>
        </w:numPr>
        <w:spacing w:after="40"/>
        <w:ind w:left="892"/>
      </w:pPr>
      <w:r>
        <w:rPr>
          <w:sz w:val="21"/>
          <w:szCs w:val="21"/>
        </w:rPr>
        <w:t xml:space="preserve">The recipient draws a signature or types the signer's name and submits the package.</w:t>
      </w:r>
    </w:p>
    <w:p>
      <w:pPr>
        <w:pStyle w:val="ListParagraph"/>
        <w:numPr>
          <w:ilvl w:val="0"/>
          <w:numId w:val="2"/>
        </w:numPr>
        <w:spacing w:after="40"/>
        <w:ind w:left="892"/>
      </w:pPr>
      <w:r>
        <w:rPr>
          <w:sz w:val="21"/>
          <w:szCs w:val="21"/>
        </w:rPr>
        <w:t xml:space="preserve">AssurePro updates the package through statuses such as Sent, Viewed, Partial, Signed, or Declined so the firm can follow up with the correct recipient.</w:t>
      </w:r>
    </w:p>
    <w:p>
      <w:pPr>
        <w:pStyle w:val="ListParagraph"/>
        <w:numPr>
          <w:ilvl w:val="0"/>
          <w:numId w:val="2"/>
        </w:numPr>
        <w:spacing w:after="40"/>
        <w:ind w:left="892"/>
      </w:pPr>
      <w:r>
        <w:rPr>
          <w:sz w:val="21"/>
          <w:szCs w:val="21"/>
        </w:rPr>
        <w:t xml:space="preserve">When more than one signature is required, Partial indicates that at least one required signer still needs to complete the package.</w:t>
      </w:r>
    </w:p>
    <w:p>
      <w:pPr>
        <w:pStyle w:val="ListParagraph"/>
        <w:numPr>
          <w:ilvl w:val="0"/>
          <w:numId w:val="2"/>
        </w:numPr>
        <w:spacing w:after="40"/>
        <w:ind w:left="892"/>
      </w:pPr>
      <w:r>
        <w:rPr>
          <w:sz w:val="21"/>
          <w:szCs w:val="21"/>
        </w:rPr>
        <w:t xml:space="preserve">Open the completed package from the client or Engagement Letter record to retain and review the accepted services, pricing, terms, recipients, consent, signature result, and audit history.</w:t>
      </w:r>
    </w:p>
    <w:p>
      <w:pPr>
        <w:spacing w:after="40" w:before="70"/>
        <w:ind w:left="403"/>
      </w:pPr>
      <w:r>
        <w:rPr>
          <w:color w:val="8B8FA3"/>
          <w:sz w:val="17"/>
          <w:szCs w:val="17"/>
        </w:rPr>
        <w:t xml:space="preserve">Ref: pro-how-does-the-engagement-letter-signature-process-work-90</w:t>
      </w:r>
    </w:p>
    <w:p>
      <w:pPr>
        <w:keepNext/>
        <w:spacing w:after="90" w:before="220"/>
      </w:pPr>
      <w:r>
        <w:rPr>
          <w:b/>
          <w:bCs/>
          <w:color w:val="1A1C2E"/>
          <w:sz w:val="24"/>
          <w:szCs w:val="24"/>
        </w:rPr>
        <w:t xml:space="preserve">12.   What are the magic link and audit log for a sent engagement letter?</w:t>
      </w:r>
    </w:p>
    <w:p>
      <w:pPr>
        <w:spacing w:after="90"/>
        <w:ind w:left="403"/>
      </w:pPr>
      <w:r>
        <w:rPr>
          <w:sz w:val="22"/>
          <w:szCs w:val="22"/>
        </w:rPr>
        <w:t xml:space="preserve">After an engagement letter has been sent, previewing the sent package provides the operational actions for that delivery, including its magic link and audit log.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 and select the package from Sent.</w:t>
      </w:r>
    </w:p>
    <w:p>
      <w:pPr>
        <w:pStyle w:val="ListParagraph"/>
        <w:numPr>
          <w:ilvl w:val="0"/>
          <w:numId w:val="2"/>
        </w:numPr>
        <w:spacing w:after="40"/>
        <w:ind w:left="892"/>
      </w:pPr>
      <w:r>
        <w:rPr>
          <w:sz w:val="21"/>
          <w:szCs w:val="21"/>
        </w:rPr>
        <w:t xml:space="preserve">Preview the sent engagement letter rather than reopening the draft builder.</w:t>
      </w:r>
    </w:p>
    <w:p>
      <w:pPr>
        <w:pStyle w:val="ListParagraph"/>
        <w:numPr>
          <w:ilvl w:val="0"/>
          <w:numId w:val="2"/>
        </w:numPr>
        <w:spacing w:after="40"/>
        <w:ind w:left="892"/>
      </w:pPr>
      <w:r>
        <w:rPr>
          <w:sz w:val="21"/>
          <w:szCs w:val="21"/>
        </w:rPr>
        <w:t xml:space="preserve">Use the magic-link option to open or copy the client-facing route for that specific sent package when the recipient needs help accessing it.</w:t>
      </w:r>
    </w:p>
    <w:p>
      <w:pPr>
        <w:pStyle w:val="ListParagraph"/>
        <w:numPr>
          <w:ilvl w:val="0"/>
          <w:numId w:val="2"/>
        </w:numPr>
        <w:spacing w:after="40"/>
        <w:ind w:left="892"/>
      </w:pPr>
      <w:r>
        <w:rPr>
          <w:sz w:val="21"/>
          <w:szCs w:val="21"/>
        </w:rPr>
        <w:t xml:space="preserve">Confirm the package and intended recipient before sharing the link; the link belongs to that engagement-letter delivery and should not be reused for a different client.</w:t>
      </w:r>
    </w:p>
    <w:p>
      <w:pPr>
        <w:pStyle w:val="ListParagraph"/>
        <w:numPr>
          <w:ilvl w:val="0"/>
          <w:numId w:val="2"/>
        </w:numPr>
        <w:spacing w:after="40"/>
        <w:ind w:left="892"/>
      </w:pPr>
      <w:r>
        <w:rPr>
          <w:sz w:val="21"/>
          <w:szCs w:val="21"/>
        </w:rPr>
        <w:t xml:space="preserve">Open the audit log to review the package's recorded delivery and signing activity, such as when it was sent, opened or viewed, and signed or otherwise acted on.</w:t>
      </w:r>
    </w:p>
    <w:p>
      <w:pPr>
        <w:pStyle w:val="ListParagraph"/>
        <w:numPr>
          <w:ilvl w:val="0"/>
          <w:numId w:val="2"/>
        </w:numPr>
        <w:spacing w:after="40"/>
        <w:ind w:left="892"/>
      </w:pPr>
      <w:r>
        <w:rPr>
          <w:sz w:val="21"/>
          <w:szCs w:val="21"/>
        </w:rPr>
        <w:t xml:space="preserve">Use the recipient status and audit events together when following up—for example, distinguish a delivery problem from a package that was viewed but is still awaiting a signature.</w:t>
      </w:r>
    </w:p>
    <w:p>
      <w:pPr>
        <w:spacing w:after="40" w:before="70"/>
        <w:ind w:left="403"/>
      </w:pPr>
      <w:r>
        <w:rPr>
          <w:color w:val="8B8FA3"/>
          <w:sz w:val="17"/>
          <w:szCs w:val="17"/>
        </w:rPr>
        <w:t xml:space="preserve">Ref: pro-what-are-the-magic-link-and-audit-log-for-a-sent-engagement-letter-91</w:t>
      </w:r>
    </w:p>
    <w:p>
      <w:pPr>
        <w:keepNext/>
        <w:spacing w:after="90" w:before="220"/>
      </w:pPr>
      <w:r>
        <w:rPr>
          <w:b/>
          <w:bCs/>
          <w:color w:val="1A1C2E"/>
          <w:sz w:val="24"/>
          <w:szCs w:val="24"/>
        </w:rPr>
        <w:t xml:space="preserve">13.   Can a client sign an engagement letter from a mobile device?</w:t>
      </w:r>
    </w:p>
    <w:p>
      <w:pPr>
        <w:spacing w:after="90"/>
        <w:ind w:left="403"/>
      </w:pPr>
      <w:r>
        <w:rPr>
          <w:sz w:val="22"/>
          <w:szCs w:val="22"/>
        </w:rPr>
        <w:t xml:space="preserve">Yes. The client can review and sign the engagement package from a supported mobile device.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engagement-package link from the firm's invitation or client experience.</w:t>
      </w:r>
    </w:p>
    <w:p>
      <w:pPr>
        <w:pStyle w:val="ListParagraph"/>
        <w:numPr>
          <w:ilvl w:val="0"/>
          <w:numId w:val="2"/>
        </w:numPr>
        <w:spacing w:after="40"/>
        <w:ind w:left="892"/>
      </w:pPr>
      <w:r>
        <w:rPr>
          <w:sz w:val="21"/>
          <w:szCs w:val="21"/>
        </w:rPr>
        <w:t xml:space="preserve">Review the introduction, selected services and pricing, agreement terms, and any supporting pages or PDFs.</w:t>
      </w:r>
    </w:p>
    <w:p>
      <w:pPr>
        <w:pStyle w:val="ListParagraph"/>
        <w:numPr>
          <w:ilvl w:val="0"/>
          <w:numId w:val="2"/>
        </w:numPr>
        <w:spacing w:after="40"/>
        <w:ind w:left="892"/>
      </w:pPr>
      <w:r>
        <w:rPr>
          <w:sz w:val="21"/>
          <w:szCs w:val="21"/>
        </w:rPr>
        <w:t xml:space="preserve">Complete any required service selections, approvals, or payment-capture step included by the firm.</w:t>
      </w:r>
    </w:p>
    <w:p>
      <w:pPr>
        <w:pStyle w:val="ListParagraph"/>
        <w:numPr>
          <w:ilvl w:val="0"/>
          <w:numId w:val="2"/>
        </w:numPr>
        <w:spacing w:after="40"/>
        <w:ind w:left="892"/>
      </w:pPr>
      <w:r>
        <w:rPr>
          <w:sz w:val="21"/>
          <w:szCs w:val="21"/>
        </w:rPr>
        <w:t xml:space="preserve">Draw the signature or type the signer's name and submit the signed package.</w:t>
      </w:r>
    </w:p>
    <w:p>
      <w:pPr>
        <w:pStyle w:val="ListParagraph"/>
        <w:numPr>
          <w:ilvl w:val="0"/>
          <w:numId w:val="2"/>
        </w:numPr>
        <w:spacing w:after="40"/>
        <w:ind w:left="892"/>
      </w:pPr>
      <w:r>
        <w:rPr>
          <w:sz w:val="21"/>
          <w:szCs w:val="21"/>
        </w:rPr>
        <w:t xml:space="preserve">The firm can then track the package as Viewed, Partial, or Signed and open the completed agreement from the client record.</w:t>
      </w:r>
    </w:p>
    <w:p>
      <w:pPr>
        <w:spacing w:after="40" w:before="70"/>
        <w:ind w:left="403"/>
      </w:pPr>
      <w:r>
        <w:rPr>
          <w:color w:val="8B8FA3"/>
          <w:sz w:val="17"/>
          <w:szCs w:val="17"/>
        </w:rPr>
        <w:t xml:space="preserve">Ref: pro-can-a-client-sign-an-engagement-letter-from-a-mobile-device-92</w:t>
      </w:r>
    </w:p>
    <w:p>
      <w:r>
        <w:br w:type="page"/>
      </w:r>
    </w:p>
    <w:p>
      <w:pPr>
        <w:pStyle w:val="Heading1"/>
        <w:spacing w:after="40" w:before="60"/>
      </w:pPr>
      <w:r>
        <w:rPr>
          <w:b/>
          <w:bCs/>
          <w:color w:val="1A1C2E"/>
          <w:sz w:val="32"/>
          <w:szCs w:val="32"/>
        </w:rPr>
        <w:t xml:space="preserve">Billing &amp; services</w:t>
      </w:r>
    </w:p>
    <w:p>
      <w:pPr>
        <w:pBdr>
          <w:bottom w:val="single" w:color="E4E2F0" w:sz="4"/>
        </w:pBdr>
        <w:spacing w:after="200"/>
      </w:pPr>
      <w:r>
        <w:rPr>
          <w:color w:val="8B8FA3"/>
          <w:sz w:val="20"/>
          <w:szCs w:val="20"/>
        </w:rPr>
        <w:t xml:space="preserve">22 questions</w:t>
      </w:r>
    </w:p>
    <w:p>
      <w:pPr>
        <w:keepNext/>
        <w:spacing w:after="90" w:before="220"/>
      </w:pPr>
      <w:r>
        <w:rPr>
          <w:b/>
          <w:bCs/>
          <w:color w:val="1A1C2E"/>
          <w:sz w:val="24"/>
          <w:szCs w:val="24"/>
        </w:rPr>
        <w:t xml:space="preserve">1.   How is the Billing area organized?</w:t>
      </w:r>
    </w:p>
    <w:p>
      <w:pPr>
        <w:spacing w:after="90"/>
        <w:ind w:left="403"/>
      </w:pPr>
      <w:r>
        <w:rPr>
          <w:sz w:val="22"/>
          <w:szCs w:val="22"/>
        </w:rPr>
        <w:t xml:space="preserve">Billing has three tabs. Invoices combines receivable summaries, agreement-generated drafts, search, filters, and the invoice register. Recurring manages automated billing schedules. Referrals tracks MyCPEOne referrals and commissions.</w:t>
      </w:r>
    </w:p>
    <w:p>
      <w:pPr>
        <w:spacing w:after="90"/>
        <w:ind w:left="403"/>
      </w:pPr>
      <w:r>
        <w:rPr>
          <w:b/>
          <w:bCs/>
          <w:color w:val="4735BE"/>
          <w:sz w:val="18"/>
          <w:szCs w:val="18"/>
        </w:rPr>
        <w:t xml:space="preserve">More   </w:t>
      </w:r>
      <w:r>
        <w:rPr>
          <w:sz w:val="22"/>
          <w:szCs w:val="22"/>
        </w:rPr>
        <w:t xml:space="preserve">Use Invoices for one-time and generated receivables, Recurring for schedules that create invoices on a cadence, and Referrals for MyCPEOne introductions and commissions. The signed-agreements banner bridges Engagement Letter and Billing by gathering new drafts and schedules that need review before activation or delivery.</w:t>
      </w:r>
    </w:p>
    <w:p>
      <w:pPr>
        <w:spacing w:after="40" w:before="70"/>
        <w:ind w:left="403"/>
      </w:pPr>
      <w:r>
        <w:rPr>
          <w:color w:val="8B8FA3"/>
          <w:sz w:val="17"/>
          <w:szCs w:val="17"/>
        </w:rPr>
        <w:t xml:space="preserve">Ref: pro-how-is-the-billing-area-organized-93</w:t>
      </w:r>
    </w:p>
    <w:p>
      <w:pPr>
        <w:keepNext/>
        <w:spacing w:after="90" w:before="220"/>
      </w:pPr>
      <w:r>
        <w:rPr>
          <w:b/>
          <w:bCs/>
          <w:color w:val="1A1C2E"/>
          <w:sz w:val="24"/>
          <w:szCs w:val="24"/>
        </w:rPr>
        <w:t xml:space="preserve">2.   What does the Invoices overview show?</w:t>
      </w:r>
    </w:p>
    <w:p>
      <w:pPr>
        <w:spacing w:after="90"/>
        <w:ind w:left="403"/>
      </w:pPr>
      <w:r>
        <w:rPr>
          <w:sz w:val="22"/>
          <w:szCs w:val="22"/>
        </w:rPr>
        <w:t xml:space="preserve">The overview summarizes Outstanding, Overdue, Awaiting payment, Collected in the last 30 days, and Drafts. Selecting a summary card filters the register to that group. The register can also be searched by invoice number or client and filtered by status, client, source, and date; Columns controls which fields are visible.</w:t>
      </w:r>
    </w:p>
    <w:p>
      <w:pPr>
        <w:spacing w:after="90"/>
        <w:ind w:left="403"/>
      </w:pPr>
      <w:r>
        <w:rPr>
          <w:b/>
          <w:bCs/>
          <w:color w:val="4735BE"/>
          <w:sz w:val="18"/>
          <w:szCs w:val="18"/>
        </w:rPr>
        <w:t xml:space="preserve">More   </w:t>
      </w:r>
      <w:r>
        <w:rPr>
          <w:sz w:val="22"/>
          <w:szCs w:val="22"/>
        </w:rPr>
        <w:t xml:space="preserve">For example, select Overdue to isolate invoices that need collection follow-up, Awaiting payment for sent invoices not yet paid, Drafts for items that still need review, or Collected to confirm recent cash activity. Search and filters can then narrow the selected group to one client, source, status, or date range.</w:t>
      </w:r>
    </w:p>
    <w:p>
      <w:pPr>
        <w:spacing w:after="40" w:before="70"/>
        <w:ind w:left="403"/>
      </w:pPr>
      <w:r>
        <w:rPr>
          <w:color w:val="8B8FA3"/>
          <w:sz w:val="17"/>
          <w:szCs w:val="17"/>
        </w:rPr>
        <w:t xml:space="preserve">Ref: pro-what-does-the-invoices-overview-show-94</w:t>
      </w:r>
    </w:p>
    <w:p>
      <w:pPr>
        <w:keepNext/>
        <w:spacing w:after="90" w:before="220"/>
      </w:pPr>
      <w:r>
        <w:rPr>
          <w:b/>
          <w:bCs/>
          <w:color w:val="1A1C2E"/>
          <w:sz w:val="24"/>
          <w:szCs w:val="24"/>
        </w:rPr>
        <w:t xml:space="preserve">3.   Which invoice sources and statuses are tracked?</w:t>
      </w:r>
    </w:p>
    <w:p>
      <w:pPr>
        <w:spacing w:after="90"/>
        <w:ind w:left="403"/>
      </w:pPr>
      <w:r>
        <w:rPr>
          <w:sz w:val="22"/>
          <w:szCs w:val="22"/>
        </w:rPr>
        <w:t xml:space="preserve">The invoice register distinguishes Manual, Agreement, and Time sources. Visible statuses include Draft, Sent, Viewed, Overdue, Paid, and Cancelled. Total, remaining balance, and due date are shown separately so a status does not need to be inferred from the invoice amount.</w:t>
      </w:r>
    </w:p>
    <w:p>
      <w:pPr>
        <w:spacing w:after="90"/>
        <w:ind w:left="403"/>
      </w:pPr>
      <w:r>
        <w:rPr>
          <w:b/>
          <w:bCs/>
          <w:color w:val="4735BE"/>
          <w:sz w:val="18"/>
          <w:szCs w:val="18"/>
        </w:rPr>
        <w:t xml:space="preserve">More   </w:t>
      </w:r>
      <w:r>
        <w:rPr>
          <w:sz w:val="22"/>
          <w:szCs w:val="22"/>
        </w:rPr>
        <w:t xml:space="preserve">Source explains how the invoice began: Manual from the invoice builder, Agreement from signed engagement terms, or Time from billable entries. Status explains its lifecycle; for example, Viewed means the client opened a sent invoice, Overdue means its unpaid balance passed the due date, and Paid means the balance was satisfied.</w:t>
      </w:r>
    </w:p>
    <w:p>
      <w:pPr>
        <w:spacing w:after="40" w:before="70"/>
        <w:ind w:left="403"/>
      </w:pPr>
      <w:r>
        <w:rPr>
          <w:color w:val="8B8FA3"/>
          <w:sz w:val="17"/>
          <w:szCs w:val="17"/>
        </w:rPr>
        <w:t xml:space="preserve">Ref: pro-which-invoice-sources-and-statuses-are-tracked-95</w:t>
      </w:r>
    </w:p>
    <w:p>
      <w:pPr>
        <w:keepNext/>
        <w:spacing w:after="90" w:before="220"/>
      </w:pPr>
      <w:r>
        <w:rPr>
          <w:b/>
          <w:bCs/>
          <w:color w:val="1A1C2E"/>
          <w:sz w:val="24"/>
          <w:szCs w:val="24"/>
        </w:rPr>
        <w:t xml:space="preserve">4.   How is a new invoice created?</w:t>
      </w:r>
    </w:p>
    <w:p>
      <w:pPr>
        <w:spacing w:after="90"/>
        <w:ind w:left="403"/>
      </w:pPr>
      <w:r>
        <w:rPr>
          <w:sz w:val="22"/>
          <w:szCs w:val="22"/>
        </w:rPr>
        <w:t xml:space="preserve">An invoice cannot be sent until a client, due date, and at least one priced line item are present.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select Create invoice, or choose Invoice from the global + New menu.</w:t>
      </w:r>
    </w:p>
    <w:p>
      <w:pPr>
        <w:pStyle w:val="ListParagraph"/>
        <w:numPr>
          <w:ilvl w:val="0"/>
          <w:numId w:val="2"/>
        </w:numPr>
        <w:spacing w:after="40"/>
        <w:ind w:left="892"/>
      </w:pPr>
      <w:r>
        <w:rPr>
          <w:sz w:val="21"/>
          <w:szCs w:val="21"/>
        </w:rPr>
        <w:t xml:space="preserve">Select the client; optionally associate an engagement after the client is selected.</w:t>
      </w:r>
    </w:p>
    <w:p>
      <w:pPr>
        <w:pStyle w:val="ListParagraph"/>
        <w:numPr>
          <w:ilvl w:val="0"/>
          <w:numId w:val="2"/>
        </w:numPr>
        <w:spacing w:after="40"/>
        <w:ind w:left="892"/>
      </w:pPr>
      <w:r>
        <w:rPr>
          <w:sz w:val="21"/>
          <w:szCs w:val="21"/>
        </w:rPr>
        <w:t xml:space="preserve">Confirm the invoice number, issue date, and due date.</w:t>
      </w:r>
    </w:p>
    <w:p>
      <w:pPr>
        <w:pStyle w:val="ListParagraph"/>
        <w:numPr>
          <w:ilvl w:val="0"/>
          <w:numId w:val="2"/>
        </w:numPr>
        <w:spacing w:after="40"/>
        <w:ind w:left="892"/>
      </w:pPr>
      <w:r>
        <w:rPr>
          <w:sz w:val="21"/>
          <w:szCs w:val="21"/>
        </w:rPr>
        <w:t xml:space="preserve">Add a service-catalog item or a custom line, then enter quantity and unit price.</w:t>
      </w:r>
    </w:p>
    <w:p>
      <w:pPr>
        <w:pStyle w:val="ListParagraph"/>
        <w:numPr>
          <w:ilvl w:val="0"/>
          <w:numId w:val="2"/>
        </w:numPr>
        <w:spacing w:after="40"/>
        <w:ind w:left="892"/>
      </w:pPr>
      <w:r>
        <w:rPr>
          <w:sz w:val="21"/>
          <w:szCs w:val="21"/>
        </w:rPr>
        <w:t xml:space="preserve">If applicable, import unbilled time and apply a dollar or percentage discount and tax.</w:t>
      </w:r>
    </w:p>
    <w:p>
      <w:pPr>
        <w:pStyle w:val="ListParagraph"/>
        <w:numPr>
          <w:ilvl w:val="0"/>
          <w:numId w:val="2"/>
        </w:numPr>
        <w:spacing w:after="40"/>
        <w:ind w:left="892"/>
      </w:pPr>
      <w:r>
        <w:rPr>
          <w:sz w:val="21"/>
          <w:szCs w:val="21"/>
        </w:rPr>
        <w:t xml:space="preserve">Add a description, client note, or internal note as needed.</w:t>
      </w:r>
    </w:p>
    <w:p>
      <w:pPr>
        <w:pStyle w:val="ListParagraph"/>
        <w:numPr>
          <w:ilvl w:val="0"/>
          <w:numId w:val="2"/>
        </w:numPr>
        <w:spacing w:after="40"/>
        <w:ind w:left="892"/>
      </w:pPr>
      <w:r>
        <w:rPr>
          <w:sz w:val="21"/>
          <w:szCs w:val="21"/>
        </w:rPr>
        <w:t xml:space="preserve">Review the live invoice preview.</w:t>
      </w:r>
    </w:p>
    <w:p>
      <w:pPr>
        <w:pStyle w:val="ListParagraph"/>
        <w:numPr>
          <w:ilvl w:val="0"/>
          <w:numId w:val="2"/>
        </w:numPr>
        <w:spacing w:after="40"/>
        <w:ind w:left="892"/>
      </w:pPr>
      <w:r>
        <w:rPr>
          <w:sz w:val="21"/>
          <w:szCs w:val="21"/>
        </w:rPr>
        <w:t xml:space="preserve">Choose Save as draft or Create &amp; send.</w:t>
      </w:r>
    </w:p>
    <w:p>
      <w:pPr>
        <w:spacing w:after="40" w:before="70"/>
        <w:ind w:left="403"/>
      </w:pPr>
      <w:r>
        <w:rPr>
          <w:color w:val="8B8FA3"/>
          <w:sz w:val="17"/>
          <w:szCs w:val="17"/>
        </w:rPr>
        <w:t xml:space="preserve">Search terms: create an invoice add invoice new invoice send invoice   ·   Ref: pro-how-is-a-new-invoice-created-96</w:t>
      </w:r>
    </w:p>
    <w:p>
      <w:pPr>
        <w:keepNext/>
        <w:spacing w:after="90" w:before="220"/>
      </w:pPr>
      <w:r>
        <w:rPr>
          <w:b/>
          <w:bCs/>
          <w:color w:val="1A1C2E"/>
          <w:sz w:val="24"/>
          <w:szCs w:val="24"/>
        </w:rPr>
        <w:t xml:space="preserve">5.   What can staff review on an individual invoice?</w:t>
      </w:r>
    </w:p>
    <w:p>
      <w:pPr>
        <w:spacing w:after="90"/>
        <w:ind w:left="403"/>
      </w:pPr>
      <w:r>
        <w:rPr>
          <w:sz w:val="22"/>
          <w:szCs w:val="22"/>
        </w:rPr>
        <w:t xml:space="preserve">The invoice record shows its status and source, balance, issue and due dates, subtotal, discount, tax, amount paid, client, related signed agreement when applicable, description, and line items. Payment history and an audit trail show what happened after creation. Available actions include Download PDF, Edit, Send invoice, and Cancel, depending on the invoice state.</w:t>
      </w:r>
    </w:p>
    <w:p>
      <w:pPr>
        <w:spacing w:after="90"/>
        <w:ind w:left="403"/>
      </w:pPr>
      <w:r>
        <w:rPr>
          <w:b/>
          <w:bCs/>
          <w:color w:val="4735BE"/>
          <w:sz w:val="18"/>
          <w:szCs w:val="18"/>
        </w:rPr>
        <w:t xml:space="preserve">More   </w:t>
      </w:r>
      <w:r>
        <w:rPr>
          <w:sz w:val="22"/>
          <w:szCs w:val="22"/>
        </w:rPr>
        <w:t xml:space="preserve">Use the audit trail to confirm creation and later events, Payment history to reconcile receipts, and the signed-agreement link to compare an Agreement invoice with accepted terms. Before editing or cancelling, check the current balance and status so the action does not conflict with a payment already received.</w:t>
      </w:r>
    </w:p>
    <w:p>
      <w:pPr>
        <w:spacing w:after="40" w:before="70"/>
        <w:ind w:left="403"/>
      </w:pPr>
      <w:r>
        <w:rPr>
          <w:color w:val="8B8FA3"/>
          <w:sz w:val="17"/>
          <w:szCs w:val="17"/>
        </w:rPr>
        <w:t xml:space="preserve">Ref: pro-what-can-staff-review-on-an-individual-invoice-97</w:t>
      </w:r>
    </w:p>
    <w:p>
      <w:pPr>
        <w:keepNext/>
        <w:spacing w:after="90" w:before="220"/>
      </w:pPr>
      <w:r>
        <w:rPr>
          <w:b/>
          <w:bCs/>
          <w:color w:val="1A1C2E"/>
          <w:sz w:val="24"/>
          <w:szCs w:val="24"/>
        </w:rPr>
        <w:t xml:space="preserve">6.   How can clients pay an AssurePro invoice?</w:t>
      </w:r>
    </w:p>
    <w:p>
      <w:pPr>
        <w:spacing w:after="90"/>
        <w:ind w:left="403"/>
      </w:pPr>
      <w:r>
        <w:rPr>
          <w:sz w:val="22"/>
          <w:szCs w:val="22"/>
        </w:rPr>
        <w:t xml:space="preserve">Client payment collection uses the payment processor connected in Integrations and the firm's Billing &amp; Payments configuration. An invoice tracks its total, balance, due date, and payment status; the payment methods presented to a client depend on the connected processor and the options enabled for the firm.</w:t>
      </w:r>
    </w:p>
    <w:p>
      <w:pPr>
        <w:spacing w:after="90"/>
        <w:ind w:left="403"/>
      </w:pPr>
      <w:r>
        <w:rPr>
          <w:b/>
          <w:bCs/>
          <w:color w:val="4735BE"/>
          <w:sz w:val="18"/>
          <w:szCs w:val="18"/>
        </w:rPr>
        <w:t xml:space="preserve">More   </w:t>
      </w:r>
      <w:r>
        <w:rPr>
          <w:sz w:val="22"/>
          <w:szCs w:val="22"/>
        </w:rPr>
        <w:t xml:space="preserve">The firm first connects its payment processor in Settings &gt; Integrations and confirms the payout connection under Billing &amp; Payments. After the invoice is sent, the client uses the payment options enabled for the firm; AssurePro updates the invoice's payment history, remaining balance, and status when the processor reports the payment.</w:t>
      </w:r>
    </w:p>
    <w:p>
      <w:pPr>
        <w:spacing w:after="40" w:before="70"/>
        <w:ind w:left="403"/>
      </w:pPr>
      <w:r>
        <w:rPr>
          <w:color w:val="8B8FA3"/>
          <w:sz w:val="17"/>
          <w:szCs w:val="17"/>
        </w:rPr>
        <w:t xml:space="preserve">Ref: pro-how-can-clients-pay-an-assurepro-invoice-98</w:t>
      </w:r>
    </w:p>
    <w:p>
      <w:pPr>
        <w:keepNext/>
        <w:spacing w:after="90" w:before="220"/>
      </w:pPr>
      <w:r>
        <w:rPr>
          <w:b/>
          <w:bCs/>
          <w:color w:val="1A1C2E"/>
          <w:sz w:val="24"/>
          <w:szCs w:val="24"/>
        </w:rPr>
        <w:t xml:space="preserve">7.   Can the firm record a payment received outside AssurePro?</w:t>
      </w:r>
    </w:p>
    <w:p>
      <w:pPr>
        <w:spacing w:after="90"/>
        <w:ind w:left="403"/>
      </w:pPr>
      <w:r>
        <w:rPr>
          <w:sz w:val="22"/>
          <w:szCs w:val="22"/>
        </w:rPr>
        <w:t xml:space="preserve">Yes. Open the invoice and use Add payment to record an off-platform payment. Select the payment method, enter the payment date and required details, and save it so the invoice balance and status reflect the payment received.</w:t>
      </w:r>
    </w:p>
    <w:p>
      <w:pPr>
        <w:spacing w:after="90"/>
        <w:ind w:left="403"/>
      </w:pPr>
      <w:r>
        <w:rPr>
          <w:b/>
          <w:bCs/>
          <w:color w:val="4735BE"/>
          <w:sz w:val="18"/>
          <w:szCs w:val="18"/>
        </w:rPr>
        <w:t xml:space="preserve">More   </w:t>
      </w:r>
      <w:r>
        <w:rPr>
          <w:sz w:val="22"/>
          <w:szCs w:val="22"/>
        </w:rPr>
        <w:t xml:space="preserve">Example: when a client pays by check or another off-platform method, open the invoice, select Add payment, choose the method, enter the actual payment date and reference details, and save. Confirm that the payment appears in Payment history and that the remaining balance and invoice status changed correctly.</w:t>
      </w:r>
    </w:p>
    <w:p>
      <w:pPr>
        <w:spacing w:after="40" w:before="70"/>
        <w:ind w:left="403"/>
      </w:pPr>
      <w:r>
        <w:rPr>
          <w:color w:val="8B8FA3"/>
          <w:sz w:val="17"/>
          <w:szCs w:val="17"/>
        </w:rPr>
        <w:t xml:space="preserve">Ref: pro-can-the-firm-record-a-payment-received-outside-assurepro-99</w:t>
      </w:r>
    </w:p>
    <w:p>
      <w:pPr>
        <w:keepNext/>
        <w:spacing w:after="90" w:before="220"/>
      </w:pPr>
      <w:r>
        <w:rPr>
          <w:b/>
          <w:bCs/>
          <w:color w:val="1A1C2E"/>
          <w:sz w:val="24"/>
          <w:szCs w:val="24"/>
        </w:rPr>
        <w:t xml:space="preserve">8.   Can signed agreements create billing work?</w:t>
      </w:r>
    </w:p>
    <w:p>
      <w:pPr>
        <w:spacing w:after="90"/>
        <w:ind w:left="403"/>
      </w:pPr>
      <w:r>
        <w:rPr>
          <w:sz w:val="22"/>
          <w:szCs w:val="22"/>
        </w:rPr>
        <w:t xml:space="preserve">Yes. Signed engagements can create invoice drafts and recurring schedules from their agreed billing terms. Billing places them in Agreements awaiting billing so staff can review the generated work before it reaches the client.</w:t>
      </w:r>
    </w:p>
    <w:p>
      <w:pPr>
        <w:spacing w:after="90"/>
        <w:ind w:left="403"/>
      </w:pPr>
      <w:r>
        <w:rPr>
          <w:b/>
          <w:bCs/>
          <w:color w:val="4735BE"/>
          <w:sz w:val="18"/>
          <w:szCs w:val="18"/>
        </w:rPr>
        <w:t xml:space="preserve">More   </w:t>
      </w:r>
      <w:r>
        <w:rPr>
          <w:sz w:val="22"/>
          <w:szCs w:val="22"/>
        </w:rPr>
        <w:t xml:space="preserve">A one-time agreed charge can become an invoice draft, while recurring terms can create a billing schedule. AssurePro does not require staff to retype the accepted commercial terms; instead, the generated item appears in Agreements awaiting billing for validation before it is sent or activated.</w:t>
      </w:r>
    </w:p>
    <w:p>
      <w:pPr>
        <w:spacing w:after="40" w:before="70"/>
        <w:ind w:left="403"/>
      </w:pPr>
      <w:r>
        <w:rPr>
          <w:color w:val="8B8FA3"/>
          <w:sz w:val="17"/>
          <w:szCs w:val="17"/>
        </w:rPr>
        <w:t xml:space="preserve">Ref: pro-can-signed-agreements-create-billing-work-100</w:t>
      </w:r>
    </w:p>
    <w:p>
      <w:pPr>
        <w:keepNext/>
        <w:spacing w:after="90" w:before="220"/>
      </w:pPr>
      <w:r>
        <w:rPr>
          <w:b/>
          <w:bCs/>
          <w:color w:val="1A1C2E"/>
          <w:sz w:val="24"/>
          <w:szCs w:val="24"/>
        </w:rPr>
        <w:t xml:space="preserve">9.   How do I review billing created by a signed agreement?</w:t>
      </w:r>
    </w:p>
    <w:p>
      <w:pPr>
        <w:spacing w:after="90"/>
        <w:ind w:left="403"/>
      </w:pPr>
      <w:r>
        <w:rPr>
          <w:sz w:val="22"/>
          <w:szCs w:val="22"/>
        </w:rPr>
        <w:t xml:space="preserve">Agreement billing is separated by what still needs attention.</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select the signed-agreements banner.</w:t>
      </w:r>
    </w:p>
    <w:p>
      <w:pPr>
        <w:pStyle w:val="ListParagraph"/>
        <w:numPr>
          <w:ilvl w:val="0"/>
          <w:numId w:val="2"/>
        </w:numPr>
        <w:spacing w:after="40"/>
        <w:ind w:left="892"/>
      </w:pPr>
      <w:r>
        <w:rPr>
          <w:sz w:val="21"/>
          <w:szCs w:val="21"/>
        </w:rPr>
        <w:t xml:space="preserve">Search by client or agreement if needed.</w:t>
      </w:r>
    </w:p>
    <w:p>
      <w:pPr>
        <w:pStyle w:val="ListParagraph"/>
        <w:numPr>
          <w:ilvl w:val="0"/>
          <w:numId w:val="2"/>
        </w:numPr>
        <w:spacing w:after="40"/>
        <w:ind w:left="892"/>
      </w:pPr>
      <w:r>
        <w:rPr>
          <w:sz w:val="21"/>
          <w:szCs w:val="21"/>
        </w:rPr>
        <w:t xml:space="preserve">Under Pending review, check the signed date, number of drafts or schedules, and amount.</w:t>
      </w:r>
    </w:p>
    <w:p>
      <w:pPr>
        <w:pStyle w:val="ListParagraph"/>
        <w:numPr>
          <w:ilvl w:val="0"/>
          <w:numId w:val="2"/>
        </w:numPr>
        <w:spacing w:after="40"/>
        <w:ind w:left="892"/>
      </w:pPr>
      <w:r>
        <w:rPr>
          <w:sz w:val="21"/>
          <w:szCs w:val="21"/>
        </w:rPr>
        <w:t xml:space="preserve">Select Review &amp; send and inspect the generated invoice, line items, dates, and agreement link.</w:t>
      </w:r>
    </w:p>
    <w:p>
      <w:pPr>
        <w:pStyle w:val="ListParagraph"/>
        <w:numPr>
          <w:ilvl w:val="0"/>
          <w:numId w:val="2"/>
        </w:numPr>
        <w:spacing w:after="40"/>
        <w:ind w:left="892"/>
      </w:pPr>
      <w:r>
        <w:rPr>
          <w:sz w:val="21"/>
          <w:szCs w:val="21"/>
        </w:rPr>
        <w:t xml:space="preserve">Edit the draft if the billing details need correction, then send it when ready.</w:t>
      </w:r>
    </w:p>
    <w:p>
      <w:pPr>
        <w:pStyle w:val="ListParagraph"/>
        <w:numPr>
          <w:ilvl w:val="0"/>
          <w:numId w:val="2"/>
        </w:numPr>
        <w:spacing w:after="40"/>
        <w:ind w:left="892"/>
      </w:pPr>
      <w:r>
        <w:rPr>
          <w:sz w:val="21"/>
          <w:szCs w:val="21"/>
        </w:rPr>
        <w:t xml:space="preserve">Use Active for agreements already producing billing; items marked Manual, no priced services have no automatically billable service to create.</w:t>
      </w:r>
    </w:p>
    <w:p>
      <w:pPr>
        <w:spacing w:after="40" w:before="70"/>
        <w:ind w:left="403"/>
      </w:pPr>
      <w:r>
        <w:rPr>
          <w:color w:val="8B8FA3"/>
          <w:sz w:val="17"/>
          <w:szCs w:val="17"/>
        </w:rPr>
        <w:t xml:space="preserve">Ref: pro-how-do-i-review-billing-created-by-a-signed-agreement-101</w:t>
      </w:r>
    </w:p>
    <w:p>
      <w:pPr>
        <w:keepNext/>
        <w:spacing w:after="90" w:before="220"/>
      </w:pPr>
      <w:r>
        <w:rPr>
          <w:b/>
          <w:bCs/>
          <w:color w:val="1A1C2E"/>
          <w:sz w:val="24"/>
          <w:szCs w:val="24"/>
        </w:rPr>
        <w:t xml:space="preserve">10.   How does recurring billing work?</w:t>
      </w:r>
    </w:p>
    <w:p>
      <w:pPr>
        <w:spacing w:after="90"/>
        <w:ind w:left="403"/>
      </w:pPr>
      <w:r>
        <w:rPr>
          <w:sz w:val="22"/>
          <w:szCs w:val="22"/>
        </w:rPr>
        <w:t xml:space="preserve">Recurring contains schedules that generate invoices on a configured cadence. Auto-send schedules bill the client automatically; Manual send schedules wait for firm review. The list shows client, cadence, service, send mode, status, next invoice date, amount, and actions.</w:t>
      </w:r>
    </w:p>
    <w:p>
      <w:pPr>
        <w:spacing w:after="90"/>
        <w:ind w:left="403"/>
      </w:pPr>
      <w:r>
        <w:rPr>
          <w:b/>
          <w:bCs/>
          <w:color w:val="4735BE"/>
          <w:sz w:val="18"/>
          <w:szCs w:val="18"/>
        </w:rPr>
        <w:t xml:space="preserve">More   </w:t>
      </w:r>
      <w:r>
        <w:rPr>
          <w:sz w:val="22"/>
          <w:szCs w:val="22"/>
        </w:rPr>
        <w:t xml:space="preserve">For example, a monthly bookkeeping agreement can create a Monthly schedule with Auto-send so each generated invoice is delivered automatically, while a quarterly advisory schedule can use Manual send so staff review it first. Pausing stops scheduled activity; Resume restarts it; Bill now creates an immediate invoice when the schedule is active.</w:t>
      </w:r>
    </w:p>
    <w:p>
      <w:pPr>
        <w:spacing w:after="40" w:before="70"/>
        <w:ind w:left="403"/>
      </w:pPr>
      <w:r>
        <w:rPr>
          <w:color w:val="8B8FA3"/>
          <w:sz w:val="17"/>
          <w:szCs w:val="17"/>
        </w:rPr>
        <w:t xml:space="preserve">Ref: pro-how-does-recurring-billing-work-102</w:t>
      </w:r>
    </w:p>
    <w:p>
      <w:pPr>
        <w:keepNext/>
        <w:spacing w:after="90" w:before="220"/>
      </w:pPr>
      <w:r>
        <w:rPr>
          <w:b/>
          <w:bCs/>
          <w:color w:val="1A1C2E"/>
          <w:sz w:val="24"/>
          <w:szCs w:val="24"/>
        </w:rPr>
        <w:t xml:space="preserve">11.   How do I review or control a recurring schedule?</w:t>
      </w:r>
    </w:p>
    <w:p>
      <w:pPr>
        <w:spacing w:after="90"/>
        <w:ind w:left="403"/>
      </w:pPr>
      <w:r>
        <w:rPr>
          <w:sz w:val="22"/>
          <w:szCs w:val="22"/>
        </w:rPr>
        <w:t xml:space="preserve">A schedule can be inspected without opening the client record.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choose Recurring.</w:t>
      </w:r>
    </w:p>
    <w:p>
      <w:pPr>
        <w:pStyle w:val="ListParagraph"/>
        <w:numPr>
          <w:ilvl w:val="0"/>
          <w:numId w:val="2"/>
        </w:numPr>
        <w:spacing w:after="40"/>
        <w:ind w:left="892"/>
      </w:pPr>
      <w:r>
        <w:rPr>
          <w:sz w:val="21"/>
          <w:szCs w:val="21"/>
        </w:rPr>
        <w:t xml:space="preserve">Find the schedule in tile or list view.</w:t>
      </w:r>
    </w:p>
    <w:p>
      <w:pPr>
        <w:pStyle w:val="ListParagraph"/>
        <w:numPr>
          <w:ilvl w:val="0"/>
          <w:numId w:val="2"/>
        </w:numPr>
        <w:spacing w:after="40"/>
        <w:ind w:left="892"/>
      </w:pPr>
      <w:r>
        <w:rPr>
          <w:sz w:val="21"/>
          <w:szCs w:val="21"/>
        </w:rPr>
        <w:t xml:space="preserve">Select View details to review client, email, status, total billed, total received, pending amount, and invoice history.</w:t>
      </w:r>
    </w:p>
    <w:p>
      <w:pPr>
        <w:pStyle w:val="ListParagraph"/>
        <w:numPr>
          <w:ilvl w:val="0"/>
          <w:numId w:val="2"/>
        </w:numPr>
        <w:spacing w:after="40"/>
        <w:ind w:left="892"/>
      </w:pPr>
      <w:r>
        <w:rPr>
          <w:sz w:val="21"/>
          <w:szCs w:val="21"/>
        </w:rPr>
        <w:t xml:space="preserve">Use Pause or Resume schedule when the cadence should stop or restart.</w:t>
      </w:r>
    </w:p>
    <w:p>
      <w:pPr>
        <w:pStyle w:val="ListParagraph"/>
        <w:numPr>
          <w:ilvl w:val="0"/>
          <w:numId w:val="2"/>
        </w:numPr>
        <w:spacing w:after="40"/>
        <w:ind w:left="892"/>
      </w:pPr>
      <w:r>
        <w:rPr>
          <w:sz w:val="21"/>
          <w:szCs w:val="21"/>
        </w:rPr>
        <w:t xml:space="preserve">Use Bill now when an immediate invoice is needed; this action is unavailable while the schedule is paused.</w:t>
      </w:r>
    </w:p>
    <w:p>
      <w:pPr>
        <w:pStyle w:val="ListParagraph"/>
        <w:numPr>
          <w:ilvl w:val="0"/>
          <w:numId w:val="2"/>
        </w:numPr>
        <w:spacing w:after="40"/>
        <w:ind w:left="892"/>
      </w:pPr>
      <w:r>
        <w:rPr>
          <w:sz w:val="21"/>
          <w:szCs w:val="21"/>
        </w:rPr>
        <w:t xml:space="preserve">Review any displayed future price change before the next invoice date.</w:t>
      </w:r>
    </w:p>
    <w:p>
      <w:pPr>
        <w:spacing w:after="40" w:before="70"/>
        <w:ind w:left="403"/>
      </w:pPr>
      <w:r>
        <w:rPr>
          <w:color w:val="8B8FA3"/>
          <w:sz w:val="17"/>
          <w:szCs w:val="17"/>
        </w:rPr>
        <w:t xml:space="preserve">Ref: pro-how-do-i-review-or-control-a-recurring-schedule-103</w:t>
      </w:r>
    </w:p>
    <w:p>
      <w:pPr>
        <w:keepNext/>
        <w:spacing w:after="90" w:before="220"/>
      </w:pPr>
      <w:r>
        <w:rPr>
          <w:b/>
          <w:bCs/>
          <w:color w:val="1A1C2E"/>
          <w:sz w:val="24"/>
          <w:szCs w:val="24"/>
        </w:rPr>
        <w:t xml:space="preserve">12.   What is the Services catalog?</w:t>
      </w:r>
    </w:p>
    <w:p>
      <w:pPr>
        <w:spacing w:after="90"/>
        <w:ind w:left="403"/>
      </w:pPr>
      <w:r>
        <w:rPr>
          <w:sz w:val="22"/>
          <w:szCs w:val="22"/>
        </w:rPr>
        <w:t xml:space="preserve">Services is the reusable catalog behind invoice line items and engagement packages. Search and filters narrow the list by name or description, kind, pricing, and active state. Each row shows the service kind, SOP, category, pricing model, default amount, and active status.</w:t>
      </w:r>
    </w:p>
    <w:p>
      <w:pPr>
        <w:spacing w:after="90"/>
        <w:ind w:left="403"/>
      </w:pPr>
      <w:r>
        <w:rPr>
          <w:b/>
          <w:bCs/>
          <w:color w:val="4735BE"/>
          <w:sz w:val="18"/>
          <w:szCs w:val="18"/>
        </w:rPr>
        <w:t xml:space="preserve">More   </w:t>
      </w:r>
      <w:r>
        <w:rPr>
          <w:sz w:val="22"/>
          <w:szCs w:val="22"/>
        </w:rPr>
        <w:t xml:space="preserve">Treat each item as a reusable billing definition: the name and description explain the work, Kind controls how it is used, Category groups it, Pricing model and default price establish the starting charge, discount and tax fields establish defaults, SOP documents delivery, and Active controls whether staff can select it in new work.</w:t>
      </w:r>
    </w:p>
    <w:p>
      <w:pPr>
        <w:spacing w:after="40" w:before="70"/>
        <w:ind w:left="403"/>
      </w:pPr>
      <w:r>
        <w:rPr>
          <w:color w:val="8B8FA3"/>
          <w:sz w:val="17"/>
          <w:szCs w:val="17"/>
        </w:rPr>
        <w:t xml:space="preserve">Ref: pro-what-is-the-services-catalog-104</w:t>
      </w:r>
    </w:p>
    <w:p>
      <w:pPr>
        <w:keepNext/>
        <w:spacing w:after="90" w:before="220"/>
      </w:pPr>
      <w:r>
        <w:rPr>
          <w:b/>
          <w:bCs/>
          <w:color w:val="1A1C2E"/>
          <w:sz w:val="24"/>
          <w:szCs w:val="24"/>
        </w:rPr>
        <w:t xml:space="preserve">13.   Which service kinds and pricing models are available?</w:t>
      </w:r>
    </w:p>
    <w:p>
      <w:pPr>
        <w:spacing w:after="90"/>
        <w:ind w:left="403"/>
      </w:pPr>
      <w:r>
        <w:rPr>
          <w:sz w:val="22"/>
          <w:szCs w:val="22"/>
        </w:rPr>
        <w:t xml:space="preserve">The New service form offers Bundle, Add-on, Hourly, Retainer, and Service as kinds. Pricing is configured separately as Fixed, Hourly, or Retainer. Bundles represent packaged items and display the number included; Add-on identifies an optional catalog item.</w:t>
      </w:r>
    </w:p>
    <w:p>
      <w:pPr>
        <w:spacing w:after="90"/>
        <w:ind w:left="403"/>
      </w:pPr>
      <w:r>
        <w:rPr>
          <w:b/>
          <w:bCs/>
          <w:color w:val="4735BE"/>
          <w:sz w:val="18"/>
          <w:szCs w:val="18"/>
        </w:rPr>
        <w:t xml:space="preserve">More   </w:t>
      </w:r>
      <w:r>
        <w:rPr>
          <w:sz w:val="22"/>
          <w:szCs w:val="22"/>
        </w:rPr>
        <w:t xml:space="preserve">Example: create a Fixed Service for an individual return, an Hourly item for advisory time, a Retainer for recurring access, an Add-on for audit protection, or a Bundle that groups included items. Kind describes the commercial role of the item; Fixed, Hourly, and Retainer pricing determine how the amount is calculated.</w:t>
      </w:r>
    </w:p>
    <w:p>
      <w:pPr>
        <w:spacing w:after="40" w:before="70"/>
        <w:ind w:left="403"/>
      </w:pPr>
      <w:r>
        <w:rPr>
          <w:color w:val="8B8FA3"/>
          <w:sz w:val="17"/>
          <w:szCs w:val="17"/>
        </w:rPr>
        <w:t xml:space="preserve">Ref: pro-which-service-kinds-and-pricing-models-are-available-105</w:t>
      </w:r>
    </w:p>
    <w:p>
      <w:pPr>
        <w:keepNext/>
        <w:spacing w:after="90" w:before="220"/>
      </w:pPr>
      <w:r>
        <w:rPr>
          <w:b/>
          <w:bCs/>
          <w:color w:val="1A1C2E"/>
          <w:sz w:val="24"/>
          <w:szCs w:val="24"/>
        </w:rPr>
        <w:t xml:space="preserve">14.   How do I create a service?</w:t>
      </w:r>
    </w:p>
    <w:p>
      <w:pPr>
        <w:spacing w:after="90"/>
        <w:ind w:left="403"/>
      </w:pPr>
      <w:r>
        <w:rPr>
          <w:sz w:val="22"/>
          <w:szCs w:val="22"/>
        </w:rPr>
        <w:t xml:space="preserve">A catalog item can carry the defaults that staff would otherwise re-enter during billing.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Services and select New service.</w:t>
      </w:r>
    </w:p>
    <w:p>
      <w:pPr>
        <w:pStyle w:val="ListParagraph"/>
        <w:numPr>
          <w:ilvl w:val="0"/>
          <w:numId w:val="2"/>
        </w:numPr>
        <w:spacing w:after="40"/>
        <w:ind w:left="892"/>
      </w:pPr>
      <w:r>
        <w:rPr>
          <w:sz w:val="21"/>
          <w:szCs w:val="21"/>
        </w:rPr>
        <w:t xml:space="preserve">Enter the service name and optional description.</w:t>
      </w:r>
    </w:p>
    <w:p>
      <w:pPr>
        <w:pStyle w:val="ListParagraph"/>
        <w:numPr>
          <w:ilvl w:val="0"/>
          <w:numId w:val="2"/>
        </w:numPr>
        <w:spacing w:after="40"/>
        <w:ind w:left="892"/>
      </w:pPr>
      <w:r>
        <w:rPr>
          <w:sz w:val="21"/>
          <w:szCs w:val="21"/>
        </w:rPr>
        <w:t xml:space="preserve">Choose Bundle, Add-on, Hourly, Retainer, or Service as the kind.</w:t>
      </w:r>
    </w:p>
    <w:p>
      <w:pPr>
        <w:pStyle w:val="ListParagraph"/>
        <w:numPr>
          <w:ilvl w:val="0"/>
          <w:numId w:val="2"/>
        </w:numPr>
        <w:spacing w:after="40"/>
        <w:ind w:left="892"/>
      </w:pPr>
      <w:r>
        <w:rPr>
          <w:sz w:val="21"/>
          <w:szCs w:val="21"/>
        </w:rPr>
        <w:t xml:space="preserve">Choose the category and Fixed, Hourly, or Retainer as the pricing model.</w:t>
      </w:r>
    </w:p>
    <w:p>
      <w:pPr>
        <w:pStyle w:val="ListParagraph"/>
        <w:numPr>
          <w:ilvl w:val="0"/>
          <w:numId w:val="2"/>
        </w:numPr>
        <w:spacing w:after="40"/>
        <w:ind w:left="892"/>
      </w:pPr>
      <w:r>
        <w:rPr>
          <w:sz w:val="21"/>
          <w:szCs w:val="21"/>
        </w:rPr>
        <w:t xml:space="preserve">Set the default price and optional default discount.</w:t>
      </w:r>
    </w:p>
    <w:p>
      <w:pPr>
        <w:pStyle w:val="ListParagraph"/>
        <w:numPr>
          <w:ilvl w:val="0"/>
          <w:numId w:val="2"/>
        </w:numPr>
        <w:spacing w:after="40"/>
        <w:ind w:left="892"/>
      </w:pPr>
      <w:r>
        <w:rPr>
          <w:sz w:val="21"/>
          <w:szCs w:val="21"/>
        </w:rPr>
        <w:t xml:space="preserve">Set the default tax rate and whether the item is taxable by default.</w:t>
      </w:r>
    </w:p>
    <w:p>
      <w:pPr>
        <w:pStyle w:val="ListParagraph"/>
        <w:numPr>
          <w:ilvl w:val="0"/>
          <w:numId w:val="2"/>
        </w:numPr>
        <w:spacing w:after="40"/>
        <w:ind w:left="892"/>
      </w:pPr>
      <w:r>
        <w:rPr>
          <w:sz w:val="21"/>
          <w:szCs w:val="21"/>
        </w:rPr>
        <w:t xml:space="preserve">Select Create service after all required fields are complete.</w:t>
      </w:r>
    </w:p>
    <w:p>
      <w:pPr>
        <w:spacing w:after="40" w:before="70"/>
        <w:ind w:left="403"/>
      </w:pPr>
      <w:r>
        <w:rPr>
          <w:color w:val="8B8FA3"/>
          <w:sz w:val="17"/>
          <w:szCs w:val="17"/>
        </w:rPr>
        <w:t xml:space="preserve">Ref: pro-how-do-i-create-a-service-106</w:t>
      </w:r>
    </w:p>
    <w:p>
      <w:pPr>
        <w:keepNext/>
        <w:spacing w:after="90" w:before="220"/>
      </w:pPr>
      <w:r>
        <w:rPr>
          <w:b/>
          <w:bCs/>
          <w:color w:val="1A1C2E"/>
          <w:sz w:val="24"/>
          <w:szCs w:val="24"/>
        </w:rPr>
        <w:t xml:space="preserve">15.   How do I find, deactivate, or archive a service?</w:t>
      </w:r>
    </w:p>
    <w:p>
      <w:pPr>
        <w:spacing w:after="90"/>
        <w:ind w:left="403"/>
      </w:pPr>
      <w:r>
        <w:rPr>
          <w:sz w:val="22"/>
          <w:szCs w:val="22"/>
        </w:rPr>
        <w:t xml:space="preserve">Search by name or description, or filter the catalog by kind and pricing. Use the Active switch on a row to make an item inactive, and enable Show inactive when it needs to be found again. Archive is available from the row action menu and is distinct from simply switching the item inactive.</w:t>
      </w:r>
    </w:p>
    <w:p>
      <w:pPr>
        <w:spacing w:after="90"/>
        <w:ind w:left="403"/>
      </w:pPr>
      <w:r>
        <w:rPr>
          <w:b/>
          <w:bCs/>
          <w:color w:val="4735BE"/>
          <w:sz w:val="18"/>
          <w:szCs w:val="18"/>
        </w:rPr>
        <w:t xml:space="preserve">More   </w:t>
      </w:r>
      <w:r>
        <w:rPr>
          <w:sz w:val="22"/>
          <w:szCs w:val="22"/>
        </w:rPr>
        <w:t xml:space="preserve">Use inactive when the firm may need to reactivate or reference the item later, and Archive when the catalog item should be removed from normal maintenance. Before either action, check whether the service is used by templates, agreements, recurring schedules, or draft invoices so new work is not left with an unavailable dependency.</w:t>
      </w:r>
    </w:p>
    <w:p>
      <w:pPr>
        <w:spacing w:after="40" w:before="70"/>
        <w:ind w:left="403"/>
      </w:pPr>
      <w:r>
        <w:rPr>
          <w:color w:val="8B8FA3"/>
          <w:sz w:val="17"/>
          <w:szCs w:val="17"/>
        </w:rPr>
        <w:t xml:space="preserve">Ref: pro-how-do-i-find-deactivate-or-archive-a-service-107</w:t>
      </w:r>
    </w:p>
    <w:p>
      <w:pPr>
        <w:keepNext/>
        <w:spacing w:after="90" w:before="220"/>
      </w:pPr>
      <w:r>
        <w:rPr>
          <w:b/>
          <w:bCs/>
          <w:color w:val="1A1C2E"/>
          <w:sz w:val="24"/>
          <w:szCs w:val="24"/>
        </w:rPr>
        <w:t xml:space="preserve">16.   How is a standard operating procedure attached to a service?</w:t>
      </w:r>
    </w:p>
    <w:p>
      <w:pPr>
        <w:spacing w:after="90"/>
        <w:ind w:left="403"/>
      </w:pPr>
      <w:r>
        <w:rPr>
          <w:sz w:val="22"/>
          <w:szCs w:val="22"/>
        </w:rPr>
        <w:t xml:space="preserve">Select the plus control in the service's SOP column or choose SOPs from its action menu. The Standard Operating Procedures dialog is labeled for the selected service and is where the firm records how that service is performed.</w:t>
      </w:r>
    </w:p>
    <w:p>
      <w:pPr>
        <w:spacing w:after="90"/>
        <w:ind w:left="403"/>
      </w:pPr>
      <w:r>
        <w:rPr>
          <w:b/>
          <w:bCs/>
          <w:color w:val="4735BE"/>
          <w:sz w:val="18"/>
          <w:szCs w:val="18"/>
        </w:rPr>
        <w:t xml:space="preserve">More   </w:t>
      </w:r>
      <w:r>
        <w:rPr>
          <w:sz w:val="22"/>
          <w:szCs w:val="22"/>
        </w:rPr>
        <w:t xml:space="preserve">For example, the SOP for Monthly Bookkeeping can describe statement collection, reconciliation, review, delivery, and client follow-up. Open the service's SOP dialog from the plus or Actions menu, add or maintain the procedure, and make sure the active instructions match the service description being sold.</w:t>
      </w:r>
    </w:p>
    <w:p>
      <w:pPr>
        <w:spacing w:after="40" w:before="70"/>
        <w:ind w:left="403"/>
      </w:pPr>
      <w:r>
        <w:rPr>
          <w:color w:val="8B8FA3"/>
          <w:sz w:val="17"/>
          <w:szCs w:val="17"/>
        </w:rPr>
        <w:t xml:space="preserve">Ref: pro-how-is-a-standard-operating-procedure-attached-to-a-service-108</w:t>
      </w:r>
    </w:p>
    <w:p>
      <w:pPr>
        <w:keepNext/>
        <w:spacing w:after="90" w:before="220"/>
      </w:pPr>
      <w:r>
        <w:rPr>
          <w:b/>
          <w:bCs/>
          <w:color w:val="1A1C2E"/>
          <w:sz w:val="24"/>
          <w:szCs w:val="24"/>
        </w:rPr>
        <w:t xml:space="preserve">17.   How are time entries turned into invoices?</w:t>
      </w:r>
    </w:p>
    <w:p>
      <w:pPr>
        <w:spacing w:after="90"/>
        <w:ind w:left="403"/>
      </w:pPr>
      <w:r>
        <w:rPr>
          <w:sz w:val="22"/>
          <w:szCs w:val="22"/>
        </w:rPr>
        <w:t xml:space="preserve">Uninvoiced time entries can be selected in Time Sheet and passed to Generate invoice. The invoice editor also includes Import unbilled time so billable work can be added while drafting an invoice.</w:t>
      </w:r>
    </w:p>
    <w:p>
      <w:pPr>
        <w:spacing w:after="90"/>
        <w:ind w:left="403"/>
      </w:pPr>
      <w:r>
        <w:rPr>
          <w:b/>
          <w:bCs/>
          <w:color w:val="4735BE"/>
          <w:sz w:val="18"/>
          <w:szCs w:val="18"/>
        </w:rPr>
        <w:t xml:space="preserve">More   </w:t>
      </w:r>
      <w:r>
        <w:rPr>
          <w:sz w:val="22"/>
          <w:szCs w:val="22"/>
        </w:rPr>
        <w:t xml:space="preserve">From Time Sheet, filter to the correct client or engagement, select billable entries that are not already invoiced, and choose Generate invoice. Alternatively, start an invoice and use Import unbilled time; review every imported description, quantity, rate, amount, date, and client association before sending.</w:t>
      </w:r>
    </w:p>
    <w:p>
      <w:pPr>
        <w:spacing w:after="40" w:before="70"/>
        <w:ind w:left="403"/>
      </w:pPr>
      <w:r>
        <w:rPr>
          <w:color w:val="8B8FA3"/>
          <w:sz w:val="17"/>
          <w:szCs w:val="17"/>
        </w:rPr>
        <w:t xml:space="preserve">Ref: pro-how-are-time-entries-turned-into-invoices-109</w:t>
      </w:r>
    </w:p>
    <w:p>
      <w:pPr>
        <w:keepNext/>
        <w:spacing w:after="90" w:before="220"/>
      </w:pPr>
      <w:r>
        <w:rPr>
          <w:b/>
          <w:bCs/>
          <w:color w:val="1A1C2E"/>
          <w:sz w:val="24"/>
          <w:szCs w:val="24"/>
        </w:rPr>
        <w:t xml:space="preserve">18.   What is the difference between Billing &amp; Payments and Platform Subscription?</w:t>
      </w:r>
    </w:p>
    <w:p>
      <w:pPr>
        <w:spacing w:after="90"/>
        <w:ind w:left="403"/>
      </w:pPr>
      <w:r>
        <w:rPr>
          <w:sz w:val="22"/>
          <w:szCs w:val="22"/>
        </w:rPr>
        <w:t xml:space="preserve">Billing &amp; Payments identifies the firm's Stripe payout account and directs administrators to Integrations to manage that connection. Its additional invoicing defaults, accepted payment methods, and late-fee settings are marked In development in staging. Platform Subscription contains charges from AssureOne Technologies LLC to the firm and keeps the related purchase invoices and receipts.</w:t>
      </w:r>
    </w:p>
    <w:p>
      <w:pPr>
        <w:spacing w:after="90"/>
        <w:ind w:left="403"/>
      </w:pPr>
      <w:r>
        <w:rPr>
          <w:b/>
          <w:bCs/>
          <w:color w:val="4735BE"/>
          <w:sz w:val="18"/>
          <w:szCs w:val="18"/>
        </w:rPr>
        <w:t xml:space="preserve">More   </w:t>
      </w:r>
      <w:r>
        <w:rPr>
          <w:sz w:val="22"/>
          <w:szCs w:val="22"/>
        </w:rPr>
        <w:t xml:space="preserve">Example: a client payment processor connection and payout issue belongs under Billing &amp; Payments and Integrations; a receipt for AI Credits purchased by the firm belongs under Platform Subscription. Keep the two separate during reconciliation because one records client receivables and the other records the firm's purchases from AssureOne.</w:t>
      </w:r>
    </w:p>
    <w:p>
      <w:pPr>
        <w:spacing w:after="40" w:before="70"/>
        <w:ind w:left="403"/>
      </w:pPr>
      <w:r>
        <w:rPr>
          <w:color w:val="8B8FA3"/>
          <w:sz w:val="17"/>
          <w:szCs w:val="17"/>
        </w:rPr>
        <w:t xml:space="preserve">Also in Settings   ·   Ref: pro-what-is-the-difference-between-billing-payments-and-platform-subscript-110</w:t>
      </w:r>
    </w:p>
    <w:p>
      <w:pPr>
        <w:keepNext/>
        <w:spacing w:after="90" w:before="220"/>
      </w:pPr>
      <w:r>
        <w:rPr>
          <w:b/>
          <w:bCs/>
          <w:color w:val="1A1C2E"/>
          <w:sz w:val="24"/>
          <w:szCs w:val="24"/>
        </w:rPr>
        <w:t xml:space="preserve">19.   How do I review AssureOne platform purchases and receipts?</w:t>
      </w:r>
    </w:p>
    <w:p>
      <w:pPr>
        <w:spacing w:after="90"/>
        <w:ind w:left="403"/>
      </w:pPr>
      <w:r>
        <w:rPr>
          <w:sz w:val="22"/>
          <w:szCs w:val="22"/>
        </w:rPr>
        <w:t xml:space="preserve">Platform Subscription is separate from client billing. It summarizes firm purchases from AssureOne Technologies LLC and lists the purchase, date, status, amount, and payment-card summary for each invoice.</w:t>
      </w:r>
    </w:p>
    <w:p>
      <w:pPr>
        <w:spacing w:after="90"/>
        <w:ind w:left="403"/>
      </w:pPr>
      <w:r>
        <w:rPr>
          <w:b/>
          <w:bCs/>
          <w:color w:val="4735BE"/>
          <w:sz w:val="18"/>
          <w:szCs w:val="18"/>
        </w:rPr>
        <w:t xml:space="preserve">More   </w:t>
      </w:r>
      <w:r>
        <w:rPr>
          <w:sz w:val="22"/>
          <w:szCs w:val="22"/>
        </w:rPr>
        <w:t xml:space="preserve">Use the status and date filters to find the relevant purchase, then Preview before downloading so the amount, payment method, and purchasing entity are correct. Store the downloaded invoice or receipt according to the firm's accounts-payable process rather than with a client's billing documents.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Platform Subscription.</w:t>
      </w:r>
    </w:p>
    <w:p>
      <w:pPr>
        <w:pStyle w:val="ListParagraph"/>
        <w:numPr>
          <w:ilvl w:val="0"/>
          <w:numId w:val="2"/>
        </w:numPr>
        <w:spacing w:after="40"/>
        <w:ind w:left="892"/>
      </w:pPr>
      <w:r>
        <w:rPr>
          <w:sz w:val="21"/>
          <w:szCs w:val="21"/>
        </w:rPr>
        <w:t xml:space="preserve">Filter invoices by status or date when needed.</w:t>
      </w:r>
    </w:p>
    <w:p>
      <w:pPr>
        <w:pStyle w:val="ListParagraph"/>
        <w:numPr>
          <w:ilvl w:val="0"/>
          <w:numId w:val="2"/>
        </w:numPr>
        <w:spacing w:after="40"/>
        <w:ind w:left="892"/>
      </w:pPr>
      <w:r>
        <w:rPr>
          <w:sz w:val="21"/>
          <w:szCs w:val="21"/>
        </w:rPr>
        <w:t xml:space="preserve">Select Preview for an on-screen invoice review.</w:t>
      </w:r>
    </w:p>
    <w:p>
      <w:pPr>
        <w:pStyle w:val="ListParagraph"/>
        <w:numPr>
          <w:ilvl w:val="0"/>
          <w:numId w:val="2"/>
        </w:numPr>
        <w:spacing w:after="40"/>
        <w:ind w:left="892"/>
      </w:pPr>
      <w:r>
        <w:rPr>
          <w:sz w:val="21"/>
          <w:szCs w:val="21"/>
        </w:rPr>
        <w:t xml:space="preserve">Select Download to save the invoice or receipt for the firm's records.</w:t>
      </w:r>
    </w:p>
    <w:p>
      <w:pPr>
        <w:spacing w:after="40" w:before="70"/>
        <w:ind w:left="403"/>
      </w:pPr>
      <w:r>
        <w:rPr>
          <w:color w:val="8B8FA3"/>
          <w:sz w:val="17"/>
          <w:szCs w:val="17"/>
        </w:rPr>
        <w:t xml:space="preserve">Also in Settings   ·   Ref: pro-how-do-i-review-assureone-platform-purchases-and-receipts-111</w:t>
      </w:r>
    </w:p>
    <w:p>
      <w:pPr>
        <w:keepNext/>
        <w:spacing w:after="90" w:before="220"/>
      </w:pPr>
      <w:r>
        <w:rPr>
          <w:b/>
          <w:bCs/>
          <w:color w:val="1A1C2E"/>
          <w:sz w:val="24"/>
          <w:szCs w:val="24"/>
        </w:rPr>
        <w:t xml:space="preserve">20.   What payment and accounting connections are available?</w:t>
      </w:r>
    </w:p>
    <w:p>
      <w:pPr>
        <w:spacing w:after="90"/>
        <w:ind w:left="403"/>
      </w:pPr>
      <w:r>
        <w:rPr>
          <w:sz w:val="22"/>
          <w:szCs w:val="22"/>
        </w:rPr>
        <w:t xml:space="preserve">The Integrations screen provides a payment-processor connection for client payments and a QuickBooks Online connection so paid AssurePro invoices can sync into accounting. Billing &amp; Payments points administrators to Integrations for payout-account management.</w:t>
      </w:r>
    </w:p>
    <w:p>
      <w:pPr>
        <w:spacing w:after="90"/>
        <w:ind w:left="403"/>
      </w:pPr>
      <w:r>
        <w:rPr>
          <w:b/>
          <w:bCs/>
          <w:color w:val="4735BE"/>
          <w:sz w:val="18"/>
          <w:szCs w:val="18"/>
        </w:rPr>
        <w:t xml:space="preserve">More   </w:t>
      </w:r>
      <w:r>
        <w:rPr>
          <w:sz w:val="22"/>
          <w:szCs w:val="22"/>
        </w:rPr>
        <w:t xml:space="preserve">The payment connection receives client payments and supports payout management; QuickBooks Online receives paid-invoice information for accounting. Test each connection with a controlled transaction or record, then verify both the AssurePro invoice and the external system before relying on the integration for month-end reconciliation.</w:t>
      </w:r>
    </w:p>
    <w:p>
      <w:pPr>
        <w:spacing w:after="40" w:before="70"/>
        <w:ind w:left="403"/>
      </w:pPr>
      <w:r>
        <w:rPr>
          <w:color w:val="8B8FA3"/>
          <w:sz w:val="17"/>
          <w:szCs w:val="17"/>
        </w:rPr>
        <w:t xml:space="preserve">Ref: pro-what-payment-and-accounting-connections-are-available-112</w:t>
      </w:r>
    </w:p>
    <w:p>
      <w:pPr>
        <w:keepNext/>
        <w:spacing w:after="90" w:before="220"/>
      </w:pPr>
      <w:r>
        <w:rPr>
          <w:b/>
          <w:bCs/>
          <w:color w:val="1A1C2E"/>
          <w:sz w:val="24"/>
          <w:szCs w:val="24"/>
        </w:rPr>
        <w:t xml:space="preserve">21.   Does AssurePro include referral tracking?</w:t>
      </w:r>
    </w:p>
    <w:p>
      <w:pPr>
        <w:spacing w:after="90"/>
        <w:ind w:left="403"/>
      </w:pPr>
      <w:r>
        <w:rPr>
          <w:sz w:val="22"/>
          <w:szCs w:val="22"/>
        </w:rPr>
        <w:t xml:space="preserve">Yes. Billing includes a Referrals tab for MyCPEOne referrals. It supports bulk import and individual referral, and tracks referred clients, active or paying referrals, monthly commission, lifetime earnings, engagement, status, total paid, commission rate, accrued commission, and pending payout.</w:t>
      </w:r>
    </w:p>
    <w:p>
      <w:pPr>
        <w:spacing w:after="90"/>
        <w:ind w:left="403"/>
      </w:pPr>
      <w:r>
        <w:rPr>
          <w:b/>
          <w:bCs/>
          <w:color w:val="4735BE"/>
          <w:sz w:val="18"/>
          <w:szCs w:val="18"/>
        </w:rPr>
        <w:t xml:space="preserve">More   </w:t>
      </w:r>
      <w:r>
        <w:rPr>
          <w:sz w:val="22"/>
          <w:szCs w:val="22"/>
        </w:rPr>
        <w:t xml:space="preserve">For example, refer a client to MyCPEOne, associate the relevant engagement, and monitor whether the referral becomes active or paying. The dashboard then separates monthly commission, lifetime earned, accrued commission, and pending payout so the firm can distinguish performance from cash already received.</w:t>
      </w:r>
    </w:p>
    <w:p>
      <w:pPr>
        <w:spacing w:after="40" w:before="70"/>
        <w:ind w:left="403"/>
      </w:pPr>
      <w:r>
        <w:rPr>
          <w:color w:val="8B8FA3"/>
          <w:sz w:val="17"/>
          <w:szCs w:val="17"/>
        </w:rPr>
        <w:t xml:space="preserve">Ref: pro-does-assurepro-include-referral-tracking-113</w:t>
      </w:r>
    </w:p>
    <w:p>
      <w:pPr>
        <w:keepNext/>
        <w:spacing w:after="90" w:before="220"/>
      </w:pPr>
      <w:r>
        <w:rPr>
          <w:b/>
          <w:bCs/>
          <w:color w:val="1A1C2E"/>
          <w:sz w:val="24"/>
          <w:szCs w:val="24"/>
        </w:rPr>
        <w:t xml:space="preserve">22.   How do I refer a client to MyCPEOne?</w:t>
      </w:r>
    </w:p>
    <w:p>
      <w:pPr>
        <w:spacing w:after="90"/>
        <w:ind w:left="403"/>
      </w:pPr>
      <w:r>
        <w:rPr>
          <w:sz w:val="22"/>
          <w:szCs w:val="22"/>
        </w:rPr>
        <w:t xml:space="preserve">A referral can use an existing AssurePro client or create a new referral contact.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choose Referrals.</w:t>
      </w:r>
    </w:p>
    <w:p>
      <w:pPr>
        <w:pStyle w:val="ListParagraph"/>
        <w:numPr>
          <w:ilvl w:val="0"/>
          <w:numId w:val="2"/>
        </w:numPr>
        <w:spacing w:after="40"/>
        <w:ind w:left="892"/>
      </w:pPr>
      <w:r>
        <w:rPr>
          <w:sz w:val="21"/>
          <w:szCs w:val="21"/>
        </w:rPr>
        <w:t xml:space="preserve">Select Refer a client.</w:t>
      </w:r>
    </w:p>
    <w:p>
      <w:pPr>
        <w:pStyle w:val="ListParagraph"/>
        <w:numPr>
          <w:ilvl w:val="0"/>
          <w:numId w:val="2"/>
        </w:numPr>
        <w:spacing w:after="40"/>
        <w:ind w:left="892"/>
      </w:pPr>
      <w:r>
        <w:rPr>
          <w:sz w:val="21"/>
          <w:szCs w:val="21"/>
        </w:rPr>
        <w:t xml:space="preserve">Choose New client or From my clients.</w:t>
      </w:r>
    </w:p>
    <w:p>
      <w:pPr>
        <w:pStyle w:val="ListParagraph"/>
        <w:numPr>
          <w:ilvl w:val="0"/>
          <w:numId w:val="2"/>
        </w:numPr>
        <w:spacing w:after="40"/>
        <w:ind w:left="892"/>
      </w:pPr>
      <w:r>
        <w:rPr>
          <w:sz w:val="21"/>
          <w:szCs w:val="21"/>
        </w:rPr>
        <w:t xml:space="preserve">Enter the required client name, entity type, contact email, and service line.</w:t>
      </w:r>
    </w:p>
    <w:p>
      <w:pPr>
        <w:pStyle w:val="ListParagraph"/>
        <w:numPr>
          <w:ilvl w:val="0"/>
          <w:numId w:val="2"/>
        </w:numPr>
        <w:spacing w:after="40"/>
        <w:ind w:left="892"/>
      </w:pPr>
      <w:r>
        <w:rPr>
          <w:sz w:val="21"/>
          <w:szCs w:val="21"/>
        </w:rPr>
        <w:t xml:space="preserve">Add contact name, phone, address, ZIP code, requested services, or notes when useful.</w:t>
      </w:r>
    </w:p>
    <w:p>
      <w:pPr>
        <w:pStyle w:val="ListParagraph"/>
        <w:numPr>
          <w:ilvl w:val="0"/>
          <w:numId w:val="2"/>
        </w:numPr>
        <w:spacing w:after="40"/>
        <w:ind w:left="892"/>
      </w:pPr>
      <w:r>
        <w:rPr>
          <w:sz w:val="21"/>
          <w:szCs w:val="21"/>
        </w:rPr>
        <w:t xml:space="preserve">Review the details and submit the referral. MyCPEOne then sends the portal invitation, and the referral remains visible for commission tracking.</w:t>
      </w:r>
    </w:p>
    <w:p>
      <w:pPr>
        <w:spacing w:after="40" w:before="70"/>
        <w:ind w:left="403"/>
      </w:pPr>
      <w:r>
        <w:rPr>
          <w:color w:val="8B8FA3"/>
          <w:sz w:val="17"/>
          <w:szCs w:val="17"/>
        </w:rPr>
        <w:t xml:space="preserve">Ref: pro-how-do-i-refer-a-client-to-mycpeone-114</w:t>
      </w:r>
    </w:p>
    <w:p>
      <w:r>
        <w:br w:type="page"/>
      </w:r>
    </w:p>
    <w:p>
      <w:pPr>
        <w:pStyle w:val="Heading1"/>
        <w:spacing w:after="40" w:before="60"/>
      </w:pPr>
      <w:r>
        <w:rPr>
          <w:b/>
          <w:bCs/>
          <w:color w:val="1A1C2E"/>
          <w:sz w:val="32"/>
          <w:szCs w:val="32"/>
        </w:rPr>
        <w:t xml:space="preserve">Communications</w:t>
      </w:r>
    </w:p>
    <w:p>
      <w:pPr>
        <w:pBdr>
          <w:bottom w:val="single" w:color="E4E2F0" w:sz="4"/>
        </w:pBdr>
        <w:spacing w:after="200"/>
      </w:pPr>
      <w:r>
        <w:rPr>
          <w:color w:val="8B8FA3"/>
          <w:sz w:val="20"/>
          <w:szCs w:val="20"/>
        </w:rPr>
        <w:t xml:space="preserve">16 questions</w:t>
      </w:r>
    </w:p>
    <w:p>
      <w:pPr>
        <w:keepNext/>
        <w:spacing w:after="90" w:before="220"/>
      </w:pPr>
      <w:r>
        <w:rPr>
          <w:b/>
          <w:bCs/>
          <w:color w:val="1A1C2E"/>
          <w:sz w:val="24"/>
          <w:szCs w:val="24"/>
        </w:rPr>
        <w:t xml:space="preserve">1.   Which communication channels are available?</w:t>
      </w:r>
    </w:p>
    <w:p>
      <w:pPr>
        <w:spacing w:after="60"/>
        <w:ind w:left="403"/>
      </w:pPr>
      <w:r>
        <w:rPr>
          <w:sz w:val="22"/>
          <w:szCs w:val="22"/>
        </w:rPr>
        <w:t xml:space="preserve">Communications brings together Chat, Email, SMS, Call, and Team chat. Chat keeps the conversation in the client experience; Email uses the firm's connected email service; SMS uses the firm's connected Twilio number; Call records the call workflow available to the firm; and Team chat supports internal discussion. Use the shared Communications area for a cross-client inbox or open a client's Communications tab when the conversation should begin with that client already selected.</w:t>
      </w:r>
    </w:p>
    <w:p>
      <w:pPr>
        <w:spacing w:after="40" w:before="70"/>
        <w:ind w:left="403"/>
      </w:pPr>
      <w:r>
        <w:rPr>
          <w:color w:val="8B8FA3"/>
          <w:sz w:val="17"/>
          <w:szCs w:val="17"/>
        </w:rPr>
        <w:t xml:space="preserve">Ref: pro-which-communication-channels-are-available-115</w:t>
      </w:r>
    </w:p>
    <w:p>
      <w:pPr>
        <w:keepNext/>
        <w:spacing w:after="90" w:before="220"/>
      </w:pPr>
      <w:r>
        <w:rPr>
          <w:b/>
          <w:bCs/>
          <w:color w:val="1A1C2E"/>
          <w:sz w:val="24"/>
          <w:szCs w:val="24"/>
        </w:rPr>
        <w:t xml:space="preserve">2.   How do I start a client conversation?</w:t>
      </w:r>
    </w:p>
    <w:p>
      <w:pPr>
        <w:spacing w:after="90"/>
        <w:ind w:left="403"/>
      </w:pPr>
      <w:r>
        <w:rPr>
          <w:sz w:val="22"/>
          <w:szCs w:val="22"/>
        </w:rPr>
        <w:t xml:space="preserve">A conversation can begin in the shared Communications area or in the selected client's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Communications and choose the required channel, or open the client's Communications tab.</w:t>
      </w:r>
    </w:p>
    <w:p>
      <w:pPr>
        <w:pStyle w:val="ListParagraph"/>
        <w:numPr>
          <w:ilvl w:val="0"/>
          <w:numId w:val="2"/>
        </w:numPr>
        <w:spacing w:after="40"/>
        <w:ind w:left="892"/>
      </w:pPr>
      <w:r>
        <w:rPr>
          <w:sz w:val="21"/>
          <w:szCs w:val="21"/>
        </w:rPr>
        <w:t xml:space="preserve">Select New Conversation.</w:t>
      </w:r>
    </w:p>
    <w:p>
      <w:pPr>
        <w:pStyle w:val="ListParagraph"/>
        <w:numPr>
          <w:ilvl w:val="0"/>
          <w:numId w:val="2"/>
        </w:numPr>
        <w:spacing w:after="40"/>
        <w:ind w:left="892"/>
      </w:pPr>
      <w:r>
        <w:rPr>
          <w:sz w:val="21"/>
          <w:szCs w:val="21"/>
        </w:rPr>
        <w:t xml:space="preserve">Choose the client and channel.</w:t>
      </w:r>
    </w:p>
    <w:p>
      <w:pPr>
        <w:pStyle w:val="ListParagraph"/>
        <w:numPr>
          <w:ilvl w:val="0"/>
          <w:numId w:val="2"/>
        </w:numPr>
        <w:spacing w:after="40"/>
        <w:ind w:left="892"/>
      </w:pPr>
      <w:r>
        <w:rPr>
          <w:sz w:val="21"/>
          <w:szCs w:val="21"/>
        </w:rPr>
        <w:t xml:space="preserve">Add the recipients, subject, message, or other details required by that channel.</w:t>
      </w:r>
    </w:p>
    <w:p>
      <w:pPr>
        <w:pStyle w:val="ListParagraph"/>
        <w:numPr>
          <w:ilvl w:val="0"/>
          <w:numId w:val="2"/>
        </w:numPr>
        <w:spacing w:after="40"/>
        <w:ind w:left="892"/>
      </w:pPr>
      <w:r>
        <w:rPr>
          <w:sz w:val="21"/>
          <w:szCs w:val="21"/>
        </w:rPr>
        <w:t xml:space="preserve">Review and send the conversation.</w:t>
      </w:r>
    </w:p>
    <w:p>
      <w:pPr>
        <w:pStyle w:val="ListParagraph"/>
        <w:numPr>
          <w:ilvl w:val="0"/>
          <w:numId w:val="2"/>
        </w:numPr>
        <w:spacing w:after="40"/>
        <w:ind w:left="892"/>
      </w:pPr>
      <w:r>
        <w:rPr>
          <w:sz w:val="21"/>
          <w:szCs w:val="21"/>
        </w:rPr>
        <w:t xml:space="preserve">Use the shared inbox to monitor its response and handling status.</w:t>
      </w:r>
    </w:p>
    <w:p>
      <w:pPr>
        <w:spacing w:after="40" w:before="70"/>
        <w:ind w:left="403"/>
      </w:pPr>
      <w:r>
        <w:rPr>
          <w:color w:val="8B8FA3"/>
          <w:sz w:val="17"/>
          <w:szCs w:val="17"/>
        </w:rPr>
        <w:t xml:space="preserve">Ref: pro-how-do-i-start-a-client-conversation-116</w:t>
      </w:r>
    </w:p>
    <w:p>
      <w:pPr>
        <w:keepNext/>
        <w:spacing w:after="90" w:before="220"/>
      </w:pPr>
      <w:r>
        <w:rPr>
          <w:b/>
          <w:bCs/>
          <w:color w:val="1A1C2E"/>
          <w:sz w:val="24"/>
          <w:szCs w:val="24"/>
        </w:rPr>
        <w:t xml:space="preserve">3.   What is the difference between portal chat and SMS?</w:t>
      </w:r>
    </w:p>
    <w:p>
      <w:pPr>
        <w:spacing w:after="90"/>
        <w:ind w:left="403"/>
      </w:pPr>
      <w:r>
        <w:rPr>
          <w:sz w:val="22"/>
          <w:szCs w:val="22"/>
        </w:rPr>
        <w:t xml:space="preserve">Chat is a conversation inside the AssurePro client experience, so the client reads and replies through their portal access. SMS uses the firm's connected Twilio phone number and reaches the client's mobile number. Both channels remain visible to authorized firm staff in Communications and in the client's workspace.</w:t>
      </w:r>
    </w:p>
    <w:p>
      <w:pPr>
        <w:spacing w:after="90"/>
        <w:ind w:left="403"/>
      </w:pPr>
      <w:r>
        <w:rPr>
          <w:b/>
          <w:bCs/>
          <w:color w:val="4735BE"/>
          <w:sz w:val="18"/>
          <w:szCs w:val="18"/>
        </w:rPr>
        <w:t xml:space="preserve">More   </w:t>
      </w:r>
      <w:r>
        <w:rPr>
          <w:sz w:val="22"/>
          <w:szCs w:val="22"/>
        </w:rPr>
        <w:t xml:space="preserve">Use portal chat for secure ongoing conversation with a client who has activated portal access; use SMS for short, time-sensitive outreach to the client's mobile number. SMS requires Twilio, an enabled firm number, and applicable A2P registration, while portal chat depends on the client's AssurePro access rather than a carrier network.</w:t>
      </w:r>
    </w:p>
    <w:p>
      <w:pPr>
        <w:spacing w:after="40" w:before="70"/>
        <w:ind w:left="403"/>
      </w:pPr>
      <w:r>
        <w:rPr>
          <w:color w:val="8B8FA3"/>
          <w:sz w:val="17"/>
          <w:szCs w:val="17"/>
        </w:rPr>
        <w:t xml:space="preserve">Ref: pro-what-is-the-difference-between-portal-chat-and-sms-117</w:t>
      </w:r>
    </w:p>
    <w:p>
      <w:pPr>
        <w:keepNext/>
        <w:spacing w:after="90" w:before="220"/>
      </w:pPr>
      <w:r>
        <w:rPr>
          <w:b/>
          <w:bCs/>
          <w:color w:val="1A1C2E"/>
          <w:sz w:val="24"/>
          <w:szCs w:val="24"/>
        </w:rPr>
        <w:t xml:space="preserve">4.   How can the communications inbox be organized?</w:t>
      </w:r>
    </w:p>
    <w:p>
      <w:pPr>
        <w:spacing w:after="90"/>
        <w:ind w:left="403"/>
      </w:pPr>
      <w:r>
        <w:rPr>
          <w:sz w:val="22"/>
          <w:szCs w:val="22"/>
        </w:rPr>
        <w:t xml:space="preserve">First choose the required channel, then narrow the inbox to All, Unread, Assigned to me, or Resolved. Use Unread for new activity, Assigned to me for the signed-in user's queue, and Resolved to review completed threads. Conversation labels such as Awaiting Reply, Needs Action, and FYI communicate the expected next step so staff can separate client follow-up from informational messages.</w:t>
      </w:r>
    </w:p>
    <w:p>
      <w:pPr>
        <w:spacing w:after="90"/>
        <w:ind w:left="403"/>
      </w:pPr>
      <w:r>
        <w:rPr>
          <w:b/>
          <w:bCs/>
          <w:color w:val="4735BE"/>
          <w:sz w:val="18"/>
          <w:szCs w:val="18"/>
        </w:rPr>
        <w:t xml:space="preserve">More   </w:t>
      </w:r>
      <w:r>
        <w:rPr>
          <w:sz w:val="22"/>
          <w:szCs w:val="22"/>
        </w:rPr>
        <w:t xml:space="preserve">A useful routine is to start with Assigned to me, handle Needs Action, send any required reply, and resolve the thread when no further work remains. Use Awaiting Reply for conversations where the next move belongs to the client and FYI for messages that should be read but do not require a response.</w:t>
      </w:r>
    </w:p>
    <w:p>
      <w:pPr>
        <w:spacing w:after="40" w:before="70"/>
        <w:ind w:left="403"/>
      </w:pPr>
      <w:r>
        <w:rPr>
          <w:color w:val="8B8FA3"/>
          <w:sz w:val="17"/>
          <w:szCs w:val="17"/>
        </w:rPr>
        <w:t xml:space="preserve">Ref: pro-how-can-the-communications-inbox-be-organized-118</w:t>
      </w:r>
    </w:p>
    <w:p>
      <w:pPr>
        <w:keepNext/>
        <w:spacing w:after="90" w:before="220"/>
      </w:pPr>
      <w:r>
        <w:rPr>
          <w:b/>
          <w:bCs/>
          <w:color w:val="1A1C2E"/>
          <w:sz w:val="24"/>
          <w:szCs w:val="24"/>
        </w:rPr>
        <w:t xml:space="preserve">5.   Can client-facing emails be standardized?</w:t>
      </w:r>
    </w:p>
    <w:p>
      <w:pPr>
        <w:spacing w:after="90"/>
        <w:ind w:left="403"/>
      </w:pPr>
      <w:r>
        <w:rPr>
          <w:sz w:val="22"/>
          <w:szCs w:val="22"/>
        </w:rPr>
        <w:t xml:space="preserve">Email Templates centralizes the automated messages AssurePro sends on the firm's behalf. Verified groups cover Billing, Tax &amp; intake, Documents, E-sign, Client portal, and Internal alerts. Each template indicates its trigger and can expose editable subject, heading, introduction, body, button label, and footer content as applicable.</w:t>
      </w:r>
    </w:p>
    <w:p>
      <w:pPr>
        <w:spacing w:after="90"/>
        <w:ind w:left="403"/>
      </w:pPr>
      <w:r>
        <w:rPr>
          <w:b/>
          <w:bCs/>
          <w:color w:val="4735BE"/>
          <w:sz w:val="18"/>
          <w:szCs w:val="18"/>
        </w:rPr>
        <w:t xml:space="preserve">More   </w:t>
      </w:r>
      <w:r>
        <w:rPr>
          <w:sz w:val="22"/>
          <w:szCs w:val="22"/>
        </w:rPr>
        <w:t xml:space="preserve">For example, a billing template can explain that an invoice is ready, a document template can request an upload, and an e-sign template can prompt review. Each automated template shows its trigger; administrators can edit the available subject, heading, body, call-to-action label, and footer without changing unrelated template groups.</w:t>
      </w:r>
    </w:p>
    <w:p>
      <w:pPr>
        <w:spacing w:after="40" w:before="70"/>
        <w:ind w:left="403"/>
      </w:pPr>
      <w:r>
        <w:rPr>
          <w:color w:val="8B8FA3"/>
          <w:sz w:val="17"/>
          <w:szCs w:val="17"/>
        </w:rPr>
        <w:t xml:space="preserve">Also in Settings   ·   Ref: pro-can-client-facing-emails-be-standardized-119</w:t>
      </w:r>
    </w:p>
    <w:p>
      <w:pPr>
        <w:keepNext/>
        <w:spacing w:after="90" w:before="220"/>
      </w:pPr>
      <w:r>
        <w:rPr>
          <w:b/>
          <w:bCs/>
          <w:color w:val="1A1C2E"/>
          <w:sz w:val="24"/>
          <w:szCs w:val="24"/>
        </w:rPr>
        <w:t xml:space="preserve">6.   How do I edit and test an automated email template?</w:t>
      </w:r>
    </w:p>
    <w:p>
      <w:pPr>
        <w:spacing w:after="90"/>
        <w:ind w:left="403"/>
      </w:pPr>
      <w:r>
        <w:rPr>
          <w:sz w:val="22"/>
          <w:szCs w:val="22"/>
        </w:rPr>
        <w:t xml:space="preserve">The editor supports placeholders, rich-text controls, desktop and mobile preview widths, and a test-send action. Edited templates are marked so administrators can find customized wording.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Email Templates.</w:t>
      </w:r>
    </w:p>
    <w:p>
      <w:pPr>
        <w:pStyle w:val="ListParagraph"/>
        <w:numPr>
          <w:ilvl w:val="0"/>
          <w:numId w:val="2"/>
        </w:numPr>
        <w:spacing w:after="40"/>
        <w:ind w:left="892"/>
      </w:pPr>
      <w:r>
        <w:rPr>
          <w:sz w:val="21"/>
          <w:szCs w:val="21"/>
        </w:rPr>
        <w:t xml:space="preserve">Search for the email or select it from its functional group.</w:t>
      </w:r>
    </w:p>
    <w:p>
      <w:pPr>
        <w:pStyle w:val="ListParagraph"/>
        <w:numPr>
          <w:ilvl w:val="0"/>
          <w:numId w:val="2"/>
        </w:numPr>
        <w:spacing w:after="40"/>
        <w:ind w:left="892"/>
      </w:pPr>
      <w:r>
        <w:rPr>
          <w:sz w:val="21"/>
          <w:szCs w:val="21"/>
        </w:rPr>
        <w:t xml:space="preserve">Edit the subject and the available message sections, inserting supported placeholders with the { } control.</w:t>
      </w:r>
    </w:p>
    <w:p>
      <w:pPr>
        <w:pStyle w:val="ListParagraph"/>
        <w:numPr>
          <w:ilvl w:val="0"/>
          <w:numId w:val="2"/>
        </w:numPr>
        <w:spacing w:after="40"/>
        <w:ind w:left="892"/>
      </w:pPr>
      <w:r>
        <w:rPr>
          <w:sz w:val="21"/>
          <w:szCs w:val="21"/>
        </w:rPr>
        <w:t xml:space="preserve">Review the desktop and mobile previews.</w:t>
      </w:r>
    </w:p>
    <w:p>
      <w:pPr>
        <w:pStyle w:val="ListParagraph"/>
        <w:numPr>
          <w:ilvl w:val="0"/>
          <w:numId w:val="2"/>
        </w:numPr>
        <w:spacing w:after="40"/>
        <w:ind w:left="892"/>
      </w:pPr>
      <w:r>
        <w:rPr>
          <w:sz w:val="21"/>
          <w:szCs w:val="21"/>
        </w:rPr>
        <w:t xml:space="preserve">Use Send test to me to inspect the current on-screen wording.</w:t>
      </w:r>
    </w:p>
    <w:p>
      <w:pPr>
        <w:pStyle w:val="ListParagraph"/>
        <w:numPr>
          <w:ilvl w:val="0"/>
          <w:numId w:val="2"/>
        </w:numPr>
        <w:spacing w:after="40"/>
        <w:ind w:left="892"/>
      </w:pPr>
      <w:r>
        <w:rPr>
          <w:sz w:val="21"/>
          <w:szCs w:val="21"/>
        </w:rPr>
        <w:t xml:space="preserve">Save the final version and confirm it appears under the Edited filter.</w:t>
      </w:r>
    </w:p>
    <w:p>
      <w:pPr>
        <w:spacing w:after="40" w:before="70"/>
        <w:ind w:left="403"/>
      </w:pPr>
      <w:r>
        <w:rPr>
          <w:color w:val="8B8FA3"/>
          <w:sz w:val="17"/>
          <w:szCs w:val="17"/>
        </w:rPr>
        <w:t xml:space="preserve">Also in Settings   ·   Ref: pro-how-do-i-edit-and-test-an-automated-email-template-120</w:t>
      </w:r>
    </w:p>
    <w:p>
      <w:pPr>
        <w:keepNext/>
        <w:spacing w:after="90" w:before="220"/>
      </w:pPr>
      <w:r>
        <w:rPr>
          <w:b/>
          <w:bCs/>
          <w:color w:val="1A1C2E"/>
          <w:sz w:val="24"/>
          <w:szCs w:val="24"/>
        </w:rPr>
        <w:t xml:space="preserve">7.   Can administrators audit automated email delivery?</w:t>
      </w:r>
    </w:p>
    <w:p>
      <w:pPr>
        <w:spacing w:after="90"/>
        <w:ind w:left="403"/>
      </w:pPr>
      <w:r>
        <w:rPr>
          <w:sz w:val="22"/>
          <w:szCs w:val="22"/>
        </w:rPr>
        <w:t xml:space="preserve">Yes. Email Log records sent time, status, recipient, client, subject, type, and a delivery error when one is returned. It can be searched by recipient or subject and filtered by All, Sent, Failed, or Not sent. Verification codes and temporary-password emails are intentionally excluded.</w:t>
      </w:r>
    </w:p>
    <w:p>
      <w:pPr>
        <w:spacing w:after="90"/>
        <w:ind w:left="403"/>
      </w:pPr>
      <w:r>
        <w:rPr>
          <w:b/>
          <w:bCs/>
          <w:color w:val="4735BE"/>
          <w:sz w:val="18"/>
          <w:szCs w:val="18"/>
        </w:rPr>
        <w:t xml:space="preserve">More   </w:t>
      </w:r>
      <w:r>
        <w:rPr>
          <w:sz w:val="22"/>
          <w:szCs w:val="22"/>
        </w:rPr>
        <w:t xml:space="preserve">Use Sent to confirm successful delivery attempts and Failed or Not sent to find exceptions. Search by recipient or subject, then review the timestamp, client, template type, and returned error; this is more reliable for automated notices than relying on a user's sent-mail folder.</w:t>
      </w:r>
    </w:p>
    <w:p>
      <w:pPr>
        <w:spacing w:after="40" w:before="70"/>
        <w:ind w:left="403"/>
      </w:pPr>
      <w:r>
        <w:rPr>
          <w:color w:val="8B8FA3"/>
          <w:sz w:val="17"/>
          <w:szCs w:val="17"/>
        </w:rPr>
        <w:t xml:space="preserve">Also in Settings   ·   Ref: pro-can-administrators-audit-automated-email-delivery-121</w:t>
      </w:r>
    </w:p>
    <w:p>
      <w:pPr>
        <w:keepNext/>
        <w:spacing w:after="90" w:before="220"/>
      </w:pPr>
      <w:r>
        <w:rPr>
          <w:b/>
          <w:bCs/>
          <w:color w:val="1A1C2E"/>
          <w:sz w:val="24"/>
          <w:szCs w:val="24"/>
        </w:rPr>
        <w:t xml:space="preserve">8.   How do I investigate an email that was not delivered?</w:t>
      </w:r>
    </w:p>
    <w:p>
      <w:pPr>
        <w:spacing w:after="90"/>
        <w:ind w:left="403"/>
      </w:pPr>
      <w:r>
        <w:rPr>
          <w:sz w:val="22"/>
          <w:szCs w:val="22"/>
        </w:rPr>
        <w:t xml:space="preserve">Use Email Log rather than the client's general communications history when checking an automated AssurePro email.</w:t>
      </w:r>
    </w:p>
    <w:p>
      <w:pPr>
        <w:spacing w:after="90"/>
        <w:ind w:left="403"/>
      </w:pPr>
      <w:r>
        <w:rPr>
          <w:b/>
          <w:bCs/>
          <w:color w:val="4735BE"/>
          <w:sz w:val="18"/>
          <w:szCs w:val="18"/>
        </w:rPr>
        <w:t xml:space="preserve">More   </w:t>
      </w:r>
      <w:r>
        <w:rPr>
          <w:sz w:val="22"/>
          <w:szCs w:val="22"/>
        </w:rPr>
        <w:t xml:space="preserve">After correcting an address, connection, or template issue, return to the originating workflow—such as the portal invitation, invoice, document request, or signature request—and retry from there. Confirm the new attempt in Email Log instead of assuming the workflow succeeded because its button was selected.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Email Log.</w:t>
      </w:r>
    </w:p>
    <w:p>
      <w:pPr>
        <w:pStyle w:val="ListParagraph"/>
        <w:numPr>
          <w:ilvl w:val="0"/>
          <w:numId w:val="2"/>
        </w:numPr>
        <w:spacing w:after="40"/>
        <w:ind w:left="892"/>
      </w:pPr>
      <w:r>
        <w:rPr>
          <w:sz w:val="21"/>
          <w:szCs w:val="21"/>
        </w:rPr>
        <w:t xml:space="preserve">Search by recipient or subject.</w:t>
      </w:r>
    </w:p>
    <w:p>
      <w:pPr>
        <w:pStyle w:val="ListParagraph"/>
        <w:numPr>
          <w:ilvl w:val="0"/>
          <w:numId w:val="2"/>
        </w:numPr>
        <w:spacing w:after="40"/>
        <w:ind w:left="892"/>
      </w:pPr>
      <w:r>
        <w:rPr>
          <w:sz w:val="21"/>
          <w:szCs w:val="21"/>
        </w:rPr>
        <w:t xml:space="preserve">Filter to Failed or Not sent.</w:t>
      </w:r>
    </w:p>
    <w:p>
      <w:pPr>
        <w:pStyle w:val="ListParagraph"/>
        <w:numPr>
          <w:ilvl w:val="0"/>
          <w:numId w:val="2"/>
        </w:numPr>
        <w:spacing w:after="40"/>
        <w:ind w:left="892"/>
      </w:pPr>
      <w:r>
        <w:rPr>
          <w:sz w:val="21"/>
          <w:szCs w:val="21"/>
        </w:rPr>
        <w:t xml:space="preserve">Review the sent time, client, subject, message type, and any error text shown on the row.</w:t>
      </w:r>
    </w:p>
    <w:p>
      <w:pPr>
        <w:pStyle w:val="ListParagraph"/>
        <w:numPr>
          <w:ilvl w:val="0"/>
          <w:numId w:val="2"/>
        </w:numPr>
        <w:spacing w:after="40"/>
        <w:ind w:left="892"/>
      </w:pPr>
      <w:r>
        <w:rPr>
          <w:sz w:val="21"/>
          <w:szCs w:val="21"/>
        </w:rPr>
        <w:t xml:space="preserve">Correct the underlying address, connection, or template issue before retrying the associated workflow.</w:t>
      </w:r>
    </w:p>
    <w:p>
      <w:pPr>
        <w:spacing w:after="40" w:before="70"/>
        <w:ind w:left="403"/>
      </w:pPr>
      <w:r>
        <w:rPr>
          <w:color w:val="8B8FA3"/>
          <w:sz w:val="17"/>
          <w:szCs w:val="17"/>
        </w:rPr>
        <w:t xml:space="preserve">Also in Settings   ·   Ref: pro-how-do-i-investigate-an-email-that-was-not-delivered-122</w:t>
      </w:r>
    </w:p>
    <w:p>
      <w:pPr>
        <w:keepNext/>
        <w:spacing w:after="90" w:before="220"/>
      </w:pPr>
      <w:r>
        <w:rPr>
          <w:b/>
          <w:bCs/>
          <w:color w:val="1A1C2E"/>
          <w:sz w:val="24"/>
          <w:szCs w:val="24"/>
        </w:rPr>
        <w:t xml:space="preserve">9.   What reminders can be automated?</w:t>
      </w:r>
    </w:p>
    <w:p>
      <w:pPr>
        <w:spacing w:after="90"/>
        <w:ind w:left="403"/>
      </w:pPr>
      <w:r>
        <w:rPr>
          <w:sz w:val="22"/>
          <w:szCs w:val="22"/>
        </w:rPr>
        <w:t xml:space="preserve">Reminders provides separate automatic nudges for document requests, unanswered messages, tax organizers, and signature requests. Each reminder type has its own on/off switch and editable schedule showing the first delay, repeat interval, and total number of reminders.</w:t>
      </w:r>
    </w:p>
    <w:p>
      <w:pPr>
        <w:spacing w:after="90"/>
        <w:ind w:left="403"/>
      </w:pPr>
      <w:r>
        <w:rPr>
          <w:b/>
          <w:bCs/>
          <w:color w:val="4735BE"/>
          <w:sz w:val="18"/>
          <w:szCs w:val="18"/>
        </w:rPr>
        <w:t xml:space="preserve">More   </w:t>
      </w:r>
      <w:r>
        <w:rPr>
          <w:sz w:val="22"/>
          <w:szCs w:val="22"/>
        </w:rPr>
        <w:t xml:space="preserve">Document requests nudge clients for missing files, Unanswered messages follow up on communications, Tax organizers prompt intake completion, and Signature requests follow up on unsigned packages. Each schedule has its own switch, initial delay, repeat cadence, and total reminders so a firm can avoid using one aggressive pattern for every client action.</w:t>
      </w:r>
    </w:p>
    <w:p>
      <w:pPr>
        <w:spacing w:after="40" w:before="70"/>
        <w:ind w:left="403"/>
      </w:pPr>
      <w:r>
        <w:rPr>
          <w:color w:val="8B8FA3"/>
          <w:sz w:val="17"/>
          <w:szCs w:val="17"/>
        </w:rPr>
        <w:t xml:space="preserve">Also in Settings   ·   Ref: pro-what-reminders-can-be-automated-123</w:t>
      </w:r>
    </w:p>
    <w:p>
      <w:pPr>
        <w:keepNext/>
        <w:spacing w:after="90" w:before="220"/>
      </w:pPr>
      <w:r>
        <w:rPr>
          <w:b/>
          <w:bCs/>
          <w:color w:val="1A1C2E"/>
          <w:sz w:val="24"/>
          <w:szCs w:val="24"/>
        </w:rPr>
        <w:t xml:space="preserve">10.   How do I change an automatic reminder schedule?</w:t>
      </w:r>
    </w:p>
    <w:p>
      <w:pPr>
        <w:spacing w:after="90"/>
        <w:ind w:left="403"/>
      </w:pPr>
      <w:r>
        <w:rPr>
          <w:sz w:val="22"/>
          <w:szCs w:val="22"/>
        </w:rPr>
        <w:t xml:space="preserve">Reminder schedules are configured independently so the firm can use different follow-up timing for different kinds of client work.</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Reminders.</w:t>
      </w:r>
    </w:p>
    <w:p>
      <w:pPr>
        <w:pStyle w:val="ListParagraph"/>
        <w:numPr>
          <w:ilvl w:val="0"/>
          <w:numId w:val="2"/>
        </w:numPr>
        <w:spacing w:after="40"/>
        <w:ind w:left="892"/>
      </w:pPr>
      <w:r>
        <w:rPr>
          <w:sz w:val="21"/>
          <w:szCs w:val="21"/>
        </w:rPr>
        <w:t xml:space="preserve">Find Document requests, Unanswered messages, Tax organizers, or Signature requests.</w:t>
      </w:r>
    </w:p>
    <w:p>
      <w:pPr>
        <w:pStyle w:val="ListParagraph"/>
        <w:numPr>
          <w:ilvl w:val="0"/>
          <w:numId w:val="2"/>
        </w:numPr>
        <w:spacing w:after="40"/>
        <w:ind w:left="892"/>
      </w:pPr>
      <w:r>
        <w:rPr>
          <w:sz w:val="21"/>
          <w:szCs w:val="21"/>
        </w:rPr>
        <w:t xml:space="preserve">Use the switch to enable or disable that reminder type.</w:t>
      </w:r>
    </w:p>
    <w:p>
      <w:pPr>
        <w:pStyle w:val="ListParagraph"/>
        <w:numPr>
          <w:ilvl w:val="0"/>
          <w:numId w:val="2"/>
        </w:numPr>
        <w:spacing w:after="40"/>
        <w:ind w:left="892"/>
      </w:pPr>
      <w:r>
        <w:rPr>
          <w:sz w:val="21"/>
          <w:szCs w:val="21"/>
        </w:rPr>
        <w:t xml:space="preserve">Select Edit schedule and set the initial delay, repeat cadence, and total number of reminders offered by the editor.</w:t>
      </w:r>
    </w:p>
    <w:p>
      <w:pPr>
        <w:pStyle w:val="ListParagraph"/>
        <w:numPr>
          <w:ilvl w:val="0"/>
          <w:numId w:val="2"/>
        </w:numPr>
        <w:spacing w:after="40"/>
        <w:ind w:left="892"/>
      </w:pPr>
      <w:r>
        <w:rPr>
          <w:sz w:val="21"/>
          <w:szCs w:val="21"/>
        </w:rPr>
        <w:t xml:space="preserve">Review the schedule summary shown on the reminder card.</w:t>
      </w:r>
    </w:p>
    <w:p>
      <w:pPr>
        <w:spacing w:after="40" w:before="70"/>
        <w:ind w:left="403"/>
      </w:pPr>
      <w:r>
        <w:rPr>
          <w:color w:val="8B8FA3"/>
          <w:sz w:val="17"/>
          <w:szCs w:val="17"/>
        </w:rPr>
        <w:t xml:space="preserve">Also in Settings   ·   Ref: pro-how-do-i-change-an-automatic-reminder-schedule-124</w:t>
      </w:r>
    </w:p>
    <w:p>
      <w:pPr>
        <w:keepNext/>
        <w:spacing w:after="90" w:before="220"/>
      </w:pPr>
      <w:r>
        <w:rPr>
          <w:b/>
          <w:bCs/>
          <w:color w:val="1A1C2E"/>
          <w:sz w:val="24"/>
          <w:szCs w:val="24"/>
        </w:rPr>
        <w:t xml:space="preserve">11.   Can AssurePro follow up when a client has not responded?</w:t>
      </w:r>
    </w:p>
    <w:p>
      <w:pPr>
        <w:spacing w:after="90"/>
        <w:ind w:left="403"/>
      </w:pPr>
      <w:r>
        <w:rPr>
          <w:sz w:val="22"/>
          <w:szCs w:val="22"/>
        </w:rPr>
        <w:t xml:space="preserve">Yes, for the supported reminder types. Reminders can automatically nudge clients about unanswered messages, document requests, tax organizers, and signature requests. Configure each reminder type separately so its cadence matches the firm's process.</w:t>
      </w:r>
    </w:p>
    <w:p>
      <w:pPr>
        <w:spacing w:after="90"/>
        <w:ind w:left="403"/>
      </w:pPr>
      <w:r>
        <w:rPr>
          <w:b/>
          <w:bCs/>
          <w:color w:val="4735BE"/>
          <w:sz w:val="18"/>
          <w:szCs w:val="18"/>
        </w:rPr>
        <w:t xml:space="preserve">More   </w:t>
      </w:r>
      <w:r>
        <w:rPr>
          <w:sz w:val="22"/>
          <w:szCs w:val="22"/>
        </w:rPr>
        <w:t xml:space="preserve">For example, enable document reminders for an outstanding upload and unanswered-message reminders for a conversation waiting on the client. Monitor the underlying request or thread as well: automated reminders reduce manual work, but staff should intervene when the sequence ends or the client explains a blocker.</w:t>
      </w:r>
    </w:p>
    <w:p>
      <w:pPr>
        <w:spacing w:after="40" w:before="70"/>
        <w:ind w:left="403"/>
      </w:pPr>
      <w:r>
        <w:rPr>
          <w:color w:val="8B8FA3"/>
          <w:sz w:val="17"/>
          <w:szCs w:val="17"/>
        </w:rPr>
        <w:t xml:space="preserve">Ref: pro-can-assurepro-follow-up-when-a-client-has-not-responded-125</w:t>
      </w:r>
    </w:p>
    <w:p>
      <w:pPr>
        <w:keepNext/>
        <w:spacing w:after="90" w:before="220"/>
      </w:pPr>
      <w:r>
        <w:rPr>
          <w:b/>
          <w:bCs/>
          <w:color w:val="1A1C2E"/>
          <w:sz w:val="24"/>
          <w:szCs w:val="24"/>
        </w:rPr>
        <w:t xml:space="preserve">12.   Can AssurePro send and receive client text messages?</w:t>
      </w:r>
    </w:p>
    <w:p>
      <w:pPr>
        <w:spacing w:after="90"/>
        <w:ind w:left="403"/>
      </w:pPr>
      <w:r>
        <w:rPr>
          <w:sz w:val="22"/>
          <w:szCs w:val="22"/>
        </w:rPr>
        <w:t xml:space="preserve">Yes, through a connected Twilio account. Phone Numbers lets the firm link an owned number or add a new one and shows whether it supports SMS, MMS, and Voice. It also exposes A2P 10DLC registration status because unregistered US carrier traffic may be filtered or blocked.</w:t>
      </w:r>
    </w:p>
    <w:p>
      <w:pPr>
        <w:spacing w:after="90"/>
        <w:ind w:left="403"/>
      </w:pPr>
      <w:r>
        <w:rPr>
          <w:b/>
          <w:bCs/>
          <w:color w:val="4735BE"/>
          <w:sz w:val="18"/>
          <w:szCs w:val="18"/>
        </w:rPr>
        <w:t xml:space="preserve">More   </w:t>
      </w:r>
      <w:r>
        <w:rPr>
          <w:sz w:val="22"/>
          <w:szCs w:val="22"/>
        </w:rPr>
        <w:t xml:space="preserve">After Twilio is connected, link or add the intended firm number in Phone Numbers and confirm its SMS, MMS, and Voice capabilities. Complete A2P 10DLC registration for US carrier traffic, send a controlled test, and then use SMS from Communications or the client workspace so replies remain visible to authorized staff.</w:t>
      </w:r>
    </w:p>
    <w:p>
      <w:pPr>
        <w:spacing w:after="40" w:before="70"/>
        <w:ind w:left="403"/>
      </w:pPr>
      <w:r>
        <w:rPr>
          <w:color w:val="8B8FA3"/>
          <w:sz w:val="17"/>
          <w:szCs w:val="17"/>
        </w:rPr>
        <w:t xml:space="preserve">Also in Settings   ·   Ref: pro-can-assurepro-send-and-receive-client-text-messages-126</w:t>
      </w:r>
    </w:p>
    <w:p>
      <w:pPr>
        <w:keepNext/>
        <w:spacing w:after="90" w:before="220"/>
      </w:pPr>
      <w:r>
        <w:rPr>
          <w:b/>
          <w:bCs/>
          <w:color w:val="1A1C2E"/>
          <w:sz w:val="24"/>
          <w:szCs w:val="24"/>
        </w:rPr>
        <w:t xml:space="preserve">13.   How do I configure a firm phone number for SMS?</w:t>
      </w:r>
    </w:p>
    <w:p>
      <w:pPr>
        <w:spacing w:after="90"/>
        <w:ind w:left="403"/>
      </w:pPr>
      <w:r>
        <w:rPr>
          <w:sz w:val="22"/>
          <w:szCs w:val="22"/>
        </w:rPr>
        <w:t xml:space="preserve">The firm first connects Twilio in Integrations, then manages usable numbers in Phone Numbers.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confirm Twilio is connected under Integrations.</w:t>
      </w:r>
    </w:p>
    <w:p>
      <w:pPr>
        <w:pStyle w:val="ListParagraph"/>
        <w:numPr>
          <w:ilvl w:val="0"/>
          <w:numId w:val="2"/>
        </w:numPr>
        <w:spacing w:after="40"/>
        <w:ind w:left="892"/>
      </w:pPr>
      <w:r>
        <w:rPr>
          <w:sz w:val="21"/>
          <w:szCs w:val="21"/>
        </w:rPr>
        <w:t xml:space="preserve">Choose Phone Numbers and select Add number.</w:t>
      </w:r>
    </w:p>
    <w:p>
      <w:pPr>
        <w:pStyle w:val="ListParagraph"/>
        <w:numPr>
          <w:ilvl w:val="0"/>
          <w:numId w:val="2"/>
        </w:numPr>
        <w:spacing w:after="40"/>
        <w:ind w:left="892"/>
      </w:pPr>
      <w:r>
        <w:rPr>
          <w:sz w:val="21"/>
          <w:szCs w:val="21"/>
        </w:rPr>
        <w:t xml:space="preserve">Link a number already owned in Twilio or follow the offered flow to add a new number.</w:t>
      </w:r>
    </w:p>
    <w:p>
      <w:pPr>
        <w:pStyle w:val="ListParagraph"/>
        <w:numPr>
          <w:ilvl w:val="0"/>
          <w:numId w:val="2"/>
        </w:numPr>
        <w:spacing w:after="40"/>
        <w:ind w:left="892"/>
      </w:pPr>
      <w:r>
        <w:rPr>
          <w:sz w:val="21"/>
          <w:szCs w:val="21"/>
        </w:rPr>
        <w:t xml:space="preserve">Confirm the number and its SMS or MMS capabilities under Your numbers.</w:t>
      </w:r>
    </w:p>
    <w:p>
      <w:pPr>
        <w:pStyle w:val="ListParagraph"/>
        <w:numPr>
          <w:ilvl w:val="0"/>
          <w:numId w:val="2"/>
        </w:numPr>
        <w:spacing w:after="40"/>
        <w:ind w:left="892"/>
      </w:pPr>
      <w:r>
        <w:rPr>
          <w:sz w:val="21"/>
          <w:szCs w:val="21"/>
        </w:rPr>
        <w:t xml:space="preserve">Complete A2P 10DLC registration for US carrier messaging and use Refresh status to verify the result.</w:t>
      </w:r>
    </w:p>
    <w:p>
      <w:pPr>
        <w:spacing w:after="40" w:before="70"/>
        <w:ind w:left="403"/>
      </w:pPr>
      <w:r>
        <w:rPr>
          <w:color w:val="8B8FA3"/>
          <w:sz w:val="17"/>
          <w:szCs w:val="17"/>
        </w:rPr>
        <w:t xml:space="preserve">Also in Settings   ·   Ref: pro-how-do-i-configure-a-firm-phone-number-for-sms-127</w:t>
      </w:r>
    </w:p>
    <w:p>
      <w:pPr>
        <w:keepNext/>
        <w:spacing w:after="90" w:before="220"/>
      </w:pPr>
      <w:r>
        <w:rPr>
          <w:b/>
          <w:bCs/>
          <w:color w:val="1A1C2E"/>
          <w:sz w:val="24"/>
          <w:szCs w:val="24"/>
        </w:rPr>
        <w:t xml:space="preserve">14.   What phone number does a client see when the firm sends an SMS?</w:t>
      </w:r>
    </w:p>
    <w:p>
      <w:pPr>
        <w:spacing w:after="90"/>
        <w:ind w:left="403"/>
      </w:pPr>
      <w:r>
        <w:rPr>
          <w:sz w:val="22"/>
          <w:szCs w:val="22"/>
        </w:rPr>
        <w:t xml:space="preserve">The client sees the Twilio phone number connected to the firm in Phone Numbers. Administrators should confirm that the intended number is linked and that its A2P 10DLC registration is complete before relying on it for US client messaging.</w:t>
      </w:r>
    </w:p>
    <w:p>
      <w:pPr>
        <w:spacing w:after="90"/>
        <w:ind w:left="403"/>
      </w:pPr>
      <w:r>
        <w:rPr>
          <w:b/>
          <w:bCs/>
          <w:color w:val="4735BE"/>
          <w:sz w:val="18"/>
          <w:szCs w:val="18"/>
        </w:rPr>
        <w:t xml:space="preserve">More   </w:t>
      </w:r>
      <w:r>
        <w:rPr>
          <w:sz w:val="22"/>
          <w:szCs w:val="22"/>
        </w:rPr>
        <w:t xml:space="preserve">If the firm owns several Twilio numbers, confirm which one is linked in Settings &gt; Phone Numbers before telling clients what to save. The row also shows capabilities and registration status; a number that is not correctly registered may be filtered even though it appears in the firm's configuration.</w:t>
      </w:r>
    </w:p>
    <w:p>
      <w:pPr>
        <w:spacing w:after="40" w:before="70"/>
        <w:ind w:left="403"/>
      </w:pPr>
      <w:r>
        <w:rPr>
          <w:color w:val="8B8FA3"/>
          <w:sz w:val="17"/>
          <w:szCs w:val="17"/>
        </w:rPr>
        <w:t xml:space="preserve">Ref: pro-what-phone-number-does-a-client-see-when-the-firm-sends-an-sms-128</w:t>
      </w:r>
    </w:p>
    <w:p>
      <w:pPr>
        <w:keepNext/>
        <w:spacing w:after="90" w:before="220"/>
      </w:pPr>
      <w:r>
        <w:rPr>
          <w:b/>
          <w:bCs/>
          <w:color w:val="1A1C2E"/>
          <w:sz w:val="24"/>
          <w:szCs w:val="24"/>
        </w:rPr>
        <w:t xml:space="preserve">15.   What calendar connections are supported?</w:t>
      </w:r>
    </w:p>
    <w:p>
      <w:pPr>
        <w:spacing w:after="90"/>
        <w:ind w:left="403"/>
      </w:pPr>
      <w:r>
        <w:rPr>
          <w:sz w:val="22"/>
          <w:szCs w:val="22"/>
        </w:rPr>
        <w:t xml:space="preserve">Calendar prompts the firm to connect Calendly for meetings. Integrations also lists Google Calendar and Outlook Calendar and describes matching connected meetings to the relevant client.</w:t>
      </w:r>
    </w:p>
    <w:p>
      <w:pPr>
        <w:spacing w:after="90"/>
        <w:ind w:left="403"/>
      </w:pPr>
      <w:r>
        <w:rPr>
          <w:b/>
          <w:bCs/>
          <w:color w:val="4735BE"/>
          <w:sz w:val="18"/>
          <w:szCs w:val="18"/>
        </w:rPr>
        <w:t xml:space="preserve">More   </w:t>
      </w:r>
      <w:r>
        <w:rPr>
          <w:sz w:val="22"/>
          <w:szCs w:val="22"/>
        </w:rPr>
        <w:t xml:space="preserve">Connect the provider in Settings &gt; Integrations, then use Calendar for the firm's meeting workflow. Calendly supports scheduling, while Google Calendar and Outlook Calendar can match connected meetings to the relevant client; verify the client association so meeting context appears with the correct relationship.</w:t>
      </w:r>
    </w:p>
    <w:p>
      <w:pPr>
        <w:spacing w:after="40" w:before="70"/>
        <w:ind w:left="403"/>
      </w:pPr>
      <w:r>
        <w:rPr>
          <w:color w:val="8B8FA3"/>
          <w:sz w:val="17"/>
          <w:szCs w:val="17"/>
        </w:rPr>
        <w:t xml:space="preserve">Ref: pro-what-calendar-connections-are-supported-129</w:t>
      </w:r>
    </w:p>
    <w:p>
      <w:pPr>
        <w:keepNext/>
        <w:spacing w:after="90" w:before="220"/>
      </w:pPr>
      <w:r>
        <w:rPr>
          <w:b/>
          <w:bCs/>
          <w:color w:val="1A1C2E"/>
          <w:sz w:val="24"/>
          <w:szCs w:val="24"/>
        </w:rPr>
        <w:t xml:space="preserve">16.   Does everything a client sees carry the firm's branding, or does AssureOne branding appear anywhere?</w:t>
      </w:r>
    </w:p>
    <w:p>
      <w:pPr>
        <w:spacing w:after="60"/>
        <w:ind w:left="403"/>
      </w:pPr>
      <w:r>
        <w:rPr>
          <w:sz w:val="22"/>
          <w:szCs w:val="22"/>
        </w:rPr>
        <w:t xml:space="preserve">The firm can configure its client-facing identity in Settings &gt; Client Portal, including the available firm branding and portal presentation controls. That branding is used across the client experience, while the AssureOne name can still appear in selected platform-managed locations such as email footers. Administrators should review both the desktop and mobile email previews, send test messages, and inspect the client portal before rollout so client-facing wording and branding are understood in advance.</w:t>
      </w:r>
    </w:p>
    <w:p>
      <w:pPr>
        <w:spacing w:after="40" w:before="70"/>
        <w:ind w:left="403"/>
      </w:pPr>
      <w:r>
        <w:rPr>
          <w:color w:val="8B8FA3"/>
          <w:sz w:val="17"/>
          <w:szCs w:val="17"/>
        </w:rPr>
        <w:t xml:space="preserve">Also in Settings   ·   Ref: pro-does-everything-a-client-sees-carry-the-firm-s-branding-or-does-assure-130</w:t>
      </w:r>
    </w:p>
    <w:p>
      <w:r>
        <w:br w:type="page"/>
      </w:r>
    </w:p>
    <w:p>
      <w:pPr>
        <w:pStyle w:val="Heading1"/>
        <w:spacing w:after="40" w:before="60"/>
      </w:pPr>
      <w:r>
        <w:rPr>
          <w:b/>
          <w:bCs/>
          <w:color w:val="1A1C2E"/>
          <w:sz w:val="32"/>
          <w:szCs w:val="32"/>
        </w:rPr>
        <w:t xml:space="preserve">Reporting</w:t>
      </w:r>
    </w:p>
    <w:p>
      <w:pPr>
        <w:pBdr>
          <w:bottom w:val="single" w:color="E4E2F0" w:sz="4"/>
        </w:pBdr>
        <w:spacing w:after="200"/>
      </w:pPr>
      <w:r>
        <w:rPr>
          <w:color w:val="8B8FA3"/>
          <w:sz w:val="20"/>
          <w:szCs w:val="20"/>
        </w:rPr>
        <w:t xml:space="preserve">6 questions</w:t>
      </w:r>
    </w:p>
    <w:p>
      <w:pPr>
        <w:keepNext/>
        <w:spacing w:after="90" w:before="220"/>
      </w:pPr>
      <w:r>
        <w:rPr>
          <w:b/>
          <w:bCs/>
          <w:color w:val="1A1C2E"/>
          <w:sz w:val="24"/>
          <w:szCs w:val="24"/>
        </w:rPr>
        <w:t xml:space="preserve">1.   How is the Reports area organized?</w:t>
      </w:r>
    </w:p>
    <w:p>
      <w:pPr>
        <w:spacing w:after="90"/>
        <w:ind w:left="403"/>
      </w:pPr>
      <w:r>
        <w:rPr>
          <w:sz w:val="22"/>
          <w:szCs w:val="22"/>
        </w:rPr>
        <w:t xml:space="preserve">Reports has three destinations. Overview contains standard firm KPIs and report cards. My Report contains starter dashboards, dashboards shared with the firm, and the user's own dashboards. Templates is the widget library and custom-dashboard builder.</w:t>
      </w:r>
    </w:p>
    <w:p>
      <w:pPr>
        <w:spacing w:after="90"/>
        <w:ind w:left="403"/>
      </w:pPr>
      <w:r>
        <w:rPr>
          <w:b/>
          <w:bCs/>
          <w:color w:val="4735BE"/>
          <w:sz w:val="18"/>
          <w:szCs w:val="18"/>
        </w:rPr>
        <w:t xml:space="preserve">More   </w:t>
      </w:r>
      <w:r>
        <w:rPr>
          <w:sz w:val="22"/>
          <w:szCs w:val="22"/>
        </w:rPr>
        <w:t xml:space="preserve">Use Overview for a standard firm health check, My Report for reusable dashboards, and Templates when a different combination of metrics is needed. A manager might begin with Overview, open Full billing report for collection detail, then duplicate Billing &amp; Collections into My dashboards for a customized recurring review.</w:t>
      </w:r>
    </w:p>
    <w:p>
      <w:pPr>
        <w:spacing w:after="40" w:before="70"/>
        <w:ind w:left="403"/>
      </w:pPr>
      <w:r>
        <w:rPr>
          <w:color w:val="8B8FA3"/>
          <w:sz w:val="17"/>
          <w:szCs w:val="17"/>
        </w:rPr>
        <w:t xml:space="preserve">Ref: pro-how-is-the-reports-area-organized-131</w:t>
      </w:r>
    </w:p>
    <w:p>
      <w:pPr>
        <w:keepNext/>
        <w:spacing w:after="90" w:before="220"/>
      </w:pPr>
      <w:r>
        <w:rPr>
          <w:b/>
          <w:bCs/>
          <w:color w:val="1A1C2E"/>
          <w:sz w:val="24"/>
          <w:szCs w:val="24"/>
        </w:rPr>
        <w:t xml:space="preserve">2.   Which KPIs appear at the top of Reports?</w:t>
      </w:r>
    </w:p>
    <w:p>
      <w:pPr>
        <w:spacing w:after="60"/>
        <w:ind w:left="403"/>
      </w:pPr>
      <w:r>
        <w:rPr>
          <w:sz w:val="22"/>
          <w:szCs w:val="22"/>
        </w:rPr>
        <w:t xml:space="preserve">The KPI cards are Total Revenue, Collected, Outstanding A/R, Billable Hours, Utilization, and New Clients. Use them together: Revenue shows billed performance, Collected shows cash received, Outstanding A/R identifies the unpaid balance, Billable Hours and Utilization describe productive time, and New Clients shows growth. Select MTD, QTD, YTD, 12M, or Custom before interpreting the values so every card reflects the intended period.</w:t>
      </w:r>
    </w:p>
    <w:p>
      <w:pPr>
        <w:spacing w:after="40" w:before="70"/>
        <w:ind w:left="403"/>
      </w:pPr>
      <w:r>
        <w:rPr>
          <w:color w:val="8B8FA3"/>
          <w:sz w:val="17"/>
          <w:szCs w:val="17"/>
        </w:rPr>
        <w:t xml:space="preserve">Ref: pro-which-kpis-appear-at-the-top-of-reports-133</w:t>
      </w:r>
    </w:p>
    <w:p>
      <w:pPr>
        <w:keepNext/>
        <w:spacing w:after="90" w:before="220"/>
      </w:pPr>
      <w:r>
        <w:rPr>
          <w:b/>
          <w:bCs/>
          <w:color w:val="1A1C2E"/>
          <w:sz w:val="24"/>
          <w:szCs w:val="24"/>
        </w:rPr>
        <w:t xml:space="preserve">3.   How do I review and export a report?</w:t>
      </w:r>
    </w:p>
    <w:p>
      <w:pPr>
        <w:spacing w:after="90"/>
        <w:ind w:left="403"/>
      </w:pPr>
      <w:r>
        <w:rPr>
          <w:sz w:val="22"/>
          <w:szCs w:val="22"/>
        </w:rPr>
        <w:t xml:space="preserve">Use the common period controls to keep the report cards and KPI context aligned.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Overview or My Report.</w:t>
      </w:r>
    </w:p>
    <w:p>
      <w:pPr>
        <w:pStyle w:val="ListParagraph"/>
        <w:numPr>
          <w:ilvl w:val="0"/>
          <w:numId w:val="2"/>
        </w:numPr>
        <w:spacing w:after="40"/>
        <w:ind w:left="892"/>
      </w:pPr>
      <w:r>
        <w:rPr>
          <w:sz w:val="21"/>
          <w:szCs w:val="21"/>
        </w:rPr>
        <w:t xml:space="preserve">Select MTD, QTD, YTD, 12M, or Custom and provide the date range when required.</w:t>
      </w:r>
    </w:p>
    <w:p>
      <w:pPr>
        <w:pStyle w:val="ListParagraph"/>
        <w:numPr>
          <w:ilvl w:val="0"/>
          <w:numId w:val="2"/>
        </w:numPr>
        <w:spacing w:after="40"/>
        <w:ind w:left="892"/>
      </w:pPr>
      <w:r>
        <w:rPr>
          <w:sz w:val="21"/>
          <w:szCs w:val="21"/>
        </w:rPr>
        <w:t xml:space="preserve">Review the relevant KPI or report card.</w:t>
      </w:r>
    </w:p>
    <w:p>
      <w:pPr>
        <w:pStyle w:val="ListParagraph"/>
        <w:numPr>
          <w:ilvl w:val="0"/>
          <w:numId w:val="2"/>
        </w:numPr>
        <w:spacing w:after="40"/>
        <w:ind w:left="892"/>
      </w:pPr>
      <w:r>
        <w:rPr>
          <w:sz w:val="21"/>
          <w:szCs w:val="21"/>
        </w:rPr>
        <w:t xml:space="preserve">Select Full report on a card when a detailed view is available.</w:t>
      </w:r>
    </w:p>
    <w:p>
      <w:pPr>
        <w:pStyle w:val="ListParagraph"/>
        <w:numPr>
          <w:ilvl w:val="0"/>
          <w:numId w:val="2"/>
        </w:numPr>
        <w:spacing w:after="40"/>
        <w:ind w:left="892"/>
      </w:pPr>
      <w:r>
        <w:rPr>
          <w:sz w:val="21"/>
          <w:szCs w:val="21"/>
        </w:rPr>
        <w:t xml:space="preserve">Review the resulting focused dashboard and its supporting widgets.</w:t>
      </w:r>
    </w:p>
    <w:p>
      <w:pPr>
        <w:pStyle w:val="ListParagraph"/>
        <w:numPr>
          <w:ilvl w:val="0"/>
          <w:numId w:val="2"/>
        </w:numPr>
        <w:spacing w:after="40"/>
        <w:ind w:left="892"/>
      </w:pPr>
      <w:r>
        <w:rPr>
          <w:sz w:val="21"/>
          <w:szCs w:val="21"/>
        </w:rPr>
        <w:t xml:space="preserve">Select Export when an external copy is needed.</w:t>
      </w:r>
    </w:p>
    <w:p>
      <w:pPr>
        <w:spacing w:after="40" w:before="70"/>
        <w:ind w:left="403"/>
      </w:pPr>
      <w:r>
        <w:rPr>
          <w:color w:val="8B8FA3"/>
          <w:sz w:val="17"/>
          <w:szCs w:val="17"/>
        </w:rPr>
        <w:t xml:space="preserve">Ref: pro-how-do-i-review-and-export-a-report-134</w:t>
      </w:r>
    </w:p>
    <w:p>
      <w:pPr>
        <w:keepNext/>
        <w:spacing w:after="90" w:before="220"/>
      </w:pPr>
      <w:r>
        <w:rPr>
          <w:b/>
          <w:bCs/>
          <w:color w:val="1A1C2E"/>
          <w:sz w:val="24"/>
          <w:szCs w:val="24"/>
        </w:rPr>
        <w:t xml:space="preserve">4.   Can report periods and results be changed or exported?</w:t>
      </w:r>
    </w:p>
    <w:p>
      <w:pPr>
        <w:spacing w:after="90"/>
        <w:ind w:left="403"/>
      </w:pPr>
      <w:r>
        <w:rPr>
          <w:sz w:val="22"/>
          <w:szCs w:val="22"/>
        </w:rPr>
        <w:t xml:space="preserve">Yes. Reports provides MTD, QTD, YTD, 12M, and custom date ranges, along with Export and Full report actions. Workflow reporting can also be filtered by stage and status-related measures such as active and overdue work.</w:t>
      </w:r>
    </w:p>
    <w:p>
      <w:pPr>
        <w:spacing w:after="90"/>
        <w:ind w:left="403"/>
      </w:pPr>
      <w:r>
        <w:rPr>
          <w:b/>
          <w:bCs/>
          <w:color w:val="4735BE"/>
          <w:sz w:val="18"/>
          <w:szCs w:val="18"/>
        </w:rPr>
        <w:t xml:space="preserve">More   </w:t>
      </w:r>
      <w:r>
        <w:rPr>
          <w:sz w:val="22"/>
          <w:szCs w:val="22"/>
        </w:rPr>
        <w:t xml:space="preserve">Choose MTD for current-month operations, QTD for quarter performance, YTD for the current year, 12M for a rolling view, or Custom for a specific engagement or management period. Apply the period before opening Full report or Export so the detailed view and downloaded result use the intended dates.</w:t>
      </w:r>
    </w:p>
    <w:p>
      <w:pPr>
        <w:spacing w:after="40" w:before="70"/>
        <w:ind w:left="403"/>
      </w:pPr>
      <w:r>
        <w:rPr>
          <w:color w:val="8B8FA3"/>
          <w:sz w:val="17"/>
          <w:szCs w:val="17"/>
        </w:rPr>
        <w:t xml:space="preserve">Ref: pro-can-report-periods-and-results-be-changed-or-exported-136</w:t>
      </w:r>
    </w:p>
    <w:p>
      <w:pPr>
        <w:keepNext/>
        <w:spacing w:after="90" w:before="220"/>
      </w:pPr>
      <w:r>
        <w:rPr>
          <w:b/>
          <w:bCs/>
          <w:color w:val="1A1C2E"/>
          <w:sz w:val="24"/>
          <w:szCs w:val="24"/>
        </w:rPr>
        <w:t xml:space="preserve">5.   Can report and dashboard data be exported?</w:t>
      </w:r>
    </w:p>
    <w:p>
      <w:pPr>
        <w:spacing w:after="90"/>
        <w:ind w:left="403"/>
      </w:pPr>
      <w:r>
        <w:rPr>
          <w:sz w:val="22"/>
          <w:szCs w:val="22"/>
        </w:rPr>
        <w:t xml:space="preserve">Yes. Report and dashboard results can be exported for review or use outside AssurePro.</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Overview or My Report.</w:t>
      </w:r>
    </w:p>
    <w:p>
      <w:pPr>
        <w:pStyle w:val="ListParagraph"/>
        <w:numPr>
          <w:ilvl w:val="0"/>
          <w:numId w:val="2"/>
        </w:numPr>
        <w:spacing w:after="40"/>
        <w:ind w:left="892"/>
      </w:pPr>
      <w:r>
        <w:rPr>
          <w:sz w:val="21"/>
          <w:szCs w:val="21"/>
        </w:rPr>
        <w:t xml:space="preserve">Select MTD, QTD, YTD, 12M, or a Custom date range so the export reflects the intended period.</w:t>
      </w:r>
    </w:p>
    <w:p>
      <w:pPr>
        <w:pStyle w:val="ListParagraph"/>
        <w:numPr>
          <w:ilvl w:val="0"/>
          <w:numId w:val="2"/>
        </w:numPr>
        <w:spacing w:after="40"/>
        <w:ind w:left="892"/>
      </w:pPr>
      <w:r>
        <w:rPr>
          <w:sz w:val="21"/>
          <w:szCs w:val="21"/>
        </w:rPr>
        <w:t xml:space="preserve">Open a Full report when the export should come from a focused dashboard rather than the high-level Overview.</w:t>
      </w:r>
    </w:p>
    <w:p>
      <w:pPr>
        <w:pStyle w:val="ListParagraph"/>
        <w:numPr>
          <w:ilvl w:val="0"/>
          <w:numId w:val="2"/>
        </w:numPr>
        <w:spacing w:after="40"/>
        <w:ind w:left="892"/>
      </w:pPr>
      <w:r>
        <w:rPr>
          <w:sz w:val="21"/>
          <w:szCs w:val="21"/>
        </w:rPr>
        <w:t xml:space="preserve">Confirm that the visible widgets and filters match the information needed.</w:t>
      </w:r>
    </w:p>
    <w:p>
      <w:pPr>
        <w:pStyle w:val="ListParagraph"/>
        <w:numPr>
          <w:ilvl w:val="0"/>
          <w:numId w:val="2"/>
        </w:numPr>
        <w:spacing w:after="40"/>
        <w:ind w:left="892"/>
      </w:pPr>
      <w:r>
        <w:rPr>
          <w:sz w:val="21"/>
          <w:szCs w:val="21"/>
        </w:rPr>
        <w:t xml:space="preserve">Select Export and complete the download offered by the report.</w:t>
      </w:r>
    </w:p>
    <w:p>
      <w:pPr>
        <w:pStyle w:val="ListParagraph"/>
        <w:numPr>
          <w:ilvl w:val="0"/>
          <w:numId w:val="2"/>
        </w:numPr>
        <w:spacing w:after="40"/>
        <w:ind w:left="892"/>
      </w:pPr>
      <w:r>
        <w:rPr>
          <w:sz w:val="21"/>
          <w:szCs w:val="21"/>
        </w:rPr>
        <w:t xml:space="preserve">Review the exported file before sharing it because report results can contain client names, financial amounts, workload information, or other firm data.</w:t>
      </w:r>
    </w:p>
    <w:p>
      <w:pPr>
        <w:spacing w:after="40" w:before="70"/>
        <w:ind w:left="403"/>
      </w:pPr>
      <w:r>
        <w:rPr>
          <w:color w:val="8B8FA3"/>
          <w:sz w:val="17"/>
          <w:szCs w:val="17"/>
        </w:rPr>
        <w:t xml:space="preserve">Ref: pro-can-report-and-dashboard-data-be-exported-137</w:t>
      </w:r>
    </w:p>
    <w:p>
      <w:pPr>
        <w:keepNext/>
        <w:spacing w:after="90" w:before="220"/>
      </w:pPr>
      <w:r>
        <w:rPr>
          <w:b/>
          <w:bCs/>
          <w:color w:val="1A1C2E"/>
          <w:sz w:val="24"/>
          <w:szCs w:val="24"/>
        </w:rPr>
        <w:t xml:space="preserve">6.   What does the agreement funnel report show?</w:t>
      </w:r>
    </w:p>
    <w:p>
      <w:pPr>
        <w:spacing w:after="90"/>
        <w:ind w:left="403"/>
      </w:pPr>
      <w:r>
        <w:rPr>
          <w:sz w:val="22"/>
          <w:szCs w:val="22"/>
        </w:rPr>
        <w:t xml:space="preserve">The agreement funnel tracks Sent, Viewed, and Signed activity and identifies packages that are in flight, declined, expired, or cancelled. It helps the firm see where signing packages are progressing or stopping.</w:t>
      </w:r>
    </w:p>
    <w:p>
      <w:pPr>
        <w:spacing w:after="90"/>
        <w:ind w:left="403"/>
      </w:pPr>
      <w:r>
        <w:rPr>
          <w:b/>
          <w:bCs/>
          <w:color w:val="4735BE"/>
          <w:sz w:val="18"/>
          <w:szCs w:val="18"/>
        </w:rPr>
        <w:t xml:space="preserve">More   </w:t>
      </w:r>
      <w:r>
        <w:rPr>
          <w:sz w:val="22"/>
          <w:szCs w:val="22"/>
        </w:rPr>
        <w:t xml:space="preserve">Compare Sent to Viewed to identify delivery or attention problems, Viewed to Signed to identify decision friction, and the declined, expired, or cancelled counts to understand why packages left the active pipeline. Open the underlying engagement-letter work when a specific package needs follow-up.</w:t>
      </w:r>
    </w:p>
    <w:p>
      <w:pPr>
        <w:spacing w:after="40" w:before="70"/>
        <w:ind w:left="403"/>
      </w:pPr>
      <w:r>
        <w:rPr>
          <w:color w:val="8B8FA3"/>
          <w:sz w:val="17"/>
          <w:szCs w:val="17"/>
        </w:rPr>
        <w:t xml:space="preserve">Ref: pro-what-does-the-agreement-funnel-report-show-144</w:t>
      </w:r>
    </w:p>
    <w:p>
      <w:r>
        <w:br w:type="page"/>
      </w:r>
    </w:p>
    <w:p>
      <w:pPr>
        <w:pStyle w:val="Heading1"/>
        <w:spacing w:after="40" w:before="60"/>
      </w:pPr>
      <w:r>
        <w:rPr>
          <w:b/>
          <w:bCs/>
          <w:color w:val="1A1C2E"/>
          <w:sz w:val="32"/>
          <w:szCs w:val="32"/>
        </w:rPr>
        <w:t xml:space="preserve">AI</w:t>
      </w:r>
    </w:p>
    <w:p>
      <w:pPr>
        <w:pBdr>
          <w:bottom w:val="single" w:color="E4E2F0" w:sz="4"/>
        </w:pBdr>
        <w:spacing w:after="200"/>
      </w:pPr>
      <w:r>
        <w:rPr>
          <w:color w:val="8B8FA3"/>
          <w:sz w:val="20"/>
          <w:szCs w:val="20"/>
        </w:rPr>
        <w:t xml:space="preserve">15 questions</w:t>
      </w:r>
    </w:p>
    <w:p>
      <w:pPr>
        <w:keepNext/>
        <w:spacing w:after="90" w:before="220"/>
      </w:pPr>
      <w:r>
        <w:rPr>
          <w:b/>
          <w:bCs/>
          <w:color w:val="1A1C2E"/>
          <w:sz w:val="24"/>
          <w:szCs w:val="24"/>
        </w:rPr>
        <w:t xml:space="preserve">1.   What can the AI Agent help with?</w:t>
      </w:r>
    </w:p>
    <w:p>
      <w:pPr>
        <w:spacing w:after="90"/>
        <w:ind w:left="403"/>
      </w:pPr>
      <w:r>
        <w:rPr>
          <w:sz w:val="22"/>
          <w:szCs w:val="22"/>
        </w:rPr>
        <w:t xml:space="preserve">The AssurePro AI Agent can answer questions about clients, documents, work, and billing. Verified examples include client counts, outstanding billing, open tasks, inbox summaries, stuck engagements, missing uploads, overdue-invoice follow-up drafts, and work due this week.</w:t>
      </w:r>
    </w:p>
    <w:p>
      <w:pPr>
        <w:spacing w:after="90"/>
        <w:ind w:left="403"/>
      </w:pPr>
      <w:r>
        <w:rPr>
          <w:b/>
          <w:bCs/>
          <w:color w:val="4735BE"/>
          <w:sz w:val="18"/>
          <w:szCs w:val="18"/>
        </w:rPr>
        <w:t xml:space="preserve">More   </w:t>
      </w:r>
      <w:r>
        <w:rPr>
          <w:sz w:val="22"/>
          <w:szCs w:val="22"/>
        </w:rPr>
        <w:t xml:space="preserve">A useful prompt includes the subject, time period, desired output, and whether the user wants analysis or a draft. Examples: “Which engagements have been in the same stage for more than ten days?”, “Summarize unread messages for my clients,” or “Draft a polite follow-up for overdue invoices, but do not send it.”</w:t>
      </w:r>
    </w:p>
    <w:p>
      <w:pPr>
        <w:spacing w:after="40" w:before="70"/>
        <w:ind w:left="403"/>
      </w:pPr>
      <w:r>
        <w:rPr>
          <w:color w:val="8B8FA3"/>
          <w:sz w:val="17"/>
          <w:szCs w:val="17"/>
        </w:rPr>
        <w:t xml:space="preserve">Ref: pro-what-can-the-ai-agent-help-with-146</w:t>
      </w:r>
    </w:p>
    <w:p>
      <w:pPr>
        <w:keepNext/>
        <w:spacing w:after="90" w:before="220"/>
      </w:pPr>
      <w:r>
        <w:rPr>
          <w:b/>
          <w:bCs/>
          <w:color w:val="1A1C2E"/>
          <w:sz w:val="24"/>
          <w:szCs w:val="24"/>
        </w:rPr>
        <w:t xml:space="preserve">2.   How do I ask the AI Agent for help?</w:t>
      </w:r>
    </w:p>
    <w:p>
      <w:pPr>
        <w:spacing w:after="90"/>
        <w:ind w:left="403"/>
      </w:pPr>
      <w:r>
        <w:rPr>
          <w:sz w:val="22"/>
          <w:szCs w:val="22"/>
        </w:rPr>
        <w:t xml:space="preserve">The Agent uses a conversational prompt and states that it asks before changing anything.</w:t>
      </w:r>
    </w:p>
    <w:p>
      <w:pPr>
        <w:spacing w:after="90"/>
        <w:ind w:left="403"/>
      </w:pPr>
      <w:r>
        <w:rPr>
          <w:b/>
          <w:bCs/>
          <w:color w:val="4735BE"/>
          <w:sz w:val="18"/>
          <w:szCs w:val="18"/>
        </w:rPr>
        <w:t xml:space="preserve">More   </w:t>
      </w:r>
      <w:r>
        <w:rPr>
          <w:sz w:val="22"/>
          <w:szCs w:val="22"/>
        </w:rPr>
        <w:t xml:space="preserve">Ask a narrower follow-up when the first result is too broad, open linked records to validate important facts, and keep the request in draft mode when no change is intended. The Agent's statement that it asks before changing anything should not replace the user's review of recipients, amounts, dates, or client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w:t>
      </w:r>
    </w:p>
    <w:p>
      <w:pPr>
        <w:pStyle w:val="ListParagraph"/>
        <w:numPr>
          <w:ilvl w:val="0"/>
          <w:numId w:val="2"/>
        </w:numPr>
        <w:spacing w:after="40"/>
        <w:ind w:left="892"/>
      </w:pPr>
      <w:r>
        <w:rPr>
          <w:sz w:val="21"/>
          <w:szCs w:val="21"/>
        </w:rPr>
        <w:t xml:space="preserve">Enter a specific question about clients, documents, work, billing, or communications, or choose a suggested prompt.</w:t>
      </w:r>
    </w:p>
    <w:p>
      <w:pPr>
        <w:pStyle w:val="ListParagraph"/>
        <w:numPr>
          <w:ilvl w:val="0"/>
          <w:numId w:val="2"/>
        </w:numPr>
        <w:spacing w:after="40"/>
        <w:ind w:left="892"/>
      </w:pPr>
      <w:r>
        <w:rPr>
          <w:sz w:val="21"/>
          <w:szCs w:val="21"/>
        </w:rPr>
        <w:t xml:space="preserve">Review the answer and any linked source or proposed action.</w:t>
      </w:r>
    </w:p>
    <w:p>
      <w:pPr>
        <w:pStyle w:val="ListParagraph"/>
        <w:numPr>
          <w:ilvl w:val="0"/>
          <w:numId w:val="2"/>
        </w:numPr>
        <w:spacing w:after="40"/>
        <w:ind w:left="892"/>
      </w:pPr>
      <w:r>
        <w:rPr>
          <w:sz w:val="21"/>
          <w:szCs w:val="21"/>
        </w:rPr>
        <w:t xml:space="preserve">If the Agent proposes a change, review the requested confirmation before allowing it.</w:t>
      </w:r>
    </w:p>
    <w:p>
      <w:pPr>
        <w:spacing w:after="40" w:before="70"/>
        <w:ind w:left="403"/>
      </w:pPr>
      <w:r>
        <w:rPr>
          <w:color w:val="8B8FA3"/>
          <w:sz w:val="17"/>
          <w:szCs w:val="17"/>
        </w:rPr>
        <w:t xml:space="preserve">Ref: pro-how-do-i-ask-the-ai-agent-for-help-147</w:t>
      </w:r>
    </w:p>
    <w:p>
      <w:pPr>
        <w:keepNext/>
        <w:spacing w:after="90" w:before="220"/>
      </w:pPr>
      <w:r>
        <w:rPr>
          <w:b/>
          <w:bCs/>
          <w:color w:val="1A1C2E"/>
          <w:sz w:val="24"/>
          <w:szCs w:val="24"/>
        </w:rPr>
        <w:t xml:space="preserve">3.   How are AI Agent conversations managed?</w:t>
      </w:r>
    </w:p>
    <w:p>
      <w:pPr>
        <w:spacing w:after="90"/>
        <w:ind w:left="403"/>
      </w:pPr>
      <w:r>
        <w:rPr>
          <w:sz w:val="22"/>
          <w:szCs w:val="22"/>
        </w:rPr>
        <w:t xml:space="preserve">The Agent keeps separate conversations so a user can return to earlier work without mixing unrelated requests.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 and select New chat when beginning a different question or client context.</w:t>
      </w:r>
    </w:p>
    <w:p>
      <w:pPr>
        <w:pStyle w:val="ListParagraph"/>
        <w:numPr>
          <w:ilvl w:val="0"/>
          <w:numId w:val="2"/>
        </w:numPr>
        <w:spacing w:after="40"/>
        <w:ind w:left="892"/>
      </w:pPr>
      <w:r>
        <w:rPr>
          <w:sz w:val="21"/>
          <w:szCs w:val="21"/>
        </w:rPr>
        <w:t xml:space="preserve">Enter the request and review the Agent's response, sources, links, and any proposed action.</w:t>
      </w:r>
    </w:p>
    <w:p>
      <w:pPr>
        <w:pStyle w:val="ListParagraph"/>
        <w:numPr>
          <w:ilvl w:val="0"/>
          <w:numId w:val="2"/>
        </w:numPr>
        <w:spacing w:after="40"/>
        <w:ind w:left="892"/>
      </w:pPr>
      <w:r>
        <w:rPr>
          <w:sz w:val="21"/>
          <w:szCs w:val="21"/>
        </w:rPr>
        <w:t xml:space="preserve">Use the conversation history to reopen an earlier chat.</w:t>
      </w:r>
    </w:p>
    <w:p>
      <w:pPr>
        <w:pStyle w:val="ListParagraph"/>
        <w:numPr>
          <w:ilvl w:val="0"/>
          <w:numId w:val="2"/>
        </w:numPr>
        <w:spacing w:after="40"/>
        <w:ind w:left="892"/>
      </w:pPr>
      <w:r>
        <w:rPr>
          <w:sz w:val="21"/>
          <w:szCs w:val="21"/>
        </w:rPr>
        <w:t xml:space="preserve">Rename a conversation so its purpose is recognizable later.</w:t>
      </w:r>
    </w:p>
    <w:p>
      <w:pPr>
        <w:pStyle w:val="ListParagraph"/>
        <w:numPr>
          <w:ilvl w:val="0"/>
          <w:numId w:val="2"/>
        </w:numPr>
        <w:spacing w:after="40"/>
        <w:ind w:left="892"/>
      </w:pPr>
      <w:r>
        <w:rPr>
          <w:sz w:val="21"/>
          <w:szCs w:val="21"/>
        </w:rPr>
        <w:t xml:space="preserve">Delete a conversation from its controls when it is no longer needed, following the firm's information-retention expectations.</w:t>
      </w:r>
    </w:p>
    <w:p>
      <w:pPr>
        <w:spacing w:after="40" w:before="70"/>
        <w:ind w:left="403"/>
      </w:pPr>
      <w:r>
        <w:rPr>
          <w:color w:val="8B8FA3"/>
          <w:sz w:val="17"/>
          <w:szCs w:val="17"/>
        </w:rPr>
        <w:t xml:space="preserve">Ref: pro-how-are-ai-agent-conversations-managed-148</w:t>
      </w:r>
    </w:p>
    <w:p>
      <w:pPr>
        <w:keepNext/>
        <w:spacing w:after="90" w:before="220"/>
      </w:pPr>
      <w:r>
        <w:rPr>
          <w:b/>
          <w:bCs/>
          <w:color w:val="1A1C2E"/>
          <w:sz w:val="24"/>
          <w:szCs w:val="24"/>
        </w:rPr>
        <w:t xml:space="preserve">4.   What is AI Agent memory and how can I control it?</w:t>
      </w:r>
    </w:p>
    <w:p>
      <w:pPr>
        <w:spacing w:after="90"/>
        <w:ind w:left="403"/>
      </w:pPr>
      <w:r>
        <w:rPr>
          <w:sz w:val="22"/>
          <w:szCs w:val="22"/>
        </w:rPr>
        <w:t xml:space="preserve">Memory is the context the Agent retains for future conversations. Each user can decide whether the Agent should keep that context and can inspect what has been saved.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 and go to Memory.</w:t>
      </w:r>
    </w:p>
    <w:p>
      <w:pPr>
        <w:pStyle w:val="ListParagraph"/>
        <w:numPr>
          <w:ilvl w:val="0"/>
          <w:numId w:val="2"/>
        </w:numPr>
        <w:spacing w:after="40"/>
        <w:ind w:left="892"/>
      </w:pPr>
      <w:r>
        <w:rPr>
          <w:sz w:val="21"/>
          <w:szCs w:val="21"/>
        </w:rPr>
        <w:t xml:space="preserve">Turn memory on when the Agent should retain useful context for later conversations, or turn it off when nothing should be retained beyond the current session.</w:t>
      </w:r>
    </w:p>
    <w:p>
      <w:pPr>
        <w:pStyle w:val="ListParagraph"/>
        <w:numPr>
          <w:ilvl w:val="0"/>
          <w:numId w:val="2"/>
        </w:numPr>
        <w:spacing w:after="40"/>
        <w:ind w:left="892"/>
      </w:pPr>
      <w:r>
        <w:rPr>
          <w:sz w:val="21"/>
          <w:szCs w:val="21"/>
        </w:rPr>
        <w:t xml:space="preserve">Refresh the list to review the latest saved items.</w:t>
      </w:r>
    </w:p>
    <w:p>
      <w:pPr>
        <w:pStyle w:val="ListParagraph"/>
        <w:numPr>
          <w:ilvl w:val="0"/>
          <w:numId w:val="2"/>
        </w:numPr>
        <w:spacing w:after="40"/>
        <w:ind w:left="892"/>
      </w:pPr>
      <w:r>
        <w:rPr>
          <w:sz w:val="21"/>
          <w:szCs w:val="21"/>
        </w:rPr>
        <w:t xml:space="preserve">Use Forget this to remove one item that should no longer influence future conversations.</w:t>
      </w:r>
    </w:p>
    <w:p>
      <w:pPr>
        <w:pStyle w:val="ListParagraph"/>
        <w:numPr>
          <w:ilvl w:val="0"/>
          <w:numId w:val="2"/>
        </w:numPr>
        <w:spacing w:after="40"/>
        <w:ind w:left="892"/>
      </w:pPr>
      <w:r>
        <w:rPr>
          <w:sz w:val="21"/>
          <w:szCs w:val="21"/>
        </w:rPr>
        <w:t xml:space="preserve">Use Clear all memory to remove every saved item for the user.</w:t>
      </w:r>
    </w:p>
    <w:p>
      <w:pPr>
        <w:spacing w:after="40" w:before="70"/>
        <w:ind w:left="403"/>
      </w:pPr>
      <w:r>
        <w:rPr>
          <w:color w:val="8B8FA3"/>
          <w:sz w:val="17"/>
          <w:szCs w:val="17"/>
        </w:rPr>
        <w:t xml:space="preserve">Ref: pro-what-is-ai-agent-memory-and-how-can-i-control-it-149</w:t>
      </w:r>
    </w:p>
    <w:p>
      <w:pPr>
        <w:keepNext/>
        <w:spacing w:after="90" w:before="220"/>
      </w:pPr>
      <w:r>
        <w:rPr>
          <w:b/>
          <w:bCs/>
          <w:color w:val="1A1C2E"/>
          <w:sz w:val="24"/>
          <w:szCs w:val="24"/>
        </w:rPr>
        <w:t xml:space="preserve">5.   What does Auto-approve low-risk actions do?</w:t>
      </w:r>
    </w:p>
    <w:p>
      <w:pPr>
        <w:spacing w:after="90"/>
        <w:ind w:left="403"/>
      </w:pPr>
      <w:r>
        <w:rPr>
          <w:sz w:val="22"/>
          <w:szCs w:val="22"/>
        </w:rPr>
        <w:t xml:space="preserve">The setting allows the Agent to proceed with actions it classifies as low risk without asking for each approval. Keep it off when the user wants to review every proposed change; higher-impact actions remain subject to the Agent's confirmation behavior.</w:t>
      </w:r>
    </w:p>
    <w:p>
      <w:pPr>
        <w:spacing w:after="90"/>
        <w:ind w:left="403"/>
      </w:pPr>
      <w:r>
        <w:rPr>
          <w:b/>
          <w:bCs/>
          <w:color w:val="4735BE"/>
          <w:sz w:val="18"/>
          <w:szCs w:val="18"/>
        </w:rPr>
        <w:t xml:space="preserve">More   </w:t>
      </w:r>
      <w:r>
        <w:rPr>
          <w:sz w:val="22"/>
          <w:szCs w:val="22"/>
        </w:rPr>
        <w:t xml:space="preserve">Examples of low-risk behavior can differ as the Agent evolves, so review the proposed activity and the firm's policy before enabling it. Leave the option off for users who should approve every change; enabling it should never be treated as authorization for higher-impact actions that still require confirmation.</w:t>
      </w:r>
    </w:p>
    <w:p>
      <w:pPr>
        <w:spacing w:after="40" w:before="70"/>
        <w:ind w:left="403"/>
      </w:pPr>
      <w:r>
        <w:rPr>
          <w:color w:val="8B8FA3"/>
          <w:sz w:val="17"/>
          <w:szCs w:val="17"/>
        </w:rPr>
        <w:t xml:space="preserve">Ref: pro-what-does-auto-approve-low-risk-actions-do-150</w:t>
      </w:r>
    </w:p>
    <w:p>
      <w:pPr>
        <w:keepNext/>
        <w:spacing w:after="90" w:before="220"/>
      </w:pPr>
      <w:r>
        <w:rPr>
          <w:b/>
          <w:bCs/>
          <w:color w:val="1A1C2E"/>
          <w:sz w:val="24"/>
          <w:szCs w:val="24"/>
        </w:rPr>
        <w:t xml:space="preserve">6.   What is the AI-generated daily briefing?</w:t>
      </w:r>
    </w:p>
    <w:p>
      <w:pPr>
        <w:spacing w:after="90"/>
        <w:ind w:left="403"/>
      </w:pPr>
      <w:r>
        <w:rPr>
          <w:sz w:val="22"/>
          <w:szCs w:val="22"/>
        </w:rPr>
        <w:t xml:space="preserve">The Daily briefing turns recent firm activity into quantified insights and direct follow-up paths. For example, it can say that four invoices are overdue, identify payments received, count completed tasks or stage changes, summarize document uploads and client messages, or identify a newly added client. The exact numbers come from the firm's current data and selected time window—not from a fixed sample.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Overview and choose Today, This week, or This month to set the briefing window.</w:t>
      </w:r>
    </w:p>
    <w:p>
      <w:pPr>
        <w:pStyle w:val="ListParagraph"/>
        <w:numPr>
          <w:ilvl w:val="0"/>
          <w:numId w:val="2"/>
        </w:numPr>
        <w:spacing w:after="40"/>
        <w:ind w:left="892"/>
      </w:pPr>
      <w:r>
        <w:rPr>
          <w:sz w:val="21"/>
          <w:szCs w:val="21"/>
        </w:rPr>
        <w:t xml:space="preserve">Read each insight for the count, affected work, and business meaning—for example overdue invoices that need collection activity or uploaded documents that unblock an engagement.</w:t>
      </w:r>
    </w:p>
    <w:p>
      <w:pPr>
        <w:pStyle w:val="ListParagraph"/>
        <w:numPr>
          <w:ilvl w:val="0"/>
          <w:numId w:val="2"/>
        </w:numPr>
        <w:spacing w:after="40"/>
        <w:ind w:left="892"/>
      </w:pPr>
      <w:r>
        <w:rPr>
          <w:sz w:val="21"/>
          <w:szCs w:val="21"/>
        </w:rPr>
        <w:t xml:space="preserve">Select View sources to inspect the records behind the generated summary.</w:t>
      </w:r>
    </w:p>
    <w:p>
      <w:pPr>
        <w:pStyle w:val="ListParagraph"/>
        <w:numPr>
          <w:ilvl w:val="0"/>
          <w:numId w:val="2"/>
        </w:numPr>
        <w:spacing w:after="40"/>
        <w:ind w:left="892"/>
      </w:pPr>
      <w:r>
        <w:rPr>
          <w:sz w:val="21"/>
          <w:szCs w:val="21"/>
        </w:rPr>
        <w:t xml:space="preserve">Use the Next actions links, such as Communication or Documents, to move into the relevant work area.</w:t>
      </w:r>
    </w:p>
    <w:p>
      <w:pPr>
        <w:pStyle w:val="ListParagraph"/>
        <w:numPr>
          <w:ilvl w:val="0"/>
          <w:numId w:val="2"/>
        </w:numPr>
        <w:spacing w:after="40"/>
        <w:ind w:left="892"/>
      </w:pPr>
      <w:r>
        <w:rPr>
          <w:sz w:val="21"/>
          <w:szCs w:val="21"/>
        </w:rPr>
        <w:t xml:space="preserve">Use the connected Overview module tiles as additional action paths: Billing or its Report link opens billing work, Clients opens the client list, Engagements and Bottlenecks open Workflow, and Team load opens the team area.</w:t>
      </w:r>
    </w:p>
    <w:p>
      <w:pPr>
        <w:pStyle w:val="ListParagraph"/>
        <w:numPr>
          <w:ilvl w:val="0"/>
          <w:numId w:val="2"/>
        </w:numPr>
        <w:spacing w:after="40"/>
        <w:ind w:left="892"/>
      </w:pPr>
      <w:r>
        <w:rPr>
          <w:sz w:val="21"/>
          <w:szCs w:val="21"/>
        </w:rPr>
        <w:t xml:space="preserve">Select Re-Generate when the underlying activity has changed and a fresh summary is needed.</w:t>
      </w:r>
    </w:p>
    <w:p>
      <w:pPr>
        <w:spacing w:after="40" w:before="70"/>
        <w:ind w:left="403"/>
      </w:pPr>
      <w:r>
        <w:rPr>
          <w:color w:val="8B8FA3"/>
          <w:sz w:val="17"/>
          <w:szCs w:val="17"/>
        </w:rPr>
        <w:t xml:space="preserve">Search terms: 4 four invoices overdue daily brief insights actions modules   ·   Ref: pro-what-is-the-ai-generated-daily-briefing-151</w:t>
      </w:r>
    </w:p>
    <w:p>
      <w:pPr>
        <w:keepNext/>
        <w:spacing w:after="90" w:before="220"/>
      </w:pPr>
      <w:r>
        <w:rPr>
          <w:b/>
          <w:bCs/>
          <w:color w:val="1A1C2E"/>
          <w:sz w:val="24"/>
          <w:szCs w:val="24"/>
        </w:rPr>
        <w:t xml:space="preserve">7.   What use is tracked in AI Credits?</w:t>
      </w:r>
    </w:p>
    <w:p>
      <w:pPr>
        <w:spacing w:after="90"/>
        <w:ind w:left="403"/>
      </w:pPr>
      <w:r>
        <w:rPr>
          <w:sz w:val="22"/>
          <w:szCs w:val="22"/>
        </w:rPr>
        <w:t xml:space="preserve">AI Credits power the smart features used across AssureOne, including the AI assistant, summaries, drafting, call transcripts, document reading and extraction, and product-specific AI assistance. Every charge is itemized so the firm can see what consumed credits rather than relying only on the remaining balance.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AI Credits.</w:t>
      </w:r>
    </w:p>
    <w:p>
      <w:pPr>
        <w:pStyle w:val="ListParagraph"/>
        <w:numPr>
          <w:ilvl w:val="0"/>
          <w:numId w:val="2"/>
        </w:numPr>
        <w:spacing w:after="40"/>
        <w:ind w:left="892"/>
      </w:pPr>
      <w:r>
        <w:rPr>
          <w:sz w:val="21"/>
          <w:szCs w:val="21"/>
        </w:rPr>
        <w:t xml:space="preserve">Review Available credits and the amount used during the last 30 days.</w:t>
      </w:r>
    </w:p>
    <w:p>
      <w:pPr>
        <w:pStyle w:val="ListParagraph"/>
        <w:numPr>
          <w:ilvl w:val="0"/>
          <w:numId w:val="2"/>
        </w:numPr>
        <w:spacing w:after="40"/>
        <w:ind w:left="892"/>
      </w:pPr>
      <w:r>
        <w:rPr>
          <w:sz w:val="21"/>
          <w:szCs w:val="21"/>
        </w:rPr>
        <w:t xml:space="preserve">Filter activity to All products, Pro, Tax, Audit, or Books.</w:t>
      </w:r>
    </w:p>
    <w:p>
      <w:pPr>
        <w:pStyle w:val="ListParagraph"/>
        <w:numPr>
          <w:ilvl w:val="0"/>
          <w:numId w:val="2"/>
        </w:numPr>
        <w:spacing w:after="40"/>
        <w:ind w:left="892"/>
      </w:pPr>
      <w:r>
        <w:rPr>
          <w:sz w:val="21"/>
          <w:szCs w:val="21"/>
        </w:rPr>
        <w:t xml:space="preserve">Choose All team members or one person to review individual usage.</w:t>
      </w:r>
    </w:p>
    <w:p>
      <w:pPr>
        <w:pStyle w:val="ListParagraph"/>
        <w:numPr>
          <w:ilvl w:val="0"/>
          <w:numId w:val="2"/>
        </w:numPr>
        <w:spacing w:after="40"/>
        <w:ind w:left="892"/>
      </w:pPr>
      <w:r>
        <w:rPr>
          <w:sz w:val="21"/>
          <w:szCs w:val="21"/>
        </w:rPr>
        <w:t xml:space="preserve">Read each row's activity, feature, attributed user, product, date, and credits consumed; use the About control when more context is needed.</w:t>
      </w:r>
    </w:p>
    <w:p>
      <w:pPr>
        <w:pStyle w:val="ListParagraph"/>
        <w:numPr>
          <w:ilvl w:val="0"/>
          <w:numId w:val="2"/>
        </w:numPr>
        <w:spacing w:after="40"/>
        <w:ind w:left="892"/>
      </w:pPr>
      <w:r>
        <w:rPr>
          <w:sz w:val="21"/>
          <w:szCs w:val="21"/>
        </w:rPr>
        <w:t xml:space="preserve">Open Platform Subscription when the firm needs invoices or receipts for purchased credits.</w:t>
      </w:r>
    </w:p>
    <w:p>
      <w:pPr>
        <w:spacing w:after="40" w:before="70"/>
        <w:ind w:left="403"/>
      </w:pPr>
      <w:r>
        <w:rPr>
          <w:color w:val="8B8FA3"/>
          <w:sz w:val="17"/>
          <w:szCs w:val="17"/>
        </w:rPr>
        <w:t xml:space="preserve">Also in Settings   ·   Ref: pro-what-use-is-tracked-in-ai-credits-152</w:t>
      </w:r>
    </w:p>
    <w:p>
      <w:pPr>
        <w:keepNext/>
        <w:spacing w:after="90" w:before="220"/>
      </w:pPr>
      <w:r>
        <w:rPr>
          <w:b/>
          <w:bCs/>
          <w:color w:val="1A1C2E"/>
          <w:sz w:val="24"/>
          <w:szCs w:val="24"/>
        </w:rPr>
        <w:t xml:space="preserve">8.   How much do AI Credits cost, and how are more credits purchased?</w:t>
      </w:r>
    </w:p>
    <w:p>
      <w:pPr>
        <w:spacing w:after="90"/>
        <w:ind w:left="403"/>
      </w:pPr>
      <w:r>
        <w:rPr>
          <w:sz w:val="22"/>
          <w:szCs w:val="22"/>
        </w:rPr>
        <w:t xml:space="preserve">The purchase screen offers $25 for 2,500 credits, $50 for 5,000 credits, and $100 for 10,000 credits, plus a Custom amount option. Credits are billed at the underlying AI cost without a markup, and the firm chooses when to add them.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AI Credits.</w:t>
      </w:r>
    </w:p>
    <w:p>
      <w:pPr>
        <w:pStyle w:val="ListParagraph"/>
        <w:numPr>
          <w:ilvl w:val="0"/>
          <w:numId w:val="2"/>
        </w:numPr>
        <w:spacing w:after="40"/>
        <w:ind w:left="892"/>
      </w:pPr>
      <w:r>
        <w:rPr>
          <w:sz w:val="21"/>
          <w:szCs w:val="21"/>
        </w:rPr>
        <w:t xml:space="preserve">Review the remaining balance and usage for the last 30 days.</w:t>
      </w:r>
    </w:p>
    <w:p>
      <w:pPr>
        <w:pStyle w:val="ListParagraph"/>
        <w:numPr>
          <w:ilvl w:val="0"/>
          <w:numId w:val="2"/>
        </w:numPr>
        <w:spacing w:after="40"/>
        <w:ind w:left="892"/>
      </w:pPr>
      <w:r>
        <w:rPr>
          <w:sz w:val="21"/>
          <w:szCs w:val="21"/>
        </w:rPr>
        <w:t xml:space="preserve">Select Buy credits.</w:t>
      </w:r>
    </w:p>
    <w:p>
      <w:pPr>
        <w:pStyle w:val="ListParagraph"/>
        <w:numPr>
          <w:ilvl w:val="0"/>
          <w:numId w:val="2"/>
        </w:numPr>
        <w:spacing w:after="40"/>
        <w:ind w:left="892"/>
      </w:pPr>
      <w:r>
        <w:rPr>
          <w:sz w:val="21"/>
          <w:szCs w:val="21"/>
        </w:rPr>
        <w:t xml:space="preserve">Choose the $25, $50, or $100 pack, or enter a custom top-up amount.</w:t>
      </w:r>
    </w:p>
    <w:p>
      <w:pPr>
        <w:pStyle w:val="ListParagraph"/>
        <w:numPr>
          <w:ilvl w:val="0"/>
          <w:numId w:val="2"/>
        </w:numPr>
        <w:spacing w:after="40"/>
        <w:ind w:left="892"/>
      </w:pPr>
      <w:r>
        <w:rPr>
          <w:sz w:val="21"/>
          <w:szCs w:val="21"/>
        </w:rPr>
        <w:t xml:space="preserve">Review the number of credits that will be added and the payment method secured by Stripe.</w:t>
      </w:r>
    </w:p>
    <w:p>
      <w:pPr>
        <w:pStyle w:val="ListParagraph"/>
        <w:numPr>
          <w:ilvl w:val="0"/>
          <w:numId w:val="2"/>
        </w:numPr>
        <w:spacing w:after="40"/>
        <w:ind w:left="892"/>
      </w:pPr>
      <w:r>
        <w:rPr>
          <w:sz w:val="21"/>
          <w:szCs w:val="21"/>
        </w:rPr>
        <w:t xml:space="preserve">Complete the purchase only after confirming the amount; the related invoice or receipt is available in Platform Subscription.</w:t>
      </w:r>
    </w:p>
    <w:p>
      <w:pPr>
        <w:spacing w:after="40" w:before="70"/>
        <w:ind w:left="403"/>
      </w:pPr>
      <w:r>
        <w:rPr>
          <w:color w:val="8B8FA3"/>
          <w:sz w:val="17"/>
          <w:szCs w:val="17"/>
        </w:rPr>
        <w:t xml:space="preserve">Also in Settings   ·   Ref: pro-how-much-do-ai-credits-cost-and-how-are-more-credits-purchased-153</w:t>
      </w:r>
    </w:p>
    <w:p>
      <w:pPr>
        <w:keepNext/>
        <w:spacing w:after="90" w:before="220"/>
      </w:pPr>
      <w:r>
        <w:rPr>
          <w:b/>
          <w:bCs/>
          <w:color w:val="1A1C2E"/>
          <w:sz w:val="24"/>
          <w:szCs w:val="24"/>
        </w:rPr>
        <w:t xml:space="preserve">9.   Are AI Credits replenished automatically or included as a monthly allowance?</w:t>
      </w:r>
    </w:p>
    <w:p>
      <w:pPr>
        <w:spacing w:after="60"/>
        <w:ind w:left="403"/>
      </w:pPr>
      <w:r>
        <w:rPr>
          <w:sz w:val="22"/>
          <w:szCs w:val="22"/>
        </w:rPr>
        <w:t xml:space="preserve">No. The firm controls when credits are purchased; AssurePro does not automatically charge the card or reset the balance as a monthly allowance. When the balance is running low, an administrator manually buys another pack or custom amount. As a planning benchmark, a firm with approximately five to ten users using AssurePro plus one additional AssureOne product typically consumes about $50 of AI Credits per month under normal usage, although actual consumption depends on the features and document volume used.</w:t>
      </w:r>
    </w:p>
    <w:p>
      <w:pPr>
        <w:spacing w:after="40" w:before="70"/>
        <w:ind w:left="403"/>
      </w:pPr>
      <w:r>
        <w:rPr>
          <w:color w:val="8B8FA3"/>
          <w:sz w:val="17"/>
          <w:szCs w:val="17"/>
        </w:rPr>
        <w:t xml:space="preserve">Also in Settings   ·   Ref: pro-are-ai-credits-replenished-automatically-or-included-as-a-monthly-allo-154</w:t>
      </w:r>
    </w:p>
    <w:p>
      <w:pPr>
        <w:keepNext/>
        <w:spacing w:after="90" w:before="220"/>
      </w:pPr>
      <w:r>
        <w:rPr>
          <w:b/>
          <w:bCs/>
          <w:color w:val="1A1C2E"/>
          <w:sz w:val="24"/>
          <w:szCs w:val="24"/>
        </w:rPr>
        <w:t xml:space="preserve">10.   What happens when the firm runs out of AI Credits?</w:t>
      </w:r>
    </w:p>
    <w:p>
      <w:pPr>
        <w:spacing w:after="90"/>
        <w:ind w:left="403"/>
      </w:pPr>
      <w:r>
        <w:rPr>
          <w:sz w:val="22"/>
          <w:szCs w:val="22"/>
        </w:rPr>
        <w:t xml:space="preserve">The remaining firm balance is shown in the application header and in Settings &gt; AI Credits. When it reaches zero, activities that depend on AI Credits pause rather than creating an automatic card charge. An administrator can open AI Credits, select Buy credits, complete a pack or custom-amount purchase, and then resume the AI-dependent work.</w:t>
      </w:r>
    </w:p>
    <w:p>
      <w:pPr>
        <w:spacing w:after="90"/>
        <w:ind w:left="403"/>
      </w:pPr>
      <w:r>
        <w:rPr>
          <w:b/>
          <w:bCs/>
          <w:color w:val="4735BE"/>
          <w:sz w:val="18"/>
          <w:szCs w:val="18"/>
        </w:rPr>
        <w:t xml:space="preserve">More   </w:t>
      </w:r>
      <w:r>
        <w:rPr>
          <w:sz w:val="22"/>
          <w:szCs w:val="22"/>
        </w:rPr>
        <w:t xml:space="preserve">To avoid interruption, monitor Available credits and the last-30-days usage rather than only the header badge. If the balance reaches zero during document extraction, drafting, or another smart feature, buy credits, confirm the new balance, and restart the affected action so its result is not assumed to have completed.</w:t>
      </w:r>
    </w:p>
    <w:p>
      <w:pPr>
        <w:spacing w:after="40" w:before="70"/>
        <w:ind w:left="403"/>
      </w:pPr>
      <w:r>
        <w:rPr>
          <w:color w:val="8B8FA3"/>
          <w:sz w:val="17"/>
          <w:szCs w:val="17"/>
        </w:rPr>
        <w:t xml:space="preserve">Also in Settings   ·   Ref: pro-what-happens-when-the-firm-runs-out-of-ai-credits-155</w:t>
      </w:r>
    </w:p>
    <w:p>
      <w:pPr>
        <w:keepNext/>
        <w:spacing w:after="90" w:before="220"/>
      </w:pPr>
      <w:r>
        <w:rPr>
          <w:b/>
          <w:bCs/>
          <w:color w:val="1A1C2E"/>
          <w:sz w:val="24"/>
          <w:szCs w:val="24"/>
        </w:rPr>
        <w:t xml:space="preserve">11.   Can the firm set a spending cap or get an alert before AI Credits run out?</w:t>
      </w:r>
    </w:p>
    <w:p>
      <w:pPr>
        <w:spacing w:after="90"/>
        <w:ind w:left="403"/>
      </w:pPr>
      <w:r>
        <w:rPr>
          <w:sz w:val="22"/>
          <w:szCs w:val="22"/>
        </w:rPr>
        <w:t xml:space="preserve">Not yet. A spending cap and low-balance alert are planned for release by the end of this year. Until those controls are available, administrators should monitor the header balance, the last-30-days usage total, and the per-user Credit activity filter, then purchase credits proactively when the balance approaches the firm's internal threshold.</w:t>
      </w:r>
    </w:p>
    <w:p>
      <w:pPr>
        <w:spacing w:after="90"/>
        <w:ind w:left="403"/>
      </w:pPr>
      <w:r>
        <w:rPr>
          <w:b/>
          <w:bCs/>
          <w:color w:val="4735BE"/>
          <w:sz w:val="18"/>
          <w:szCs w:val="18"/>
        </w:rPr>
        <w:t xml:space="preserve">More   </w:t>
      </w:r>
      <w:r>
        <w:rPr>
          <w:sz w:val="22"/>
          <w:szCs w:val="22"/>
        </w:rPr>
        <w:t xml:space="preserve">Until the planned controls are released, define an internal threshold—for example, enough credits for one normal week—assign one administrator to review usage, and check product and team-member filters regularly. This makes an unexpected spike attributable before the firm purchases another pack.</w:t>
      </w:r>
    </w:p>
    <w:p>
      <w:pPr>
        <w:spacing w:after="40" w:before="70"/>
        <w:ind w:left="403"/>
      </w:pPr>
      <w:r>
        <w:rPr>
          <w:color w:val="8B8FA3"/>
          <w:sz w:val="17"/>
          <w:szCs w:val="17"/>
        </w:rPr>
        <w:t xml:space="preserve">Also in Settings   ·   Ref: pro-can-the-firm-set-a-spending-cap-or-get-an-alert-before-ai-credits-run--156</w:t>
      </w:r>
    </w:p>
    <w:p>
      <w:pPr>
        <w:keepNext/>
        <w:spacing w:after="90" w:before="220"/>
      </w:pPr>
      <w:r>
        <w:rPr>
          <w:b/>
          <w:bCs/>
          <w:color w:val="1A1C2E"/>
          <w:sz w:val="24"/>
          <w:szCs w:val="24"/>
        </w:rPr>
        <w:t xml:space="preserve">12.   Are AI Credits shared across the firm, or does each user have a separate allowance?</w:t>
      </w:r>
    </w:p>
    <w:p>
      <w:pPr>
        <w:spacing w:after="90"/>
        <w:ind w:left="403"/>
      </w:pPr>
      <w:r>
        <w:rPr>
          <w:sz w:val="22"/>
          <w:szCs w:val="22"/>
        </w:rPr>
        <w:t xml:space="preserve">AI Credits are pooled at the firm level rather than issued as a separate allowance for each seat. Administrators can still attribute consumption by selecting a team member in Settings &gt; AI Credits and reviewing the activity, feature, product, date, and credits charged. A per-user cap is planned alongside the spending-cap and low-balance controls.</w:t>
      </w:r>
    </w:p>
    <w:p>
      <w:pPr>
        <w:spacing w:after="90"/>
        <w:ind w:left="403"/>
      </w:pPr>
      <w:r>
        <w:rPr>
          <w:b/>
          <w:bCs/>
          <w:color w:val="4735BE"/>
          <w:sz w:val="18"/>
          <w:szCs w:val="18"/>
        </w:rPr>
        <w:t xml:space="preserve">More   </w:t>
      </w:r>
      <w:r>
        <w:rPr>
          <w:sz w:val="22"/>
          <w:szCs w:val="22"/>
        </w:rPr>
        <w:t xml:space="preserve">Because the balance is pooled, heavy use in Tax, Audit, Books, or Pro reduces the same firm balance. Product filters show where consumption occurred and the team-member filter shows who initiated it, helping administrators coach usage even before per-user caps are available.</w:t>
      </w:r>
    </w:p>
    <w:p>
      <w:pPr>
        <w:spacing w:after="40" w:before="70"/>
        <w:ind w:left="403"/>
      </w:pPr>
      <w:r>
        <w:rPr>
          <w:color w:val="8B8FA3"/>
          <w:sz w:val="17"/>
          <w:szCs w:val="17"/>
        </w:rPr>
        <w:t xml:space="preserve">Also in Settings   ·   Ref: pro-are-ai-credits-shared-across-the-firm-or-does-each-user-have-a-separat-157</w:t>
      </w:r>
    </w:p>
    <w:p>
      <w:pPr>
        <w:keepNext/>
        <w:spacing w:after="90" w:before="220"/>
      </w:pPr>
      <w:r>
        <w:rPr>
          <w:b/>
          <w:bCs/>
          <w:color w:val="1A1C2E"/>
          <w:sz w:val="24"/>
          <w:szCs w:val="24"/>
        </w:rPr>
        <w:t xml:space="preserve">13.   Can we control what data the AI Agent retains?</w:t>
      </w:r>
    </w:p>
    <w:p>
      <w:pPr>
        <w:spacing w:after="90"/>
        <w:ind w:left="403"/>
      </w:pPr>
      <w:r>
        <w:rPr>
          <w:sz w:val="22"/>
          <w:szCs w:val="22"/>
        </w:rPr>
        <w:t xml:space="preserve">Yes. Each user controls retention through AI Agent Memory. Turn Memory on when the Agent should keep useful context for future conversations, or turn it off when nothing should be retained beyond the current session. The user can also inspect saved items, remove one item with Forget this, or erase all saved Agent context with Clear all memory.</w:t>
      </w:r>
    </w:p>
    <w:p>
      <w:pPr>
        <w:spacing w:after="90"/>
        <w:ind w:left="403"/>
      </w:pPr>
      <w:r>
        <w:rPr>
          <w:b/>
          <w:bCs/>
          <w:color w:val="4735BE"/>
          <w:sz w:val="18"/>
          <w:szCs w:val="18"/>
        </w:rPr>
        <w:t xml:space="preserve">More   </w:t>
      </w:r>
      <w:r>
        <w:rPr>
          <w:sz w:val="22"/>
          <w:szCs w:val="22"/>
        </w:rPr>
        <w:t xml:space="preserve">For example, keep a stable firm preference only when it will help future conversations, but forget temporary client-specific context when it is no longer appropriate. Review Memory periodically and use Clear all memory when the user wants to reset the Agent's retained context completely.</w:t>
      </w:r>
    </w:p>
    <w:p>
      <w:pPr>
        <w:spacing w:after="40" w:before="70"/>
        <w:ind w:left="403"/>
      </w:pPr>
      <w:r>
        <w:rPr>
          <w:color w:val="8B8FA3"/>
          <w:sz w:val="17"/>
          <w:szCs w:val="17"/>
        </w:rPr>
        <w:t xml:space="preserve">Ref: pro-can-we-control-what-data-the-ai-agent-retains-158</w:t>
      </w:r>
    </w:p>
    <w:p>
      <w:pPr>
        <w:keepNext/>
        <w:spacing w:after="90" w:before="220"/>
      </w:pPr>
      <w:r>
        <w:rPr>
          <w:b/>
          <w:bCs/>
          <w:color w:val="1A1C2E"/>
          <w:sz w:val="24"/>
          <w:szCs w:val="24"/>
        </w:rPr>
        <w:t xml:space="preserve">14.   Can an AI Agent action be undone, and is there an audit trail of what it did?</w:t>
      </w:r>
    </w:p>
    <w:p>
      <w:pPr>
        <w:spacing w:after="60"/>
        <w:ind w:left="403"/>
      </w:pPr>
      <w:r>
        <w:rPr>
          <w:sz w:val="22"/>
          <w:szCs w:val="22"/>
        </w:rPr>
        <w:t xml:space="preserve">An Agent action cannot be undone after it is completed, so the Agent asks for confirmation before higher-impact changes; Auto-approve low-risk actions is a separate user-controlled setting. Review the proposed change carefully before confirming it. A full Agent activity trail is available through Settings &gt; AI Credits, where administrators can inspect the activity, feature, attributed user, product, date, and credit usage.</w:t>
      </w:r>
    </w:p>
    <w:p>
      <w:pPr>
        <w:spacing w:after="40" w:before="70"/>
        <w:ind w:left="403"/>
      </w:pPr>
      <w:r>
        <w:rPr>
          <w:color w:val="8B8FA3"/>
          <w:sz w:val="17"/>
          <w:szCs w:val="17"/>
        </w:rPr>
        <w:t xml:space="preserve">Also in Settings   ·   Ref: pro-can-an-ai-agent-action-be-undone-and-is-there-an-audit-trail-of-what-i-159</w:t>
      </w:r>
    </w:p>
    <w:p>
      <w:pPr>
        <w:keepNext/>
        <w:spacing w:after="90" w:before="220"/>
      </w:pPr>
      <w:r>
        <w:rPr>
          <w:b/>
          <w:bCs/>
          <w:color w:val="1A1C2E"/>
          <w:sz w:val="24"/>
          <w:szCs w:val="24"/>
        </w:rPr>
        <w:t xml:space="preserve">15.   Do unused AI Credits expire or roll over?</w:t>
      </w:r>
    </w:p>
    <w:p>
      <w:pPr>
        <w:spacing w:after="90"/>
        <w:ind w:left="403"/>
      </w:pPr>
      <w:r>
        <w:rPr>
          <w:sz w:val="22"/>
          <w:szCs w:val="22"/>
        </w:rPr>
        <w:t xml:space="preserve">AI Credits never expire and do not reset at the end of a month or subscription cycle. The unused balance remains available to the firm until it is consumed, so there is no rollover calculation and no need to spend credits before a renewal date.</w:t>
      </w:r>
    </w:p>
    <w:p>
      <w:pPr>
        <w:spacing w:after="90"/>
        <w:ind w:left="403"/>
      </w:pPr>
      <w:r>
        <w:rPr>
          <w:b/>
          <w:bCs/>
          <w:color w:val="4735BE"/>
          <w:sz w:val="18"/>
          <w:szCs w:val="18"/>
        </w:rPr>
        <w:t xml:space="preserve">More   </w:t>
      </w:r>
      <w:r>
        <w:rPr>
          <w:sz w:val="22"/>
          <w:szCs w:val="22"/>
        </w:rPr>
        <w:t xml:space="preserve">For example, if a firm buys 5,000 credits and uses only 3,500 during the month, the remaining 1,500 stay in the balance for later work. Since there is no monthly reset, administrators can buy based on expected usage rather than spending credits to avoid forfeiture.</w:t>
      </w:r>
    </w:p>
    <w:p>
      <w:pPr>
        <w:spacing w:after="40" w:before="70"/>
        <w:ind w:left="403"/>
      </w:pPr>
      <w:r>
        <w:rPr>
          <w:color w:val="8B8FA3"/>
          <w:sz w:val="17"/>
          <w:szCs w:val="17"/>
        </w:rPr>
        <w:t xml:space="preserve">Also in Settings   ·   Ref: pro-do-unused-ai-credits-expire-or-roll-over-160</w:t>
      </w:r>
    </w:p>
    <w:p>
      <w:r>
        <w:br w:type="page"/>
      </w:r>
    </w:p>
    <w:p>
      <w:pPr>
        <w:pStyle w:val="Heading1"/>
        <w:spacing w:after="40" w:before="60"/>
      </w:pPr>
      <w:r>
        <w:rPr>
          <w:b/>
          <w:bCs/>
          <w:color w:val="1A1C2E"/>
          <w:sz w:val="32"/>
          <w:szCs w:val="32"/>
        </w:rPr>
        <w:t xml:space="preserve">Integrations &amp; security</w:t>
      </w:r>
    </w:p>
    <w:p>
      <w:pPr>
        <w:pBdr>
          <w:bottom w:val="single" w:color="E4E2F0" w:sz="4"/>
        </w:pBdr>
        <w:spacing w:after="200"/>
      </w:pPr>
      <w:r>
        <w:rPr>
          <w:color w:val="8B8FA3"/>
          <w:sz w:val="20"/>
          <w:szCs w:val="20"/>
        </w:rPr>
        <w:t xml:space="preserve">12 questions</w:t>
      </w:r>
    </w:p>
    <w:p>
      <w:pPr>
        <w:keepNext/>
        <w:spacing w:after="90" w:before="220"/>
      </w:pPr>
      <w:r>
        <w:rPr>
          <w:b/>
          <w:bCs/>
          <w:color w:val="1A1C2E"/>
          <w:sz w:val="24"/>
          <w:szCs w:val="24"/>
        </w:rPr>
        <w:t xml:space="preserve">1.   Which third-party services can be connected?</w:t>
      </w:r>
    </w:p>
    <w:p>
      <w:pPr>
        <w:spacing w:after="90"/>
        <w:ind w:left="403"/>
      </w:pPr>
      <w:r>
        <w:rPr>
          <w:sz w:val="22"/>
          <w:szCs w:val="22"/>
        </w:rPr>
        <w:t xml:space="preserve">Open Settings &gt; Integrations to connect the external services the firm uses for communication, scheduling, documents, payments, and accounting.</w:t>
      </w:r>
    </w:p>
    <w:p>
      <w:pPr>
        <w:spacing w:after="90"/>
        <w:ind w:left="403"/>
      </w:pPr>
      <w:r>
        <w:rPr>
          <w:b/>
          <w:bCs/>
          <w:color w:val="4735BE"/>
          <w:sz w:val="18"/>
          <w:szCs w:val="18"/>
        </w:rPr>
        <w:t xml:space="preserve">More   </w:t>
      </w:r>
      <w:r>
        <w:rPr>
          <w:sz w:val="22"/>
          <w:szCs w:val="22"/>
        </w:rPr>
        <w:t xml:space="preserve">Choose the provider by workflow: Gmail or Outlook for firm email, Calendly or a calendar provider for meetings, Dropbox or OneDrive for documents, the payment processor for client collections, QuickBooks Online for paid-invoice accounting, Twilio for SMS, and ProdAff for its supported connection. A provider showing in the list is not enough—complete authorization and test the dependent workflow.</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Email: connect Gmail or Outlook so authorized users can work with firm email inside the supported AssurePro communication flows.</w:t>
      </w:r>
    </w:p>
    <w:p>
      <w:pPr>
        <w:pStyle w:val="ListParagraph"/>
        <w:numPr>
          <w:ilvl w:val="0"/>
          <w:numId w:val="2"/>
        </w:numPr>
        <w:spacing w:after="40"/>
        <w:ind w:left="892"/>
      </w:pPr>
      <w:r>
        <w:rPr>
          <w:sz w:val="21"/>
          <w:szCs w:val="21"/>
        </w:rPr>
        <w:t xml:space="preserve">Scheduling and calendars: connect Calendly, Google Calendar, or Outlook Calendar for the supported meeting and calendar workflows.</w:t>
      </w:r>
    </w:p>
    <w:p>
      <w:pPr>
        <w:pStyle w:val="ListParagraph"/>
        <w:numPr>
          <w:ilvl w:val="0"/>
          <w:numId w:val="2"/>
        </w:numPr>
        <w:spacing w:after="40"/>
        <w:ind w:left="892"/>
      </w:pPr>
      <w:r>
        <w:rPr>
          <w:sz w:val="21"/>
          <w:szCs w:val="21"/>
        </w:rPr>
        <w:t xml:space="preserve">Document storage: connect Dropbox or OneDrive so staff can import client files and use the available connected-folder workflows.</w:t>
      </w:r>
    </w:p>
    <w:p>
      <w:pPr>
        <w:pStyle w:val="ListParagraph"/>
        <w:numPr>
          <w:ilvl w:val="0"/>
          <w:numId w:val="2"/>
        </w:numPr>
        <w:spacing w:after="40"/>
        <w:ind w:left="892"/>
      </w:pPr>
      <w:r>
        <w:rPr>
          <w:sz w:val="21"/>
          <w:szCs w:val="21"/>
        </w:rPr>
        <w:t xml:space="preserve">Payments: connect the available payment processor before sending invoices that clients should be able to pay electronically.</w:t>
      </w:r>
    </w:p>
    <w:p>
      <w:pPr>
        <w:pStyle w:val="ListParagraph"/>
        <w:numPr>
          <w:ilvl w:val="0"/>
          <w:numId w:val="2"/>
        </w:numPr>
        <w:spacing w:after="40"/>
        <w:ind w:left="892"/>
      </w:pPr>
      <w:r>
        <w:rPr>
          <w:sz w:val="21"/>
          <w:szCs w:val="21"/>
        </w:rPr>
        <w:t xml:space="preserve">Accounting: connect QuickBooks Online when paid-invoice information should flow into the firm's accounting process.</w:t>
      </w:r>
    </w:p>
    <w:p>
      <w:pPr>
        <w:pStyle w:val="ListParagraph"/>
        <w:numPr>
          <w:ilvl w:val="0"/>
          <w:numId w:val="2"/>
        </w:numPr>
        <w:spacing w:after="40"/>
        <w:ind w:left="892"/>
      </w:pPr>
      <w:r>
        <w:rPr>
          <w:sz w:val="21"/>
          <w:szCs w:val="21"/>
        </w:rPr>
        <w:t xml:space="preserve">SMS: connect Twilio and configure the firm's phone-number setup before using text-message workflows.</w:t>
      </w:r>
    </w:p>
    <w:p>
      <w:pPr>
        <w:pStyle w:val="ListParagraph"/>
        <w:numPr>
          <w:ilvl w:val="0"/>
          <w:numId w:val="2"/>
        </w:numPr>
        <w:spacing w:after="40"/>
        <w:ind w:left="892"/>
      </w:pPr>
      <w:r>
        <w:rPr>
          <w:sz w:val="21"/>
          <w:szCs w:val="21"/>
        </w:rPr>
        <w:t xml:space="preserve">Other available connection: ProdAff can be connected for its supported workflow.</w:t>
      </w:r>
    </w:p>
    <w:p>
      <w:pPr>
        <w:pStyle w:val="ListParagraph"/>
        <w:numPr>
          <w:ilvl w:val="0"/>
          <w:numId w:val="2"/>
        </w:numPr>
        <w:spacing w:after="40"/>
        <w:ind w:left="892"/>
      </w:pPr>
      <w:r>
        <w:rPr>
          <w:sz w:val="21"/>
          <w:szCs w:val="21"/>
        </w:rPr>
        <w:t xml:space="preserve">After authorizing a provider, return to the dependent AssurePro area and test the complete workflow; a Connected label confirms authorization, while a successful email, calendar event, import, payment, sync, or SMS confirms that the connection is usable.</w:t>
      </w:r>
    </w:p>
    <w:p>
      <w:pPr>
        <w:spacing w:after="40" w:before="70"/>
        <w:ind w:left="403"/>
      </w:pPr>
      <w:r>
        <w:rPr>
          <w:color w:val="8B8FA3"/>
          <w:sz w:val="17"/>
          <w:szCs w:val="17"/>
        </w:rPr>
        <w:t xml:space="preserve">Also in Settings   ·   Ref: pro-which-third-party-services-can-be-connected-161</w:t>
      </w:r>
    </w:p>
    <w:p>
      <w:pPr>
        <w:keepNext/>
        <w:spacing w:after="90" w:before="220"/>
      </w:pPr>
      <w:r>
        <w:rPr>
          <w:b/>
          <w:bCs/>
          <w:color w:val="1A1C2E"/>
          <w:sz w:val="24"/>
          <w:szCs w:val="24"/>
        </w:rPr>
        <w:t xml:space="preserve">2.   How do I connect an integration?</w:t>
      </w:r>
    </w:p>
    <w:p>
      <w:pPr>
        <w:spacing w:after="90"/>
        <w:ind w:left="403"/>
      </w:pPr>
      <w:r>
        <w:rPr>
          <w:sz w:val="22"/>
          <w:szCs w:val="22"/>
        </w:rPr>
        <w:t xml:space="preserve">Connections are managed by provider in Settings.</w:t>
      </w:r>
    </w:p>
    <w:p>
      <w:pPr>
        <w:spacing w:after="90"/>
        <w:ind w:left="403"/>
      </w:pPr>
      <w:r>
        <w:rPr>
          <w:b/>
          <w:bCs/>
          <w:color w:val="4735BE"/>
          <w:sz w:val="18"/>
          <w:szCs w:val="18"/>
        </w:rPr>
        <w:t xml:space="preserve">More   </w:t>
      </w:r>
      <w:r>
        <w:rPr>
          <w:sz w:val="22"/>
          <w:szCs w:val="22"/>
        </w:rPr>
        <w:t xml:space="preserve">Use a firm-controlled provider account with the permissions required for the workflow, not an individual's temporary test account. After authorization, confirm the connected identity and run a safe test—for example, import a non-sensitive demo file, send an internal test email, or reconcile a controlled invoice—before enabling client-facing use.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Integrations.</w:t>
      </w:r>
    </w:p>
    <w:p>
      <w:pPr>
        <w:pStyle w:val="ListParagraph"/>
        <w:numPr>
          <w:ilvl w:val="0"/>
          <w:numId w:val="2"/>
        </w:numPr>
        <w:spacing w:after="40"/>
        <w:ind w:left="892"/>
      </w:pPr>
      <w:r>
        <w:rPr>
          <w:sz w:val="21"/>
          <w:szCs w:val="21"/>
        </w:rPr>
        <w:t xml:space="preserve">Find the email, calendar, storage, payment, accounting, messaging, or other provider needed by the firm.</w:t>
      </w:r>
    </w:p>
    <w:p>
      <w:pPr>
        <w:pStyle w:val="ListParagraph"/>
        <w:numPr>
          <w:ilvl w:val="0"/>
          <w:numId w:val="2"/>
        </w:numPr>
        <w:spacing w:after="40"/>
        <w:ind w:left="892"/>
      </w:pPr>
      <w:r>
        <w:rPr>
          <w:sz w:val="21"/>
          <w:szCs w:val="21"/>
        </w:rPr>
        <w:t xml:space="preserve">Select Connect and complete the provider's authorization flow.</w:t>
      </w:r>
    </w:p>
    <w:p>
      <w:pPr>
        <w:pStyle w:val="ListParagraph"/>
        <w:numPr>
          <w:ilvl w:val="0"/>
          <w:numId w:val="2"/>
        </w:numPr>
        <w:spacing w:after="40"/>
        <w:ind w:left="892"/>
      </w:pPr>
      <w:r>
        <w:rPr>
          <w:sz w:val="21"/>
          <w:szCs w:val="21"/>
        </w:rPr>
        <w:t xml:space="preserve">Return to AssurePro and confirm that the provider shows as connected.</w:t>
      </w:r>
    </w:p>
    <w:p>
      <w:pPr>
        <w:pStyle w:val="ListParagraph"/>
        <w:numPr>
          <w:ilvl w:val="0"/>
          <w:numId w:val="2"/>
        </w:numPr>
        <w:spacing w:after="40"/>
        <w:ind w:left="892"/>
      </w:pPr>
      <w:r>
        <w:rPr>
          <w:sz w:val="21"/>
          <w:szCs w:val="21"/>
        </w:rPr>
        <w:t xml:space="preserve">Test the corresponding workflow before relying on it for client work.</w:t>
      </w:r>
    </w:p>
    <w:p>
      <w:pPr>
        <w:spacing w:after="40" w:before="70"/>
        <w:ind w:left="403"/>
      </w:pPr>
      <w:r>
        <w:rPr>
          <w:color w:val="8B8FA3"/>
          <w:sz w:val="17"/>
          <w:szCs w:val="17"/>
        </w:rPr>
        <w:t xml:space="preserve">Also in Settings   ·   Ref: pro-how-do-i-connect-an-integration-162</w:t>
      </w:r>
    </w:p>
    <w:p>
      <w:pPr>
        <w:keepNext/>
        <w:spacing w:after="90" w:before="220"/>
      </w:pPr>
      <w:r>
        <w:rPr>
          <w:b/>
          <w:bCs/>
          <w:color w:val="1A1C2E"/>
          <w:sz w:val="24"/>
          <w:szCs w:val="24"/>
        </w:rPr>
        <w:t xml:space="preserve">3.   Which workflows require a connected service?</w:t>
      </w:r>
    </w:p>
    <w:p>
      <w:pPr>
        <w:spacing w:after="90"/>
        <w:ind w:left="403"/>
      </w:pPr>
      <w:r>
        <w:rPr>
          <w:sz w:val="22"/>
          <w:szCs w:val="22"/>
        </w:rPr>
        <w:t xml:space="preserve">Cloud document import requires Dropbox or OneDrive; client SMS requires Twilio and a firm phone number; calendar matching uses Calendly, Google Calendar, or Outlook Calendar; email connections use Gmail or Outlook; client payment collection uses the payment processor; and paid-invoice accounting sync uses QuickBooks Online. The available behavior depends on the relevant connection being active.</w:t>
      </w:r>
    </w:p>
    <w:p>
      <w:pPr>
        <w:spacing w:after="90"/>
        <w:ind w:left="403"/>
      </w:pPr>
      <w:r>
        <w:rPr>
          <w:b/>
          <w:bCs/>
          <w:color w:val="4735BE"/>
          <w:sz w:val="18"/>
          <w:szCs w:val="18"/>
        </w:rPr>
        <w:t xml:space="preserve">More   </w:t>
      </w:r>
      <w:r>
        <w:rPr>
          <w:sz w:val="22"/>
          <w:szCs w:val="22"/>
        </w:rPr>
        <w:t xml:space="preserve">Example: selecting Import without Dropbox or OneDrive sends the user toward Integrations; SMS cannot operate without Twilio and a linked number; and client payment collection depends on the payment processor. Document the owner of each connection because an expired authorization can interrupt several staff members at once.</w:t>
      </w:r>
    </w:p>
    <w:p>
      <w:pPr>
        <w:spacing w:after="40" w:before="70"/>
        <w:ind w:left="403"/>
      </w:pPr>
      <w:r>
        <w:rPr>
          <w:color w:val="8B8FA3"/>
          <w:sz w:val="17"/>
          <w:szCs w:val="17"/>
        </w:rPr>
        <w:t xml:space="preserve">Also in Settings   ·   Ref: pro-which-workflows-require-a-connected-service-163</w:t>
      </w:r>
    </w:p>
    <w:p>
      <w:pPr>
        <w:keepNext/>
        <w:spacing w:after="90" w:before="220"/>
      </w:pPr>
      <w:r>
        <w:rPr>
          <w:b/>
          <w:bCs/>
          <w:color w:val="1A1C2E"/>
          <w:sz w:val="24"/>
          <w:szCs w:val="24"/>
        </w:rPr>
        <w:t xml:space="preserve">4.   What is the Tax Connector?</w:t>
      </w:r>
    </w:p>
    <w:p>
      <w:pPr>
        <w:spacing w:after="90"/>
        <w:ind w:left="403"/>
      </w:pPr>
      <w:r>
        <w:rPr>
          <w:sz w:val="22"/>
          <w:szCs w:val="22"/>
        </w:rPr>
        <w:t xml:space="preserve">Tax Connector approves Windows computers that import supported tax-software data into AssureTax. A pairing code expires after ten minutes, each approved computer receives its own revocable import-only credential, and the connected-computer list records status, last seen, credential expiry, platform, and app version.</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Tax Connector.</w:t>
      </w:r>
    </w:p>
    <w:p>
      <w:pPr>
        <w:pStyle w:val="ListParagraph"/>
        <w:numPr>
          <w:ilvl w:val="0"/>
          <w:numId w:val="2"/>
        </w:numPr>
        <w:spacing w:after="40"/>
        <w:ind w:left="892"/>
      </w:pPr>
      <w:r>
        <w:rPr>
          <w:sz w:val="21"/>
          <w:szCs w:val="21"/>
        </w:rPr>
        <w:t xml:space="preserve">Enter the pairing code displayed by the Tax Connector within its ten-minute validity window.</w:t>
      </w:r>
    </w:p>
    <w:p>
      <w:pPr>
        <w:pStyle w:val="ListParagraph"/>
        <w:numPr>
          <w:ilvl w:val="0"/>
          <w:numId w:val="2"/>
        </w:numPr>
        <w:spacing w:after="40"/>
        <w:ind w:left="892"/>
      </w:pPr>
      <w:r>
        <w:rPr>
          <w:sz w:val="21"/>
          <w:szCs w:val="21"/>
        </w:rPr>
        <w:t xml:space="preserve">Select Approve computer, or Deny when the request is not recognized.</w:t>
      </w:r>
    </w:p>
    <w:p>
      <w:pPr>
        <w:pStyle w:val="ListParagraph"/>
        <w:numPr>
          <w:ilvl w:val="0"/>
          <w:numId w:val="2"/>
        </w:numPr>
        <w:spacing w:after="40"/>
        <w:ind w:left="892"/>
      </w:pPr>
      <w:r>
        <w:rPr>
          <w:sz w:val="21"/>
          <w:szCs w:val="21"/>
        </w:rPr>
        <w:t xml:space="preserve">Review the computer under Connected computers.</w:t>
      </w:r>
    </w:p>
    <w:p>
      <w:pPr>
        <w:pStyle w:val="ListParagraph"/>
        <w:numPr>
          <w:ilvl w:val="0"/>
          <w:numId w:val="2"/>
        </w:numPr>
        <w:spacing w:after="40"/>
        <w:ind w:left="892"/>
      </w:pPr>
      <w:r>
        <w:rPr>
          <w:sz w:val="21"/>
          <w:szCs w:val="21"/>
        </w:rPr>
        <w:t xml:space="preserve">Use Revoke to remove an active computer; revocation takes effect on its next connector request.</w:t>
      </w:r>
    </w:p>
    <w:p>
      <w:pPr>
        <w:spacing w:after="40" w:before="70"/>
        <w:ind w:left="403"/>
      </w:pPr>
      <w:r>
        <w:rPr>
          <w:color w:val="8B8FA3"/>
          <w:sz w:val="17"/>
          <w:szCs w:val="17"/>
        </w:rPr>
        <w:t xml:space="preserve">Also in Settings   ·   Ref: pro-what-is-the-tax-connector-164</w:t>
      </w:r>
    </w:p>
    <w:p>
      <w:pPr>
        <w:keepNext/>
        <w:spacing w:after="90" w:before="220"/>
      </w:pPr>
      <w:r>
        <w:rPr>
          <w:b/>
          <w:bCs/>
          <w:color w:val="1A1C2E"/>
          <w:sz w:val="24"/>
          <w:szCs w:val="24"/>
        </w:rPr>
        <w:t xml:space="preserve">5.   How are shared firm and client credentials handled?</w:t>
      </w:r>
    </w:p>
    <w:p>
      <w:pPr>
        <w:spacing w:after="90"/>
        <w:ind w:left="403"/>
      </w:pPr>
      <w:r>
        <w:rPr>
          <w:sz w:val="22"/>
          <w:szCs w:val="22"/>
        </w:rPr>
        <w:t xml:space="preserve">Firm Credentials stores internal shared logins, while each client workspace has its own Credentials tab. The interface states that secrets are encrypted at rest with AES-256, only engagement owners can reveal them, and every reveal is logged.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Credentials for a firm-wide internal tool, or open the client's Credentials tab for a client-specific login.</w:t>
      </w:r>
    </w:p>
    <w:p>
      <w:pPr>
        <w:pStyle w:val="ListParagraph"/>
        <w:numPr>
          <w:ilvl w:val="0"/>
          <w:numId w:val="2"/>
        </w:numPr>
        <w:spacing w:after="40"/>
        <w:ind w:left="892"/>
      </w:pPr>
      <w:r>
        <w:rPr>
          <w:sz w:val="21"/>
          <w:szCs w:val="21"/>
        </w:rPr>
        <w:t xml:space="preserve">Select Add your first credential or the corresponding add action.</w:t>
      </w:r>
    </w:p>
    <w:p>
      <w:pPr>
        <w:pStyle w:val="ListParagraph"/>
        <w:numPr>
          <w:ilvl w:val="0"/>
          <w:numId w:val="2"/>
        </w:numPr>
        <w:spacing w:after="40"/>
        <w:ind w:left="892"/>
      </w:pPr>
      <w:r>
        <w:rPr>
          <w:sz w:val="21"/>
          <w:szCs w:val="21"/>
        </w:rPr>
        <w:t xml:space="preserve">Enter the service and credential details in the form.</w:t>
      </w:r>
    </w:p>
    <w:p>
      <w:pPr>
        <w:pStyle w:val="ListParagraph"/>
        <w:numPr>
          <w:ilvl w:val="0"/>
          <w:numId w:val="2"/>
        </w:numPr>
        <w:spacing w:after="40"/>
        <w:ind w:left="892"/>
      </w:pPr>
      <w:r>
        <w:rPr>
          <w:sz w:val="21"/>
          <w:szCs w:val="21"/>
        </w:rPr>
        <w:t xml:space="preserve">Limit reveal access through engagement ownership and team permissions.</w:t>
      </w:r>
    </w:p>
    <w:p>
      <w:pPr>
        <w:pStyle w:val="ListParagraph"/>
        <w:numPr>
          <w:ilvl w:val="0"/>
          <w:numId w:val="2"/>
        </w:numPr>
        <w:spacing w:after="40"/>
        <w:ind w:left="892"/>
      </w:pPr>
      <w:r>
        <w:rPr>
          <w:sz w:val="21"/>
          <w:szCs w:val="21"/>
        </w:rPr>
        <w:t xml:space="preserve">Use the recorded reveal history when access needs to be audited.</w:t>
      </w:r>
    </w:p>
    <w:p>
      <w:pPr>
        <w:spacing w:after="40" w:before="70"/>
        <w:ind w:left="403"/>
      </w:pPr>
      <w:r>
        <w:rPr>
          <w:color w:val="8B8FA3"/>
          <w:sz w:val="17"/>
          <w:szCs w:val="17"/>
        </w:rPr>
        <w:t xml:space="preserve">Also in Settings   ·   Ref: pro-how-are-shared-firm-and-client-credentials-handled-165</w:t>
      </w:r>
    </w:p>
    <w:p>
      <w:pPr>
        <w:keepNext/>
        <w:spacing w:after="90" w:before="220"/>
      </w:pPr>
      <w:r>
        <w:rPr>
          <w:b/>
          <w:bCs/>
          <w:color w:val="1A1C2E"/>
          <w:sz w:val="24"/>
          <w:szCs w:val="24"/>
        </w:rPr>
        <w:t xml:space="preserve">6.   What can users manage in Security settings?</w:t>
      </w:r>
    </w:p>
    <w:p>
      <w:pPr>
        <w:spacing w:after="90"/>
        <w:ind w:left="403"/>
      </w:pPr>
      <w:r>
        <w:rPr>
          <w:sz w:val="22"/>
          <w:szCs w:val="22"/>
        </w:rPr>
        <w:t xml:space="preserve">Security currently provides password change for the signed-in user. It requires the current password, a new password of at least eight characters, and confirmation; show-password controls are available for checking the entries.</w:t>
      </w:r>
    </w:p>
    <w:p>
      <w:pPr>
        <w:spacing w:after="90"/>
        <w:ind w:left="403"/>
      </w:pPr>
      <w:r>
        <w:rPr>
          <w:b/>
          <w:bCs/>
          <w:color w:val="4735BE"/>
          <w:sz w:val="18"/>
          <w:szCs w:val="18"/>
        </w:rPr>
        <w:t xml:space="preserve">More   </w:t>
      </w:r>
      <w:r>
        <w:rPr>
          <w:sz w:val="22"/>
          <w:szCs w:val="22"/>
        </w:rPr>
        <w:t xml:space="preserve">Use a unique password that meets the minimum length and the firm's internal policy, confirm the entry with the show controls when needed, and store it only in the firm's approved password manager. Changing the password affects the signed-in user's account; it does not change team roles, product access, or client portal credentials.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Security.</w:t>
      </w:r>
    </w:p>
    <w:p>
      <w:pPr>
        <w:pStyle w:val="ListParagraph"/>
        <w:numPr>
          <w:ilvl w:val="0"/>
          <w:numId w:val="2"/>
        </w:numPr>
        <w:spacing w:after="40"/>
        <w:ind w:left="892"/>
      </w:pPr>
      <w:r>
        <w:rPr>
          <w:sz w:val="21"/>
          <w:szCs w:val="21"/>
        </w:rPr>
        <w:t xml:space="preserve">Enter the Current Password.</w:t>
      </w:r>
    </w:p>
    <w:p>
      <w:pPr>
        <w:pStyle w:val="ListParagraph"/>
        <w:numPr>
          <w:ilvl w:val="0"/>
          <w:numId w:val="2"/>
        </w:numPr>
        <w:spacing w:after="40"/>
        <w:ind w:left="892"/>
      </w:pPr>
      <w:r>
        <w:rPr>
          <w:sz w:val="21"/>
          <w:szCs w:val="21"/>
        </w:rPr>
        <w:t xml:space="preserve">Enter and confirm the new password.</w:t>
      </w:r>
    </w:p>
    <w:p>
      <w:pPr>
        <w:pStyle w:val="ListParagraph"/>
        <w:numPr>
          <w:ilvl w:val="0"/>
          <w:numId w:val="2"/>
        </w:numPr>
        <w:spacing w:after="40"/>
        <w:ind w:left="892"/>
      </w:pPr>
      <w:r>
        <w:rPr>
          <w:sz w:val="21"/>
          <w:szCs w:val="21"/>
        </w:rPr>
        <w:t xml:space="preserve">Select Change Password.</w:t>
      </w:r>
    </w:p>
    <w:p>
      <w:pPr>
        <w:spacing w:after="40" w:before="70"/>
        <w:ind w:left="403"/>
      </w:pPr>
      <w:r>
        <w:rPr>
          <w:color w:val="8B8FA3"/>
          <w:sz w:val="17"/>
          <w:szCs w:val="17"/>
        </w:rPr>
        <w:t xml:space="preserve">Also in Settings   ·   Ref: pro-what-can-users-manage-in-security-settings-166</w:t>
      </w:r>
    </w:p>
    <w:p>
      <w:pPr>
        <w:keepNext/>
        <w:spacing w:after="90" w:before="220"/>
      </w:pPr>
      <w:r>
        <w:rPr>
          <w:b/>
          <w:bCs/>
          <w:color w:val="1A1C2E"/>
          <w:sz w:val="24"/>
          <w:szCs w:val="24"/>
        </w:rPr>
        <w:t xml:space="preserve">7.   What account security control is available in AssurePro?</w:t>
      </w:r>
    </w:p>
    <w:p>
      <w:pPr>
        <w:spacing w:after="90"/>
        <w:ind w:left="403"/>
      </w:pPr>
      <w:r>
        <w:rPr>
          <w:sz w:val="22"/>
          <w:szCs w:val="22"/>
        </w:rPr>
        <w:t xml:space="preserve">Security settings let a signed-in user change their password by supplying the current password, a new password, and confirmation. Team access and roles are managed separately in Team &amp; Roles.</w:t>
      </w:r>
    </w:p>
    <w:p>
      <w:pPr>
        <w:spacing w:after="90"/>
        <w:ind w:left="403"/>
      </w:pPr>
      <w:r>
        <w:rPr>
          <w:b/>
          <w:bCs/>
          <w:color w:val="4735BE"/>
          <w:sz w:val="18"/>
          <w:szCs w:val="18"/>
        </w:rPr>
        <w:t xml:space="preserve">More   </w:t>
      </w:r>
      <w:r>
        <w:rPr>
          <w:sz w:val="22"/>
          <w:szCs w:val="22"/>
        </w:rPr>
        <w:t xml:space="preserve">A user changes their own password under Settings &gt; Security by entering the current password and matching new-password fields. Administrators manage who can access the platform, products, and permissions under Team &amp; Roles; client access is managed from client contacts and portal invitations.</w:t>
      </w:r>
    </w:p>
    <w:p>
      <w:pPr>
        <w:spacing w:after="40" w:before="70"/>
        <w:ind w:left="403"/>
      </w:pPr>
      <w:r>
        <w:rPr>
          <w:color w:val="8B8FA3"/>
          <w:sz w:val="17"/>
          <w:szCs w:val="17"/>
        </w:rPr>
        <w:t xml:space="preserve">Also in Settings   ·   Ref: pro-what-account-security-control-is-available-in-assurepro-167</w:t>
      </w:r>
    </w:p>
    <w:p>
      <w:pPr>
        <w:keepNext/>
        <w:spacing w:after="90" w:before="220"/>
      </w:pPr>
      <w:r>
        <w:rPr>
          <w:b/>
          <w:bCs/>
          <w:color w:val="1A1C2E"/>
          <w:sz w:val="24"/>
          <w:szCs w:val="24"/>
        </w:rPr>
        <w:t xml:space="preserve">8.   How are notifications and report alerts controlled?</w:t>
      </w:r>
    </w:p>
    <w:p>
      <w:pPr>
        <w:spacing w:after="90"/>
        <w:ind w:left="403"/>
      </w:pPr>
      <w:r>
        <w:rPr>
          <w:sz w:val="22"/>
          <w:szCs w:val="22"/>
        </w:rPr>
        <w:t xml:space="preserve">Notifications &amp; Email lets a user independently choose email and in-app delivery for new document uploads, client messages, invoice payments, upcoming deadlines, and overdue invoices. Report alerts can notify users when a KPI crosses a threshold or send a scheduled digest of key firm metrics.</w:t>
      </w:r>
    </w:p>
    <w:p>
      <w:pPr>
        <w:spacing w:after="90"/>
        <w:ind w:left="403"/>
      </w:pPr>
      <w:r>
        <w:rPr>
          <w:b/>
          <w:bCs/>
          <w:color w:val="4735BE"/>
          <w:sz w:val="18"/>
          <w:szCs w:val="18"/>
        </w:rPr>
        <w:t xml:space="preserve">More   </w:t>
      </w:r>
      <w:r>
        <w:rPr>
          <w:sz w:val="22"/>
          <w:szCs w:val="22"/>
        </w:rPr>
        <w:t xml:space="preserve">For example, enable both email and in-app delivery for overdue invoices, use in-app only for new uploads that staff review daily, and create a KPI threshold alert for an A/R or workflow measure that requires management attention. Scheduled digests are better for regular review than urgent exception handling.</w:t>
      </w:r>
    </w:p>
    <w:p>
      <w:pPr>
        <w:spacing w:after="40" w:before="70"/>
        <w:ind w:left="403"/>
      </w:pPr>
      <w:r>
        <w:rPr>
          <w:color w:val="8B8FA3"/>
          <w:sz w:val="17"/>
          <w:szCs w:val="17"/>
        </w:rPr>
        <w:t xml:space="preserve">Also in Settings   ·   Ref: pro-how-are-notifications-and-report-alerts-controlled-168</w:t>
      </w:r>
    </w:p>
    <w:p>
      <w:pPr>
        <w:keepNext/>
        <w:spacing w:after="90" w:before="220"/>
      </w:pPr>
      <w:r>
        <w:rPr>
          <w:b/>
          <w:bCs/>
          <w:color w:val="1A1C2E"/>
          <w:sz w:val="24"/>
          <w:szCs w:val="24"/>
        </w:rPr>
        <w:t xml:space="preserve">9.   Where is firm and client data hosted, and is it encrypted?</w:t>
      </w:r>
    </w:p>
    <w:p>
      <w:pPr>
        <w:spacing w:after="60"/>
        <w:ind w:left="403"/>
      </w:pPr>
      <w:r>
        <w:rPr>
          <w:sz w:val="22"/>
          <w:szCs w:val="22"/>
        </w:rPr>
        <w:t xml:space="preserve">AssurePro runs on Amazon Web Services infrastructure. Firm and client data is encrypted both in transit and at rest. Firm Credentials and client Credentials state that stored secrets use AES-256 encryption, restrict reveal access through engagement ownership and permissions, and log each reveal. Firms completing a security review should request the current architecture, retention, backup, and data-location documentation from their AssureOne contact.</w:t>
      </w:r>
    </w:p>
    <w:p>
      <w:pPr>
        <w:spacing w:after="40" w:before="70"/>
        <w:ind w:left="403"/>
      </w:pPr>
      <w:r>
        <w:rPr>
          <w:color w:val="8B8FA3"/>
          <w:sz w:val="17"/>
          <w:szCs w:val="17"/>
        </w:rPr>
        <w:t xml:space="preserve">Also in Settings   ·   Ref: pro-where-is-firm-and-client-data-hosted-and-is-it-encrypted-169</w:t>
      </w:r>
    </w:p>
    <w:p>
      <w:pPr>
        <w:keepNext/>
        <w:spacing w:after="90" w:before="220"/>
      </w:pPr>
      <w:r>
        <w:rPr>
          <w:b/>
          <w:bCs/>
          <w:color w:val="1A1C2E"/>
          <w:sz w:val="24"/>
          <w:szCs w:val="24"/>
        </w:rPr>
        <w:t xml:space="preserve">10.   Does AssurePro hold specific compliance certifications, such as SOC 2?</w:t>
      </w:r>
    </w:p>
    <w:p>
      <w:pPr>
        <w:spacing w:after="90"/>
        <w:ind w:left="403"/>
      </w:pPr>
      <w:r>
        <w:rPr>
          <w:sz w:val="22"/>
          <w:szCs w:val="22"/>
        </w:rPr>
        <w:t xml:space="preserve">Formal compliance-certification details, including the current SOC 2 status, will be published soon. Because certification scope and report periods can change, firms should request the latest security and compliance package from their AssureOne account team rather than relying on an older FAQ copy when completing vendor due diligence.</w:t>
      </w:r>
    </w:p>
    <w:p>
      <w:pPr>
        <w:spacing w:after="90"/>
        <w:ind w:left="403"/>
      </w:pPr>
      <w:r>
        <w:rPr>
          <w:b/>
          <w:bCs/>
          <w:color w:val="4735BE"/>
          <w:sz w:val="18"/>
          <w:szCs w:val="18"/>
        </w:rPr>
        <w:t xml:space="preserve">More   </w:t>
      </w:r>
      <w:r>
        <w:rPr>
          <w:sz w:val="22"/>
          <w:szCs w:val="22"/>
        </w:rPr>
        <w:t xml:space="preserve">When requesting the package, ask for the certification or report name, covered services, audit period, bridge letter if applicable, subservice-organization treatment, and any customer responsibilities. Review that current material with the firm's security or compliance lead rather than interpreting “published soon” as certification already being in force.</w:t>
      </w:r>
    </w:p>
    <w:p>
      <w:pPr>
        <w:spacing w:after="40" w:before="70"/>
        <w:ind w:left="403"/>
      </w:pPr>
      <w:r>
        <w:rPr>
          <w:color w:val="8B8FA3"/>
          <w:sz w:val="17"/>
          <w:szCs w:val="17"/>
        </w:rPr>
        <w:t xml:space="preserve">Also in Settings   ·   Ref: pro-does-assurepro-hold-specific-compliance-certifications-such-as-soc-2-170</w:t>
      </w:r>
    </w:p>
    <w:p>
      <w:pPr>
        <w:keepNext/>
        <w:spacing w:after="90" w:before="220"/>
      </w:pPr>
      <w:r>
        <w:rPr>
          <w:b/>
          <w:bCs/>
          <w:color w:val="1A1C2E"/>
          <w:sz w:val="24"/>
          <w:szCs w:val="24"/>
        </w:rPr>
        <w:t xml:space="preserve">11.   Is multi-factor authentication available for staff and client portal logins?</w:t>
      </w:r>
    </w:p>
    <w:p>
      <w:pPr>
        <w:spacing w:after="90"/>
        <w:ind w:left="403"/>
      </w:pPr>
      <w:r>
        <w:rPr>
          <w:sz w:val="22"/>
          <w:szCs w:val="22"/>
        </w:rPr>
        <w:t xml:space="preserve">Yes. During account activation, both firm staff and client-portal users accept the invitation, set a password, and confirm their identity with a one-time code sent to the email address that received the invitation. Administrators should send invitations only to a verified address, and users should complete the code step from that mailbox before signing in.</w:t>
      </w:r>
    </w:p>
    <w:p>
      <w:pPr>
        <w:spacing w:after="90"/>
        <w:ind w:left="403"/>
      </w:pPr>
      <w:r>
        <w:rPr>
          <w:b/>
          <w:bCs/>
          <w:color w:val="4735BE"/>
          <w:sz w:val="18"/>
          <w:szCs w:val="18"/>
        </w:rPr>
        <w:t xml:space="preserve">More   </w:t>
      </w:r>
      <w:r>
        <w:rPr>
          <w:sz w:val="22"/>
          <w:szCs w:val="22"/>
        </w:rPr>
        <w:t xml:space="preserve">If the one-time code does not arrive, confirm the invited email address, check spam or filtering, and resend the invitation or code through the supported flow. Do not forward another person's code; the code is intended to confirm control of the exact mailbox that received the invitation.</w:t>
      </w:r>
    </w:p>
    <w:p>
      <w:pPr>
        <w:spacing w:after="40" w:before="70"/>
        <w:ind w:left="403"/>
      </w:pPr>
      <w:r>
        <w:rPr>
          <w:color w:val="8B8FA3"/>
          <w:sz w:val="17"/>
          <w:szCs w:val="17"/>
        </w:rPr>
        <w:t xml:space="preserve">Also in Settings   ·   Ref: pro-is-multi-factor-authentication-available-for-staff-and-client-portal-l-171</w:t>
      </w:r>
    </w:p>
    <w:p>
      <w:pPr>
        <w:keepNext/>
        <w:spacing w:after="90" w:before="220"/>
      </w:pPr>
      <w:r>
        <w:rPr>
          <w:b/>
          <w:bCs/>
          <w:color w:val="1A1C2E"/>
          <w:sz w:val="24"/>
          <w:szCs w:val="24"/>
        </w:rPr>
        <w:t xml:space="preserve">12.   Can the firm export its data if it cancels its AssurePro subscription?</w:t>
      </w:r>
    </w:p>
    <w:p>
      <w:pPr>
        <w:spacing w:after="90"/>
        <w:ind w:left="403"/>
      </w:pPr>
      <w:r>
        <w:rPr>
          <w:sz w:val="22"/>
          <w:szCs w:val="22"/>
        </w:rPr>
        <w:t xml:space="preserve">Yes. A firm can export its data before the AssurePro account is closed. Plan the export with the AssureOne account team early enough to identify the records, documents, reports, communications, billing history, and other material the firm must retain; confirm the available formats and date range; download the approved exports; and validate that the files can be opened and reconciled before the closure date.</w:t>
      </w:r>
    </w:p>
    <w:p>
      <w:pPr>
        <w:spacing w:after="90"/>
        <w:ind w:left="403"/>
      </w:pPr>
      <w:r>
        <w:rPr>
          <w:b/>
          <w:bCs/>
          <w:color w:val="4735BE"/>
          <w:sz w:val="18"/>
          <w:szCs w:val="18"/>
        </w:rPr>
        <w:t xml:space="preserve">More   </w:t>
      </w:r>
      <w:r>
        <w:rPr>
          <w:sz w:val="22"/>
          <w:szCs w:val="22"/>
        </w:rPr>
        <w:t xml:space="preserve">Create a checklist and reconcile record counts after download—for example, compare exported clients, open engagements, documents, invoices, and communications with the corresponding AssurePro totals. Keep the account active until missing or unreadable files have been corrected and the firm has confirmed where the export will be retained.</w:t>
      </w:r>
    </w:p>
    <w:p>
      <w:pPr>
        <w:spacing w:after="40" w:before="70"/>
        <w:ind w:left="403"/>
      </w:pPr>
      <w:r>
        <w:rPr>
          <w:color w:val="8B8FA3"/>
          <w:sz w:val="17"/>
          <w:szCs w:val="17"/>
        </w:rPr>
        <w:t xml:space="preserve">Also in Settings   ·   Ref: pro-can-the-firm-export-its-data-if-it-cancels-its-assurepro-subscription-172</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6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AssurePro question review</dc:title>
  <dc:creator>AssureOne</dc:creator>
  <dc:description>172 AssurePro help centre questions for review</dc:description>
  <cp:lastModifiedBy>Un-named</cp:lastModifiedBy>
  <cp:revision>1</cp:revision>
  <dcterms:created xsi:type="dcterms:W3CDTF">2026-09-07T13:48:17.741Z</dcterms:created>
  <dcterms:modified xsi:type="dcterms:W3CDTF">2026-09-07T13:48:17.747Z</dcterms:modified>
</cp:coreProperties>
</file>

<file path=docProps/custom.xml><?xml version="1.0" encoding="utf-8"?>
<Properties xmlns="http://schemas.openxmlformats.org/officeDocument/2006/custom-properties" xmlns:vt="http://schemas.openxmlformats.org/officeDocument/2006/docPropsVTypes"/>
</file>