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C2E"/>
          <w:sz w:val="52"/>
          <w:szCs w:val="52"/>
        </w:rPr>
        <w:t xml:space="preserve">AssurePro</w:t>
      </w:r>
    </w:p>
    <w:p>
      <w:pPr>
        <w:spacing w:after="240"/>
      </w:pPr>
      <w:r>
        <w:rPr>
          <w:color w:val="4735BE"/>
          <w:sz w:val="32"/>
          <w:szCs w:val="32"/>
        </w:rPr>
        <w:t xml:space="preserve">Question review</w:t>
      </w:r>
    </w:p>
    <w:p>
      <w:pPr>
        <w:pBdr>
          <w:bottom w:val="single" w:color="D8D6E6" w:sz="6"/>
        </w:pBdr>
        <w:spacing w:after="200"/>
      </w:pPr>
      <w:r>
        <w:rPr>
          <w:b/>
          <w:bCs/>
          <w:color w:val="1A1C2E"/>
          <w:sz w:val="22"/>
          <w:szCs w:val="22"/>
        </w:rPr>
        <w:t xml:space="preserve">172 questions across 13 categories</w:t>
      </w:r>
    </w:p>
    <w:p>
      <w:pPr>
        <w:spacing w:after="120"/>
      </w:pPr>
      <w:r>
        <w:rPr>
          <w:b/>
          <w:bCs/>
          <w:color w:val="1A1C2E"/>
          <w:sz w:val="22"/>
          <w:szCs w:val="22"/>
        </w:rPr>
        <w:t xml:space="preserve">How to use this document</w:t>
      </w:r>
    </w:p>
    <w:p>
      <w:pPr>
        <w:pStyle w:val="ListParagraph"/>
        <w:numPr>
          <w:ilvl w:val="0"/>
          <w:numId w:val="1"/>
        </w:numPr>
        <w:spacing w:after="60"/>
      </w:pPr>
      <w:r>
        <w:rPr>
          <w:sz w:val="21"/>
          <w:szCs w:val="21"/>
        </w:rPr>
        <w:t xml:space="preserve">Edit the answers directly. Reword, correct, expand — whatever the product actually does.</w:t>
      </w:r>
    </w:p>
    <w:p>
      <w:pPr>
        <w:pStyle w:val="ListParagraph"/>
        <w:numPr>
          <w:ilvl w:val="0"/>
          <w:numId w:val="1"/>
        </w:numPr>
        <w:spacing w:after="60"/>
      </w:pPr>
      <w:r>
        <w:rPr>
          <w:sz w:val="21"/>
          <w:szCs w:val="21"/>
        </w:rPr>
        <w:t xml:space="preserve">To remove a question, delete its whole block, or write DELETE next to the question.</w:t>
      </w:r>
    </w:p>
    <w:p>
      <w:pPr>
        <w:pStyle w:val="ListParagraph"/>
        <w:numPr>
          <w:ilvl w:val="0"/>
          <w:numId w:val="1"/>
        </w:numPr>
        <w:spacing w:after="60"/>
      </w:pPr>
      <w:r>
        <w:rPr>
          <w:sz w:val="21"/>
          <w:szCs w:val="21"/>
        </w:rPr>
        <w:t xml:space="preserve">To add one, write it wherever it belongs and mark it NEW.</w:t>
      </w:r>
    </w:p>
    <w:p>
      <w:pPr>
        <w:pStyle w:val="ListParagraph"/>
        <w:numPr>
          <w:ilvl w:val="0"/>
          <w:numId w:val="1"/>
        </w:numPr>
        <w:spacing w:after="60"/>
      </w:pPr>
      <w:r>
        <w:rPr>
          <w:sz w:val="21"/>
          <w:szCs w:val="21"/>
        </w:rPr>
        <w:t xml:space="preserve">Comments are fine too if you would rather not edit in place.</w:t>
      </w:r>
    </w:p>
    <w:p>
      <w:pPr>
        <w:spacing w:after="80" w:before="180"/>
      </w:pPr>
      <w:r>
        <w:rPr>
          <w:b/>
          <w:bCs/>
          <w:color w:val="1A1C2E"/>
          <w:sz w:val="22"/>
          <w:szCs w:val="22"/>
        </w:rPr>
        <w:t xml:space="preserve">What the labels mean</w:t>
      </w:r>
    </w:p>
    <w:p>
      <w:pPr>
        <w:spacing w:after="60"/>
      </w:pPr>
      <w:r>
        <w:rPr>
          <w:b/>
          <w:bCs/>
          <w:sz w:val="21"/>
          <w:szCs w:val="21"/>
        </w:rPr>
        <w:t xml:space="preserve">Steps</w:t>
      </w:r>
      <w:r>
        <w:rPr>
          <w:sz w:val="21"/>
          <w:szCs w:val="21"/>
        </w:rPr>
        <w:t xml:space="preserve">   the numbered walkthrough shown under the answer in the help centre.</w:t>
      </w:r>
    </w:p>
    <w:p>
      <w:pPr>
        <w:spacing w:after="60"/>
      </w:pPr>
      <w:r>
        <w:rPr>
          <w:b/>
          <w:bCs/>
          <w:sz w:val="21"/>
          <w:szCs w:val="21"/>
        </w:rPr>
        <w:t xml:space="preserve">More</w:t>
      </w:r>
      <w:r>
        <w:rPr>
          <w:sz w:val="21"/>
          <w:szCs w:val="21"/>
        </w:rPr>
        <w:t xml:space="preserve">   an extra paragraph shown after the answer. 115 of the questions have one.</w:t>
      </w:r>
    </w:p>
    <w:p>
      <w:pPr>
        <w:spacing w:after="60"/>
      </w:pPr>
      <w:r>
        <w:rPr>
          <w:b/>
          <w:bCs/>
          <w:sz w:val="21"/>
          <w:szCs w:val="21"/>
        </w:rPr>
        <w:t xml:space="preserve">Also in Settings</w:t>
      </w:r>
      <w:r>
        <w:rPr>
          <w:sz w:val="21"/>
          <w:szCs w:val="21"/>
        </w:rPr>
        <w:t xml:space="preserve">   the question appears under Settings as well as its own category, because it covers a setting for that area. 57 questions are cross-listed this way.</w:t>
      </w:r>
    </w:p>
    <w:p>
      <w:pPr>
        <w:spacing w:after="60"/>
      </w:pPr>
      <w:r>
        <w:rPr>
          <w:b/>
          <w:bCs/>
          <w:sz w:val="21"/>
          <w:szCs w:val="21"/>
        </w:rPr>
        <w:t xml:space="preserve">Ref</w:t>
      </w:r>
      <w:r>
        <w:rPr>
          <w:sz w:val="21"/>
          <w:szCs w:val="21"/>
        </w:rPr>
        <w:t xml:space="preserve">   the article's identifier. Leave it alone — it is how a reworded question gets matched back to the right article, and how its link stays valid.</w:t>
      </w:r>
    </w:p>
    <w:p>
      <w:pPr>
        <w:spacing w:before="200"/>
      </w:pPr>
      <w:r>
        <w:rPr>
          <w:i/>
          <w:iCs/>
          <w:color w:val="8B8FA3"/>
          <w:sz w:val="20"/>
          <w:szCs w:val="20"/>
        </w:rPr>
        <w:t xml:space="preserve">Categories other than Settings show only the questions filed under them. The help centre's Settings view is larger than the count here because it also pulls in the cross-listed questions.</w:t>
      </w:r>
    </w:p>
    <w:p>
      <w:r>
        <w:br w:type="page"/>
      </w:r>
    </w:p>
    <w:p>
      <w:pPr>
        <w:spacing w:after="120"/>
      </w:pPr>
      <w:r>
        <w:rPr>
          <w:b/>
          <w:bCs/>
          <w:color w:val="1A1C2E"/>
          <w:sz w:val="26"/>
          <w:szCs w:val="26"/>
        </w:rPr>
        <w:t xml:space="preserve">Contents</w:t>
      </w:r>
    </w:p>
    <w:p>
      <w:pPr>
        <w:spacing w:after="140"/>
      </w:pPr>
      <w:r>
        <w:rPr>
          <w:i/>
          <w:iCs/>
          <w:color w:val="8B8FA3"/>
          <w:sz w:val="20"/>
          <w:szCs w:val="20"/>
        </w:rPr>
        <w:t xml:space="preserve">Each category starts on its own page.</w:t>
      </w:r>
    </w:p>
    <w:p>
      <w:pPr>
        <w:spacing w:after="70"/>
      </w:pPr>
      <w:r>
        <w:rPr>
          <w:b/>
          <w:bCs/>
          <w:color w:val="1A1C2E"/>
          <w:sz w:val="22"/>
          <w:szCs w:val="22"/>
        </w:rPr>
        <w:t xml:space="preserve">Platform</w:t>
      </w:r>
      <w:r>
        <w:rPr>
          <w:color w:val="8B8FA3"/>
          <w:sz w:val="21"/>
          <w:szCs w:val="21"/>
        </w:rPr>
        <w:t xml:space="preserve">   9 questions</w:t>
      </w:r>
    </w:p>
    <w:p>
      <w:pPr>
        <w:spacing w:after="70"/>
      </w:pPr>
      <w:r>
        <w:rPr>
          <w:b/>
          <w:bCs/>
          <w:color w:val="1A1C2E"/>
          <w:sz w:val="22"/>
          <w:szCs w:val="22"/>
        </w:rPr>
        <w:t xml:space="preserve">Dashboard</w:t>
      </w:r>
      <w:r>
        <w:rPr>
          <w:color w:val="8B8FA3"/>
          <w:sz w:val="21"/>
          <w:szCs w:val="21"/>
        </w:rPr>
        <w:t xml:space="preserve">   11 questions</w:t>
      </w:r>
    </w:p>
    <w:p>
      <w:pPr>
        <w:spacing w:after="70"/>
      </w:pPr>
      <w:r>
        <w:rPr>
          <w:b/>
          <w:bCs/>
          <w:color w:val="1A1C2E"/>
          <w:sz w:val="22"/>
          <w:szCs w:val="22"/>
        </w:rPr>
        <w:t xml:space="preserve">Settings</w:t>
      </w:r>
      <w:r>
        <w:rPr>
          <w:color w:val="8B8FA3"/>
          <w:sz w:val="21"/>
          <w:szCs w:val="21"/>
        </w:rPr>
        <w:t xml:space="preserve">   20 questions</w:t>
      </w:r>
    </w:p>
    <w:p>
      <w:pPr>
        <w:spacing w:after="70"/>
      </w:pPr>
      <w:r>
        <w:rPr>
          <w:b/>
          <w:bCs/>
          <w:color w:val="1A1C2E"/>
          <w:sz w:val="22"/>
          <w:szCs w:val="22"/>
        </w:rPr>
        <w:t xml:space="preserve">Clients &amp; prospects</w:t>
      </w:r>
      <w:r>
        <w:rPr>
          <w:color w:val="8B8FA3"/>
          <w:sz w:val="21"/>
          <w:szCs w:val="21"/>
        </w:rPr>
        <w:t xml:space="preserve">   19 questions</w:t>
      </w:r>
    </w:p>
    <w:p>
      <w:pPr>
        <w:spacing w:after="70"/>
      </w:pPr>
      <w:r>
        <w:rPr>
          <w:b/>
          <w:bCs/>
          <w:color w:val="1A1C2E"/>
          <w:sz w:val="22"/>
          <w:szCs w:val="22"/>
        </w:rPr>
        <w:t xml:space="preserve">Documents</w:t>
      </w:r>
      <w:r>
        <w:rPr>
          <w:color w:val="8B8FA3"/>
          <w:sz w:val="21"/>
          <w:szCs w:val="21"/>
        </w:rPr>
        <w:t xml:space="preserve">   14 questions</w:t>
      </w:r>
    </w:p>
    <w:p>
      <w:pPr>
        <w:spacing w:after="70"/>
      </w:pPr>
      <w:r>
        <w:rPr>
          <w:b/>
          <w:bCs/>
          <w:color w:val="1A1C2E"/>
          <w:sz w:val="22"/>
          <w:szCs w:val="22"/>
        </w:rPr>
        <w:t xml:space="preserve">Workflow</w:t>
      </w:r>
      <w:r>
        <w:rPr>
          <w:color w:val="8B8FA3"/>
          <w:sz w:val="21"/>
          <w:szCs w:val="21"/>
        </w:rPr>
        <w:t xml:space="preserve">   11 questions</w:t>
      </w:r>
    </w:p>
    <w:p>
      <w:pPr>
        <w:spacing w:after="70"/>
      </w:pPr>
      <w:r>
        <w:rPr>
          <w:b/>
          <w:bCs/>
          <w:color w:val="1A1C2E"/>
          <w:sz w:val="22"/>
          <w:szCs w:val="22"/>
        </w:rPr>
        <w:t xml:space="preserve">Time Sheet</w:t>
      </w:r>
      <w:r>
        <w:rPr>
          <w:color w:val="8B8FA3"/>
          <w:sz w:val="21"/>
          <w:szCs w:val="21"/>
        </w:rPr>
        <w:t xml:space="preserve">   4 questions</w:t>
      </w:r>
    </w:p>
    <w:p>
      <w:pPr>
        <w:spacing w:after="70"/>
      </w:pPr>
      <w:r>
        <w:rPr>
          <w:b/>
          <w:bCs/>
          <w:color w:val="1A1C2E"/>
          <w:sz w:val="22"/>
          <w:szCs w:val="22"/>
        </w:rPr>
        <w:t xml:space="preserve">Engagement letters</w:t>
      </w:r>
      <w:r>
        <w:rPr>
          <w:color w:val="8B8FA3"/>
          <w:sz w:val="21"/>
          <w:szCs w:val="21"/>
        </w:rPr>
        <w:t xml:space="preserve">   13 questions</w:t>
      </w:r>
    </w:p>
    <w:p>
      <w:pPr>
        <w:spacing w:after="70"/>
      </w:pPr>
      <w:r>
        <w:rPr>
          <w:b/>
          <w:bCs/>
          <w:color w:val="1A1C2E"/>
          <w:sz w:val="22"/>
          <w:szCs w:val="22"/>
        </w:rPr>
        <w:t xml:space="preserve">Billing &amp; services</w:t>
      </w:r>
      <w:r>
        <w:rPr>
          <w:color w:val="8B8FA3"/>
          <w:sz w:val="21"/>
          <w:szCs w:val="21"/>
        </w:rPr>
        <w:t xml:space="preserve">   22 questions</w:t>
      </w:r>
    </w:p>
    <w:p>
      <w:pPr>
        <w:spacing w:after="70"/>
      </w:pPr>
      <w:r>
        <w:rPr>
          <w:b/>
          <w:bCs/>
          <w:color w:val="1A1C2E"/>
          <w:sz w:val="22"/>
          <w:szCs w:val="22"/>
        </w:rPr>
        <w:t xml:space="preserve">Communications</w:t>
      </w:r>
      <w:r>
        <w:rPr>
          <w:color w:val="8B8FA3"/>
          <w:sz w:val="21"/>
          <w:szCs w:val="21"/>
        </w:rPr>
        <w:t xml:space="preserve">   16 questions</w:t>
      </w:r>
    </w:p>
    <w:p>
      <w:pPr>
        <w:spacing w:after="70"/>
      </w:pPr>
      <w:r>
        <w:rPr>
          <w:b/>
          <w:bCs/>
          <w:color w:val="1A1C2E"/>
          <w:sz w:val="22"/>
          <w:szCs w:val="22"/>
        </w:rPr>
        <w:t xml:space="preserve">Reporting</w:t>
      </w:r>
      <w:r>
        <w:rPr>
          <w:color w:val="8B8FA3"/>
          <w:sz w:val="21"/>
          <w:szCs w:val="21"/>
        </w:rPr>
        <w:t xml:space="preserve">   6 questions</w:t>
      </w:r>
    </w:p>
    <w:p>
      <w:pPr>
        <w:spacing w:after="70"/>
      </w:pPr>
      <w:r>
        <w:rPr>
          <w:b/>
          <w:bCs/>
          <w:color w:val="1A1C2E"/>
          <w:sz w:val="22"/>
          <w:szCs w:val="22"/>
        </w:rPr>
        <w:t xml:space="preserve">AI</w:t>
      </w:r>
      <w:r>
        <w:rPr>
          <w:color w:val="8B8FA3"/>
          <w:sz w:val="21"/>
          <w:szCs w:val="21"/>
        </w:rPr>
        <w:t xml:space="preserve">   15 questions</w:t>
      </w:r>
    </w:p>
    <w:p>
      <w:pPr>
        <w:spacing w:after="70"/>
      </w:pPr>
      <w:r>
        <w:rPr>
          <w:b/>
          <w:bCs/>
          <w:color w:val="1A1C2E"/>
          <w:sz w:val="22"/>
          <w:szCs w:val="22"/>
        </w:rPr>
        <w:t xml:space="preserve">Integrations &amp; security</w:t>
      </w:r>
      <w:r>
        <w:rPr>
          <w:color w:val="8B8FA3"/>
          <w:sz w:val="21"/>
          <w:szCs w:val="21"/>
        </w:rPr>
        <w:t xml:space="preserve">   12 questions</w:t>
      </w:r>
    </w:p>
    <w:p>
      <w:r>
        <w:br w:type="page"/>
      </w:r>
    </w:p>
    <w:p>
      <w:pPr>
        <w:pStyle w:val="Heading1"/>
        <w:spacing w:after="40" w:before="60"/>
      </w:pPr>
      <w:r>
        <w:rPr>
          <w:b/>
          <w:bCs/>
          <w:color w:val="1A1C2E"/>
          <w:sz w:val="32"/>
          <w:szCs w:val="32"/>
        </w:rPr>
        <w:t xml:space="preserve">Platform</w:t>
      </w:r>
    </w:p>
    <w:p>
      <w:pPr>
        <w:pBdr>
          <w:bottom w:val="single" w:color="E4E2F0" w:sz="4"/>
        </w:pBdr>
        <w:spacing w:after="200"/>
      </w:pPr>
      <w:r>
        <w:rPr>
          <w:color w:val="8B8FA3"/>
          <w:sz w:val="20"/>
          <w:szCs w:val="20"/>
        </w:rPr>
        <w:t xml:space="preserve">9 questions</w:t>
      </w:r>
    </w:p>
    <w:p>
      <w:pPr>
        <w:keepNext/>
        <w:spacing w:after="90" w:before="220"/>
      </w:pPr>
      <w:r>
        <w:rPr>
          <w:b/>
          <w:bCs/>
          <w:color w:val="1A1C2E"/>
          <w:sz w:val="24"/>
          <w:szCs w:val="24"/>
        </w:rPr>
        <w:t xml:space="preserve">1.   What is AssurePro?</w:t>
      </w:r>
    </w:p>
    <w:p>
      <w:pPr>
        <w:spacing w:after="90"/>
        <w:ind w:left="403"/>
      </w:pPr>
      <w:r>
        <w:rPr>
          <w:sz w:val="22"/>
          <w:szCs w:val="22"/>
        </w:rPr>
        <w:t xml:space="preserve">AssurePro is the practice-management platform within AssureOne. It is where an accounting firm configures its organization, team access, client relationships, documents, engagement workflows, engagement letters, time, billing, communications, reporting, templates, and integrations.</w:t>
      </w:r>
    </w:p>
    <w:p>
      <w:pPr>
        <w:spacing w:after="90"/>
        <w:ind w:left="403"/>
      </w:pPr>
      <w:r>
        <w:rPr>
          <w:b/>
          <w:bCs/>
          <w:color w:val="4735BE"/>
          <w:sz w:val="18"/>
          <w:szCs w:val="18"/>
        </w:rPr>
        <w:t xml:space="preserve">More   </w:t>
      </w:r>
      <w:r>
        <w:rPr>
          <w:sz w:val="22"/>
          <w:szCs w:val="22"/>
        </w:rPr>
        <w:t xml:space="preserve">AssurePro also provides shared setup and client context for the other AssureOne products enabled for your firm. Keeping operational information connected to the client record helps firm users move between practice management and service delivery without rebuilding the relationship in separate systems.</w:t>
      </w:r>
    </w:p>
    <w:p>
      <w:pPr>
        <w:spacing w:after="40" w:before="70"/>
        <w:ind w:left="403"/>
      </w:pPr>
      <w:r>
        <w:rPr>
          <w:color w:val="8B8FA3"/>
          <w:sz w:val="17"/>
          <w:szCs w:val="17"/>
        </w:rPr>
        <w:t xml:space="preserve">Ref: pro-what-is-assurepro-1</w:t>
      </w:r>
    </w:p>
    <w:p>
      <w:pPr>
        <w:keepNext/>
        <w:spacing w:after="90" w:before="220"/>
      </w:pPr>
      <w:r>
        <w:rPr>
          <w:b/>
          <w:bCs/>
          <w:color w:val="1A1C2E"/>
          <w:sz w:val="24"/>
          <w:szCs w:val="24"/>
        </w:rPr>
        <w:t xml:space="preserve">2.   Is AssurePro the firm's practice-management system or a bookkeeping system?</w:t>
      </w:r>
    </w:p>
    <w:p>
      <w:pPr>
        <w:spacing w:after="90"/>
        <w:ind w:left="403"/>
      </w:pPr>
      <w:r>
        <w:rPr>
          <w:sz w:val="22"/>
          <w:szCs w:val="22"/>
        </w:rPr>
        <w:t xml:space="preserve">AssurePro is the firm's practice-management system. It manages the operational relationship with clients, including onboarding, documents, workflows, engagement letters, time, billing, communications, and reporting. Bookkeeping work is handled in AssureBooks when that product is available to the firm.</w:t>
      </w:r>
    </w:p>
    <w:p>
      <w:pPr>
        <w:spacing w:after="90"/>
        <w:ind w:left="403"/>
      </w:pPr>
      <w:r>
        <w:rPr>
          <w:b/>
          <w:bCs/>
          <w:color w:val="4735BE"/>
          <w:sz w:val="18"/>
          <w:szCs w:val="18"/>
        </w:rPr>
        <w:t xml:space="preserve">More   </w:t>
      </w:r>
      <w:r>
        <w:rPr>
          <w:sz w:val="22"/>
          <w:szCs w:val="22"/>
        </w:rPr>
        <w:t xml:space="preserve">For example, AssurePro can create the bookkeeping engagement, assign its tasks, request source documents, track time, communicate with the client, and invoice the work. The accounting entries and books themselves belong in AssureBooks; the product switcher connects firm users to that product when enabled.</w:t>
      </w:r>
    </w:p>
    <w:p>
      <w:pPr>
        <w:spacing w:after="40" w:before="70"/>
        <w:ind w:left="403"/>
      </w:pPr>
      <w:r>
        <w:rPr>
          <w:color w:val="8B8FA3"/>
          <w:sz w:val="17"/>
          <w:szCs w:val="17"/>
        </w:rPr>
        <w:t xml:space="preserve">Ref: pro-is-assurepro-the-firm-s-practice-management-system-or-a-bookkeeping-sy-2</w:t>
      </w:r>
    </w:p>
    <w:p>
      <w:pPr>
        <w:keepNext/>
        <w:spacing w:after="90" w:before="220"/>
      </w:pPr>
      <w:r>
        <w:rPr>
          <w:b/>
          <w:bCs/>
          <w:color w:val="1A1C2E"/>
          <w:sz w:val="24"/>
          <w:szCs w:val="24"/>
        </w:rPr>
        <w:t xml:space="preserve">3.   How do I find existing information quickly?</w:t>
      </w:r>
    </w:p>
    <w:p>
      <w:pPr>
        <w:spacing w:after="90"/>
        <w:ind w:left="403"/>
      </w:pPr>
      <w:r>
        <w:rPr>
          <w:sz w:val="22"/>
          <w:szCs w:val="22"/>
        </w:rPr>
        <w:t xml:space="preserve">Use the global search in the AssurePro header to find information that already exists. Search for a client, document, or task by name, then select the matching result to open the client record, document, or task.</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the search field in the application header or use the displayed keyboard shortcut.</w:t>
      </w:r>
    </w:p>
    <w:p>
      <w:pPr>
        <w:pStyle w:val="ListParagraph"/>
        <w:numPr>
          <w:ilvl w:val="0"/>
          <w:numId w:val="2"/>
        </w:numPr>
        <w:spacing w:after="40"/>
        <w:ind w:left="892"/>
      </w:pPr>
      <w:r>
        <w:rPr>
          <w:sz w:val="21"/>
          <w:szCs w:val="21"/>
        </w:rPr>
        <w:t xml:space="preserve">Enter the name of the client, document, or task you need.</w:t>
      </w:r>
    </w:p>
    <w:p>
      <w:pPr>
        <w:pStyle w:val="ListParagraph"/>
        <w:numPr>
          <w:ilvl w:val="0"/>
          <w:numId w:val="2"/>
        </w:numPr>
        <w:spacing w:after="40"/>
        <w:ind w:left="892"/>
      </w:pPr>
      <w:r>
        <w:rPr>
          <w:sz w:val="21"/>
          <w:szCs w:val="21"/>
        </w:rPr>
        <w:t xml:space="preserve">Review the matches and select the correct result to open its record.</w:t>
      </w:r>
    </w:p>
    <w:p>
      <w:pPr>
        <w:spacing w:after="40" w:before="70"/>
        <w:ind w:left="403"/>
      </w:pPr>
      <w:r>
        <w:rPr>
          <w:color w:val="8B8FA3"/>
          <w:sz w:val="17"/>
          <w:szCs w:val="17"/>
        </w:rPr>
        <w:t xml:space="preserve">Ref: pro-how-do-i-find-information-or-start-common-work-quickly-5</w:t>
      </w:r>
    </w:p>
    <w:p>
      <w:pPr>
        <w:keepNext/>
        <w:spacing w:after="90" w:before="220"/>
      </w:pPr>
      <w:r>
        <w:rPr>
          <w:b/>
          <w:bCs/>
          <w:color w:val="1A1C2E"/>
          <w:sz w:val="24"/>
          <w:szCs w:val="24"/>
        </w:rPr>
        <w:t xml:space="preserve">4.   How do I create a new record quickly?</w:t>
      </w:r>
    </w:p>
    <w:p>
      <w:pPr>
        <w:spacing w:after="90"/>
        <w:ind w:left="403"/>
      </w:pPr>
      <w:r>
        <w:rPr>
          <w:sz w:val="22"/>
          <w:szCs w:val="22"/>
        </w:rPr>
        <w:t xml:space="preserve">Use the global + New menu to create a Client, Task, Message, Invoice, Document Request, or Engagement Letter from anywhere in AssurePro. Selecting a shortcut opens the full creation form for that record.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 New in the application header.</w:t>
      </w:r>
    </w:p>
    <w:p>
      <w:pPr>
        <w:pStyle w:val="ListParagraph"/>
        <w:numPr>
          <w:ilvl w:val="0"/>
          <w:numId w:val="2"/>
        </w:numPr>
        <w:spacing w:after="40"/>
        <w:ind w:left="892"/>
      </w:pPr>
      <w:r>
        <w:rPr>
          <w:sz w:val="21"/>
          <w:szCs w:val="21"/>
        </w:rPr>
        <w:t xml:space="preserve">Choose Client, Task, Message, Invoice, Document Request, or Engagement Letter.</w:t>
      </w:r>
    </w:p>
    <w:p>
      <w:pPr>
        <w:pStyle w:val="ListParagraph"/>
        <w:numPr>
          <w:ilvl w:val="0"/>
          <w:numId w:val="2"/>
        </w:numPr>
        <w:spacing w:after="40"/>
        <w:ind w:left="892"/>
      </w:pPr>
      <w:r>
        <w:rPr>
          <w:sz w:val="21"/>
          <w:szCs w:val="21"/>
        </w:rPr>
        <w:t xml:space="preserve">Enter the fields marked as required in the opened form, confirm the client and recipients where shown, and then select the form's Save, Create, or Send action.</w:t>
      </w:r>
    </w:p>
    <w:p>
      <w:pPr>
        <w:spacing w:after="40" w:before="70"/>
        <w:ind w:left="403"/>
      </w:pPr>
      <w:r>
        <w:rPr>
          <w:color w:val="8B8FA3"/>
          <w:sz w:val="17"/>
          <w:szCs w:val="17"/>
        </w:rPr>
        <w:t xml:space="preserve">Ref: pro-how-do-i-create-a-new-record-quickly-173</w:t>
      </w:r>
    </w:p>
    <w:p>
      <w:pPr>
        <w:keepNext/>
        <w:spacing w:after="90" w:before="220"/>
      </w:pPr>
      <w:r>
        <w:rPr>
          <w:b/>
          <w:bCs/>
          <w:color w:val="1A1C2E"/>
          <w:sz w:val="24"/>
          <w:szCs w:val="24"/>
        </w:rPr>
        <w:t xml:space="preserve">5.   What can I create from the global + New menu?</w:t>
      </w:r>
    </w:p>
    <w:p>
      <w:pPr>
        <w:spacing w:after="90"/>
        <w:ind w:left="403"/>
      </w:pPr>
      <w:r>
        <w:rPr>
          <w:sz w:val="22"/>
          <w:szCs w:val="22"/>
        </w:rPr>
        <w:t xml:space="preserve">The + New menu can create six record types: Client, Task, Message, Invoice, Document Request, and Engagement Letter. Selecting one opens its full creation form; for example, Invoice opens the invoice builder and Document Request opens the client-document request form.</w:t>
      </w:r>
    </w:p>
    <w:p>
      <w:pPr>
        <w:spacing w:after="90"/>
        <w:ind w:left="403"/>
      </w:pPr>
      <w:r>
        <w:rPr>
          <w:b/>
          <w:bCs/>
          <w:color w:val="4735BE"/>
          <w:sz w:val="18"/>
          <w:szCs w:val="18"/>
        </w:rPr>
        <w:t xml:space="preserve">More   </w:t>
      </w:r>
      <w:r>
        <w:rPr>
          <w:sz w:val="22"/>
          <w:szCs w:val="22"/>
        </w:rPr>
        <w:t xml:space="preserve">Using + New does not create a simplified record. For example, selecting Invoice opens the invoice builder with client, issue-date, due-date, line-item, discount, tax, notes, preview, Save as draft, and Create &amp; send controls.</w:t>
      </w:r>
    </w:p>
    <w:p>
      <w:pPr>
        <w:spacing w:after="40" w:before="70"/>
        <w:ind w:left="403"/>
      </w:pPr>
      <w:r>
        <w:rPr>
          <w:color w:val="8B8FA3"/>
          <w:sz w:val="17"/>
          <w:szCs w:val="17"/>
        </w:rPr>
        <w:t xml:space="preserve">Ref: pro-what-can-i-create-from-the-global-new-menu-6</w:t>
      </w:r>
    </w:p>
    <w:p>
      <w:pPr>
        <w:keepNext/>
        <w:spacing w:after="90" w:before="220"/>
      </w:pPr>
      <w:r>
        <w:rPr>
          <w:b/>
          <w:bCs/>
          <w:color w:val="1A1C2E"/>
          <w:sz w:val="24"/>
          <w:szCs w:val="24"/>
        </w:rPr>
        <w:t xml:space="preserve">6.   Where do firm users sign in?</w:t>
      </w:r>
    </w:p>
    <w:p>
      <w:pPr>
        <w:spacing w:after="90"/>
        <w:ind w:left="403"/>
      </w:pPr>
      <w:r>
        <w:rPr>
          <w:sz w:val="22"/>
          <w:szCs w:val="22"/>
        </w:rPr>
        <w:t xml:space="preserve">Firm users sign in to the internal AssurePro workspace using the link provided by their firm administrator or the AssureOne team. A new firm user opens the invitation sent to their work email address, verifies that address, and sets an account password. Client users follow a separate process: they access the firm's client portal or the AssureOne client mobile application and do not sign in to the internal AssurePro workspace.</w:t>
      </w:r>
    </w:p>
    <w:p>
      <w:pPr>
        <w:spacing w:after="90"/>
        <w:ind w:left="403"/>
      </w:pPr>
      <w:r>
        <w:rPr>
          <w:b/>
          <w:bCs/>
          <w:color w:val="4735BE"/>
          <w:sz w:val="18"/>
          <w:szCs w:val="18"/>
        </w:rPr>
        <w:t xml:space="preserve">More   </w:t>
      </w:r>
      <w:r>
        <w:rPr>
          <w:sz w:val="22"/>
          <w:szCs w:val="22"/>
        </w:rPr>
        <w:t xml:space="preserve">If a firm user cannot activate the account, the firm administrator should confirm that the email address is correct and ask the person to open the most recent invitation. The administrator can review, resend, or cancel the invitation under Team &amp; Roles &gt; Invitations.</w:t>
      </w:r>
    </w:p>
    <w:p>
      <w:pPr>
        <w:spacing w:after="40" w:before="70"/>
        <w:ind w:left="403"/>
      </w:pPr>
      <w:r>
        <w:rPr>
          <w:color w:val="8B8FA3"/>
          <w:sz w:val="17"/>
          <w:szCs w:val="17"/>
        </w:rPr>
        <w:t xml:space="preserve">Ref: pro-where-do-firm-users-sign-in-7</w:t>
      </w:r>
    </w:p>
    <w:p>
      <w:pPr>
        <w:keepNext/>
        <w:spacing w:after="90" w:before="220"/>
      </w:pPr>
      <w:r>
        <w:rPr>
          <w:b/>
          <w:bCs/>
          <w:color w:val="1A1C2E"/>
          <w:sz w:val="24"/>
          <w:szCs w:val="24"/>
        </w:rPr>
        <w:t xml:space="preserve">7.   Can we see a demonstration of AssurePro before implementation?</w:t>
      </w:r>
    </w:p>
    <w:p>
      <w:pPr>
        <w:spacing w:after="60"/>
        <w:ind w:left="403"/>
      </w:pPr>
      <w:r>
        <w:rPr>
          <w:sz w:val="22"/>
          <w:szCs w:val="22"/>
        </w:rPr>
        <w:t xml:space="preserve">Yes. Your firm can schedule a guided demonstration with the AssureOne demo team before implementing AssurePro. The team will introduce the platform, explain how its main areas work together, and demonstrate how AssurePro can support your firm's day-to-day operations. Your team can discuss its current processes, ask questions, and understand what to expect during implementation.</w:t>
      </w:r>
    </w:p>
    <w:p>
      <w:pPr>
        <w:spacing w:after="40" w:before="70"/>
        <w:ind w:left="403"/>
      </w:pPr>
      <w:r>
        <w:rPr>
          <w:color w:val="8B8FA3"/>
          <w:sz w:val="17"/>
          <w:szCs w:val="17"/>
        </w:rPr>
        <w:t xml:space="preserve">Ref: pro-can-we-try-assurepro-before-committing-to-a-migration-8</w:t>
      </w:r>
    </w:p>
    <w:p>
      <w:pPr>
        <w:keepNext/>
        <w:spacing w:after="90" w:before="220"/>
      </w:pPr>
      <w:r>
        <w:rPr>
          <w:b/>
          <w:bCs/>
          <w:color w:val="1A1C2E"/>
          <w:sz w:val="24"/>
          <w:szCs w:val="24"/>
        </w:rPr>
        <w:t xml:space="preserve">8.   How do I get help or report an issue in AssurePro?</w:t>
      </w:r>
    </w:p>
    <w:p>
      <w:pPr>
        <w:spacing w:after="90"/>
        <w:ind w:left="403"/>
      </w:pPr>
      <w:r>
        <w:rPr>
          <w:sz w:val="22"/>
          <w:szCs w:val="22"/>
        </w:rPr>
        <w:t xml:space="preserve">Use support@assureone.ai for feature, access, or workflow help; use Report a bug in the application header for a product issue; and contact the assigned AssureOne implementation team for configuration, migration, testing, or launch assistance.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Email support@assureone.ai for help using a feature or resolving an access or workflow issue.</w:t>
      </w:r>
    </w:p>
    <w:p>
      <w:pPr>
        <w:pStyle w:val="ListParagraph"/>
        <w:numPr>
          <w:ilvl w:val="0"/>
          <w:numId w:val="2"/>
        </w:numPr>
        <w:spacing w:after="40"/>
        <w:ind w:left="892"/>
      </w:pPr>
      <w:r>
        <w:rPr>
          <w:sz w:val="21"/>
          <w:szCs w:val="21"/>
        </w:rPr>
        <w:t xml:space="preserve">Use Report a bug in the application header to report a product issue from the screen where it occurred. Include what you were doing, what you expected, what happened, and the affected area; attach a privacy-safe screenshot when it helps explain the problem.</w:t>
      </w:r>
    </w:p>
    <w:p>
      <w:pPr>
        <w:pStyle w:val="ListParagraph"/>
        <w:numPr>
          <w:ilvl w:val="0"/>
          <w:numId w:val="2"/>
        </w:numPr>
        <w:spacing w:after="40"/>
        <w:ind w:left="892"/>
      </w:pPr>
      <w:r>
        <w:rPr>
          <w:sz w:val="21"/>
          <w:szCs w:val="21"/>
        </w:rPr>
        <w:t xml:space="preserve">During implementation, work with your assigned AssureOne implementation team for firm and portal configuration, team setup, workflow design, integrations, data-migration planning, validation, testing, and launch preparation.</w:t>
      </w:r>
    </w:p>
    <w:p>
      <w:pPr>
        <w:spacing w:after="40" w:before="70"/>
        <w:ind w:left="403"/>
      </w:pPr>
      <w:r>
        <w:rPr>
          <w:color w:val="8B8FA3"/>
          <w:sz w:val="17"/>
          <w:szCs w:val="17"/>
        </w:rPr>
        <w:t xml:space="preserve">Ref: pro-what-support-channels-are-available-if-we-run-into-an-issue-9</w:t>
      </w:r>
    </w:p>
    <w:p>
      <w:pPr>
        <w:keepNext/>
        <w:spacing w:after="90" w:before="220"/>
      </w:pPr>
      <w:r>
        <w:rPr>
          <w:b/>
          <w:bCs/>
          <w:color w:val="1A1C2E"/>
          <w:sz w:val="24"/>
          <w:szCs w:val="24"/>
        </w:rPr>
        <w:t xml:space="preserve">9.   Can administrators review recent activity across the firm?</w:t>
      </w:r>
    </w:p>
    <w:p>
      <w:pPr>
        <w:spacing w:after="60"/>
        <w:ind w:left="403"/>
      </w:pPr>
      <w:r>
        <w:rPr>
          <w:sz w:val="22"/>
          <w:szCs w:val="22"/>
        </w:rPr>
        <w:t xml:space="preserve">Yes. The Overview dashboard's Recent Activity area helps administrators review selected firm-user, client-user, and system events across the firm. An entry identifies what happened, the associated person or record, and when it occurred—for example, an invitation being sent or accepted, a client portal login, or a contact update. Recent Activity is an operational history and should not be treated as a complete compliance or security audit log.</w:t>
      </w:r>
    </w:p>
    <w:p>
      <w:pPr>
        <w:spacing w:after="40" w:before="70"/>
        <w:ind w:left="403"/>
      </w:pPr>
      <w:r>
        <w:rPr>
          <w:color w:val="8B8FA3"/>
          <w:sz w:val="17"/>
          <w:szCs w:val="17"/>
        </w:rPr>
        <w:t xml:space="preserve">Ref: pro-is-there-an-audit-log-of-staff-actions-across-the-firm-10</w:t>
      </w:r>
    </w:p>
    <w:p>
      <w:r>
        <w:br w:type="page"/>
      </w:r>
    </w:p>
    <w:p>
      <w:pPr>
        <w:pStyle w:val="Heading1"/>
        <w:spacing w:after="40" w:before="60"/>
      </w:pPr>
      <w:r>
        <w:rPr>
          <w:b/>
          <w:bCs/>
          <w:color w:val="1A1C2E"/>
          <w:sz w:val="32"/>
          <w:szCs w:val="32"/>
        </w:rPr>
        <w:t xml:space="preserve">Dashboard</w:t>
      </w:r>
    </w:p>
    <w:p>
      <w:pPr>
        <w:pBdr>
          <w:bottom w:val="single" w:color="E4E2F0" w:sz="4"/>
        </w:pBdr>
        <w:spacing w:after="200"/>
      </w:pPr>
      <w:r>
        <w:rPr>
          <w:color w:val="8B8FA3"/>
          <w:sz w:val="20"/>
          <w:szCs w:val="20"/>
        </w:rPr>
        <w:t xml:space="preserve">11 questions</w:t>
      </w:r>
    </w:p>
    <w:p>
      <w:pPr>
        <w:keepNext/>
        <w:spacing w:after="90" w:before="220"/>
      </w:pPr>
      <w:r>
        <w:rPr>
          <w:b/>
          <w:bCs/>
          <w:color w:val="1A1C2E"/>
          <w:sz w:val="24"/>
          <w:szCs w:val="24"/>
        </w:rPr>
        <w:t xml:space="preserve">1.   What is on the AssurePro Overview?</w:t>
      </w:r>
    </w:p>
    <w:p>
      <w:pPr>
        <w:spacing w:after="60"/>
        <w:ind w:left="403"/>
      </w:pPr>
      <w:r>
        <w:rPr>
          <w:sz w:val="22"/>
          <w:szCs w:val="22"/>
        </w:rPr>
        <w:t xml:space="preserve">The Overview is the firm's operating dashboard. It combines an AI-generated daily briefing with configurable widgets for clients, engagements, team workload, deadlines, workflow bottlenecks, invoices, tasks, and review work. Select a widget or record to open the client, engagement, task, invoice, or report behind that summary.</w:t>
      </w:r>
    </w:p>
    <w:p>
      <w:pPr>
        <w:spacing w:after="40" w:before="70"/>
        <w:ind w:left="403"/>
      </w:pPr>
      <w:r>
        <w:rPr>
          <w:color w:val="8B8FA3"/>
          <w:sz w:val="17"/>
          <w:szCs w:val="17"/>
        </w:rPr>
        <w:t xml:space="preserve">Ref: pro-what-is-on-the-assurepro-overview-3</w:t>
      </w:r>
    </w:p>
    <w:p>
      <w:pPr>
        <w:keepNext/>
        <w:spacing w:after="90" w:before="220"/>
      </w:pPr>
      <w:r>
        <w:rPr>
          <w:b/>
          <w:bCs/>
          <w:color w:val="1A1C2E"/>
          <w:sz w:val="24"/>
          <w:szCs w:val="24"/>
        </w:rPr>
        <w:t xml:space="preserve">2.   Can the Overview dashboard be customized?</w:t>
      </w:r>
    </w:p>
    <w:p>
      <w:pPr>
        <w:spacing w:after="90"/>
        <w:ind w:left="403"/>
      </w:pPr>
      <w:r>
        <w:rPr>
          <w:sz w:val="22"/>
          <w:szCs w:val="22"/>
        </w:rPr>
        <w:t xml:space="preserve">Yes. Select Edit layout to choose which available widgets appear on the Overview, arrange them in the preferred order, and save the layout.</w:t>
      </w:r>
    </w:p>
    <w:p>
      <w:pPr>
        <w:spacing w:after="90"/>
        <w:ind w:left="403"/>
      </w:pPr>
      <w:r>
        <w:rPr>
          <w:b/>
          <w:bCs/>
          <w:color w:val="4735BE"/>
          <w:sz w:val="18"/>
          <w:szCs w:val="18"/>
        </w:rPr>
        <w:t xml:space="preserve">More   </w:t>
      </w:r>
      <w:r>
        <w:rPr>
          <w:sz w:val="22"/>
          <w:szCs w:val="22"/>
        </w:rPr>
        <w:t xml:space="preserve">For example, a partner may prioritize financial performance and workflow bottlenecks, while a manager may focus on engagements, review work, deadlines, and team capacity. The layout is saved for the signed-in firm user. Select Reset layout at any time to restore the standard arrangement.</w:t>
      </w:r>
    </w:p>
    <w:p>
      <w:pPr>
        <w:spacing w:after="40" w:before="70"/>
        <w:ind w:left="403"/>
      </w:pPr>
      <w:r>
        <w:rPr>
          <w:color w:val="8B8FA3"/>
          <w:sz w:val="17"/>
          <w:szCs w:val="17"/>
        </w:rPr>
        <w:t xml:space="preserve">Ref: pro-can-the-overview-dashboard-be-customized-4</w:t>
      </w:r>
    </w:p>
    <w:p>
      <w:pPr>
        <w:keepNext/>
        <w:spacing w:after="90" w:before="220"/>
      </w:pPr>
      <w:r>
        <w:rPr>
          <w:b/>
          <w:bCs/>
          <w:color w:val="1A1C2E"/>
          <w:sz w:val="24"/>
          <w:szCs w:val="24"/>
        </w:rPr>
        <w:t xml:space="preserve">3.   What reports are available on Overview?</w:t>
      </w:r>
    </w:p>
    <w:p>
      <w:pPr>
        <w:spacing w:after="90"/>
        <w:ind w:left="403"/>
      </w:pPr>
      <w:r>
        <w:rPr>
          <w:sz w:val="22"/>
          <w:szCs w:val="22"/>
        </w:rPr>
        <w:t xml:space="preserve">Overview includes Revenue by service line, Hours logged monthly, A/R aging, Tasks completed monthly, Agreement funnel, Top clients by revenue, and Workflow stages. Workflow stages shows each stage's active and overdue counts, average days, and load.</w:t>
      </w:r>
    </w:p>
    <w:p>
      <w:pPr>
        <w:spacing w:after="90"/>
        <w:ind w:left="403"/>
      </w:pPr>
      <w:r>
        <w:rPr>
          <w:b/>
          <w:bCs/>
          <w:color w:val="4735BE"/>
          <w:sz w:val="18"/>
          <w:szCs w:val="18"/>
        </w:rPr>
        <w:t xml:space="preserve">More   </w:t>
      </w:r>
      <w:r>
        <w:rPr>
          <w:sz w:val="22"/>
          <w:szCs w:val="22"/>
        </w:rPr>
        <w:t xml:space="preserve">Revenue by service line explains where billed value comes from; Hours logged compares logged, billable, and billed time; A/R aging groups unpaid balances by age; Tasks completed shows operational throughput; Agreement funnel tracks signing; Top clients shows concentration; and Workflow stages shows volume, overdue work, age, and load.</w:t>
      </w:r>
    </w:p>
    <w:p>
      <w:pPr>
        <w:spacing w:after="40" w:before="70"/>
        <w:ind w:left="403"/>
      </w:pPr>
      <w:r>
        <w:rPr>
          <w:color w:val="8B8FA3"/>
          <w:sz w:val="17"/>
          <w:szCs w:val="17"/>
        </w:rPr>
        <w:t xml:space="preserve">Ref: pro-what-reports-are-available-on-overview-132</w:t>
      </w:r>
    </w:p>
    <w:p>
      <w:pPr>
        <w:keepNext/>
        <w:spacing w:after="90" w:before="220"/>
      </w:pPr>
      <w:r>
        <w:rPr>
          <w:b/>
          <w:bCs/>
          <w:color w:val="1A1C2E"/>
          <w:sz w:val="24"/>
          <w:szCs w:val="24"/>
        </w:rPr>
        <w:t xml:space="preserve">4.   What happens when I select Full report on an Overview card?</w:t>
      </w:r>
    </w:p>
    <w:p>
      <w:pPr>
        <w:spacing w:after="90"/>
        <w:ind w:left="403"/>
      </w:pPr>
      <w:r>
        <w:rPr>
          <w:sz w:val="22"/>
          <w:szCs w:val="22"/>
        </w:rPr>
        <w:t xml:space="preserve">Full report opens the detailed dashboard connected to the selected Overview card instead of expanding that card on the Overview page. The focused dashboard keeps the reporting-period controls and provides the related metrics, breakdowns, and Export action in one view.</w:t>
      </w:r>
    </w:p>
    <w:p>
      <w:pPr>
        <w:spacing w:after="90"/>
        <w:ind w:left="403"/>
      </w:pPr>
      <w:r>
        <w:rPr>
          <w:b/>
          <w:bCs/>
          <w:color w:val="4735BE"/>
          <w:sz w:val="18"/>
          <w:szCs w:val="18"/>
        </w:rPr>
        <w:t xml:space="preserve">More   </w:t>
      </w:r>
      <w:r>
        <w:rPr>
          <w:sz w:val="22"/>
          <w:szCs w:val="22"/>
        </w:rPr>
        <w:t xml:space="preserve">For example, Full revenue report opens Revenue Snapshot, where a firm user can review total revenue, revenue per billed client, new-versus-existing client revenue, revenue mix, cross-sell measures, and service-line detail for the selected period.</w:t>
      </w:r>
    </w:p>
    <w:p>
      <w:pPr>
        <w:spacing w:after="40" w:before="70"/>
        <w:ind w:left="403"/>
      </w:pPr>
      <w:r>
        <w:rPr>
          <w:color w:val="8B8FA3"/>
          <w:sz w:val="17"/>
          <w:szCs w:val="17"/>
        </w:rPr>
        <w:t xml:space="preserve">Ref: pro-what-happens-when-i-select-full-report-on-an-overview-card-135</w:t>
      </w:r>
    </w:p>
    <w:p>
      <w:pPr>
        <w:keepNext/>
        <w:spacing w:after="90" w:before="220"/>
      </w:pPr>
      <w:r>
        <w:rPr>
          <w:b/>
          <w:bCs/>
          <w:color w:val="1A1C2E"/>
          <w:sz w:val="24"/>
          <w:szCs w:val="24"/>
        </w:rPr>
        <w:t xml:space="preserve">5.   What is available in My Report?</w:t>
      </w:r>
    </w:p>
    <w:p>
      <w:pPr>
        <w:spacing w:after="90"/>
        <w:ind w:left="403"/>
      </w:pPr>
      <w:r>
        <w:rPr>
          <w:sz w:val="22"/>
          <w:szCs w:val="22"/>
        </w:rPr>
        <w:t xml:space="preserve">My Report organizes dashboards into Starter dashboards, Shared with the firm, and My dashboards. Starter dashboards provide ready-to-use views, shared dashboards are available to firm users with report access, and My dashboards contains the signed-in firm user's saved dashboards.</w:t>
      </w:r>
    </w:p>
    <w:p>
      <w:pPr>
        <w:spacing w:after="90"/>
        <w:ind w:left="403"/>
      </w:pPr>
      <w:r>
        <w:rPr>
          <w:b/>
          <w:bCs/>
          <w:color w:val="4735BE"/>
          <w:sz w:val="18"/>
          <w:szCs w:val="18"/>
        </w:rPr>
        <w:t xml:space="preserve">More   </w:t>
      </w:r>
      <w:r>
        <w:rPr>
          <w:sz w:val="22"/>
          <w:szCs w:val="22"/>
        </w:rPr>
        <w:t xml:space="preserve">This separation lets your firm keep standard management views available to the team while allowing individual firm users to build personal dashboards without changing the shared versions.</w:t>
      </w:r>
    </w:p>
    <w:p>
      <w:pPr>
        <w:spacing w:after="40" w:before="70"/>
        <w:ind w:left="403"/>
      </w:pPr>
      <w:r>
        <w:rPr>
          <w:color w:val="8B8FA3"/>
          <w:sz w:val="17"/>
          <w:szCs w:val="17"/>
        </w:rPr>
        <w:t xml:space="preserve">Ref: pro-what-is-available-in-my-report-138</w:t>
      </w:r>
    </w:p>
    <w:p>
      <w:pPr>
        <w:keepNext/>
        <w:spacing w:after="90" w:before="220"/>
      </w:pPr>
      <w:r>
        <w:rPr>
          <w:b/>
          <w:bCs/>
          <w:color w:val="1A1C2E"/>
          <w:sz w:val="24"/>
          <w:szCs w:val="24"/>
        </w:rPr>
        <w:t xml:space="preserve">6.   Which starter dashboards are available?</w:t>
      </w:r>
    </w:p>
    <w:p>
      <w:pPr>
        <w:spacing w:after="90"/>
        <w:ind w:left="403"/>
      </w:pPr>
      <w:r>
        <w:rPr>
          <w:sz w:val="22"/>
          <w:szCs w:val="22"/>
        </w:rPr>
        <w:t xml:space="preserve">The starter dashboards are Revenue Snapshot, Client Health, Billing &amp; Collections, Agreement Pipeline, Workflow &amp; Capacity, Task Dashboard, Time &amp; Utilization, and Firm Pulse. Each combines a focused set of widgets for that operating question.</w:t>
      </w:r>
    </w:p>
    <w:p>
      <w:pPr>
        <w:spacing w:after="90"/>
        <w:ind w:left="403"/>
      </w:pPr>
      <w:r>
        <w:rPr>
          <w:b/>
          <w:bCs/>
          <w:color w:val="4735BE"/>
          <w:sz w:val="18"/>
          <w:szCs w:val="18"/>
        </w:rPr>
        <w:t xml:space="preserve">More   </w:t>
      </w:r>
      <w:r>
        <w:rPr>
          <w:sz w:val="22"/>
          <w:szCs w:val="22"/>
        </w:rPr>
        <w:t xml:space="preserve">Use Revenue Snapshot for growth and mix, Client Health for relationship attention, Billing &amp; Collections for receivables, Agreement Pipeline for signing progress, Workflow &amp; Capacity for delivery pressure, Task Dashboard for execution, Time &amp; Utilization for effort, and Firm Pulse for a broad operating summary.</w:t>
      </w:r>
    </w:p>
    <w:p>
      <w:pPr>
        <w:spacing w:after="40" w:before="70"/>
        <w:ind w:left="403"/>
      </w:pPr>
      <w:r>
        <w:rPr>
          <w:color w:val="8B8FA3"/>
          <w:sz w:val="17"/>
          <w:szCs w:val="17"/>
        </w:rPr>
        <w:t xml:space="preserve">Ref: pro-which-starter-dashboards-are-available-139</w:t>
      </w:r>
    </w:p>
    <w:p>
      <w:pPr>
        <w:keepNext/>
        <w:spacing w:after="90" w:before="220"/>
      </w:pPr>
      <w:r>
        <w:rPr>
          <w:b/>
          <w:bCs/>
          <w:color w:val="1A1C2E"/>
          <w:sz w:val="24"/>
          <w:szCs w:val="24"/>
        </w:rPr>
        <w:t xml:space="preserve">7.   How do I build a custom dashboard?</w:t>
      </w:r>
    </w:p>
    <w:p>
      <w:pPr>
        <w:spacing w:after="90"/>
        <w:ind w:left="403"/>
      </w:pPr>
      <w:r>
        <w:rPr>
          <w:sz w:val="22"/>
          <w:szCs w:val="22"/>
        </w:rPr>
        <w:t xml:space="preserve">Build a custom dashboard from Reports &gt; Templates by selecting the report widgets that answer the management question you want to track. After selecting at least one widget, you can arrange the layout and save the dashboard for personal use or share it with the firm.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Templates.</w:t>
      </w:r>
    </w:p>
    <w:p>
      <w:pPr>
        <w:pStyle w:val="ListParagraph"/>
        <w:numPr>
          <w:ilvl w:val="0"/>
          <w:numId w:val="2"/>
        </w:numPr>
        <w:spacing w:after="40"/>
        <w:ind w:left="892"/>
      </w:pPr>
      <w:r>
        <w:rPr>
          <w:sz w:val="21"/>
          <w:szCs w:val="21"/>
        </w:rPr>
        <w:t xml:space="preserve">Search for a widget or filter the library by category.</w:t>
      </w:r>
    </w:p>
    <w:p>
      <w:pPr>
        <w:pStyle w:val="ListParagraph"/>
        <w:numPr>
          <w:ilvl w:val="0"/>
          <w:numId w:val="2"/>
        </w:numPr>
        <w:spacing w:after="40"/>
        <w:ind w:left="892"/>
      </w:pPr>
      <w:r>
        <w:rPr>
          <w:sz w:val="21"/>
          <w:szCs w:val="21"/>
        </w:rPr>
        <w:t xml:space="preserve">Select the widgets needed for the dashboard.</w:t>
      </w:r>
    </w:p>
    <w:p>
      <w:pPr>
        <w:pStyle w:val="ListParagraph"/>
        <w:numPr>
          <w:ilvl w:val="0"/>
          <w:numId w:val="2"/>
        </w:numPr>
        <w:spacing w:after="40"/>
        <w:ind w:left="892"/>
      </w:pPr>
      <w:r>
        <w:rPr>
          <w:sz w:val="21"/>
          <w:szCs w:val="21"/>
        </w:rPr>
        <w:t xml:space="preserve">Review the selected widgets, which appear in selection order.</w:t>
      </w:r>
    </w:p>
    <w:p>
      <w:pPr>
        <w:pStyle w:val="ListParagraph"/>
        <w:numPr>
          <w:ilvl w:val="0"/>
          <w:numId w:val="2"/>
        </w:numPr>
        <w:spacing w:after="40"/>
        <w:ind w:left="892"/>
      </w:pPr>
      <w:r>
        <w:rPr>
          <w:sz w:val="21"/>
          <w:szCs w:val="21"/>
        </w:rPr>
        <w:t xml:space="preserve">Drag widgets into the preferred order and choose a width and, when the widget displays a height control, adjust its height.</w:t>
      </w:r>
    </w:p>
    <w:p>
      <w:pPr>
        <w:pStyle w:val="ListParagraph"/>
        <w:numPr>
          <w:ilvl w:val="0"/>
          <w:numId w:val="2"/>
        </w:numPr>
        <w:spacing w:after="40"/>
        <w:ind w:left="892"/>
      </w:pPr>
      <w:r>
        <w:rPr>
          <w:sz w:val="21"/>
          <w:szCs w:val="21"/>
        </w:rPr>
        <w:t xml:space="preserve">Select Save dashboard.</w:t>
      </w:r>
    </w:p>
    <w:p>
      <w:pPr>
        <w:pStyle w:val="ListParagraph"/>
        <w:numPr>
          <w:ilvl w:val="0"/>
          <w:numId w:val="2"/>
        </w:numPr>
        <w:spacing w:after="40"/>
        <w:ind w:left="892"/>
      </w:pPr>
      <w:r>
        <w:rPr>
          <w:sz w:val="21"/>
          <w:szCs w:val="21"/>
        </w:rPr>
        <w:t xml:space="preserve">Enter a name and optional description, then decide whether to Share with the firm.</w:t>
      </w:r>
    </w:p>
    <w:p>
      <w:pPr>
        <w:pStyle w:val="ListParagraph"/>
        <w:numPr>
          <w:ilvl w:val="0"/>
          <w:numId w:val="2"/>
        </w:numPr>
        <w:spacing w:after="40"/>
        <w:ind w:left="892"/>
      </w:pPr>
      <w:r>
        <w:rPr>
          <w:sz w:val="21"/>
          <w:szCs w:val="21"/>
        </w:rPr>
        <w:t xml:space="preserve">Save the dashboard; a shared dashboard is visible to everyone with report access.</w:t>
      </w:r>
    </w:p>
    <w:p>
      <w:pPr>
        <w:spacing w:after="40" w:before="70"/>
        <w:ind w:left="403"/>
      </w:pPr>
      <w:r>
        <w:rPr>
          <w:color w:val="8B8FA3"/>
          <w:sz w:val="17"/>
          <w:szCs w:val="17"/>
        </w:rPr>
        <w:t xml:space="preserve">Ref: pro-how-do-i-build-a-custom-dashboard-140</w:t>
      </w:r>
    </w:p>
    <w:p>
      <w:pPr>
        <w:keepNext/>
        <w:spacing w:after="90" w:before="220"/>
      </w:pPr>
      <w:r>
        <w:rPr>
          <w:b/>
          <w:bCs/>
          <w:color w:val="1A1C2E"/>
          <w:sz w:val="24"/>
          <w:szCs w:val="24"/>
        </w:rPr>
        <w:t xml:space="preserve">8.   How can report widgets be arranged?</w:t>
      </w:r>
    </w:p>
    <w:p>
      <w:pPr>
        <w:spacing w:after="90"/>
        <w:ind w:left="403"/>
      </w:pPr>
      <w:r>
        <w:rPr>
          <w:sz w:val="22"/>
          <w:szCs w:val="22"/>
        </w:rPr>
        <w:t xml:space="preserve">Selected widgets can be dragged into a new order. The layout controls offer one-third, one-half, two-thirds, and full width, and displays a height control on widgets that can be resized vertically. A widget can also be moved or removed before the dashboard is saved.</w:t>
      </w:r>
    </w:p>
    <w:p>
      <w:pPr>
        <w:spacing w:after="90"/>
        <w:ind w:left="403"/>
      </w:pPr>
      <w:r>
        <w:rPr>
          <w:b/>
          <w:bCs/>
          <w:color w:val="4735BE"/>
          <w:sz w:val="18"/>
          <w:szCs w:val="18"/>
        </w:rPr>
        <w:t xml:space="preserve">More   </w:t>
      </w:r>
      <w:r>
        <w:rPr>
          <w:sz w:val="22"/>
          <w:szCs w:val="22"/>
        </w:rPr>
        <w:t xml:space="preserve">A headline metric can use one-third width beside related cards, while a detailed table can use Full width. After changing width or height, review the dashboard at the normal screen size and reorder widgets so the most important decision appears first rather than simply preserving selection order.</w:t>
      </w:r>
    </w:p>
    <w:p>
      <w:pPr>
        <w:spacing w:after="40" w:before="70"/>
        <w:ind w:left="403"/>
      </w:pPr>
      <w:r>
        <w:rPr>
          <w:color w:val="8B8FA3"/>
          <w:sz w:val="17"/>
          <w:szCs w:val="17"/>
        </w:rPr>
        <w:t xml:space="preserve">Ref: pro-how-can-report-widgets-be-arranged-141</w:t>
      </w:r>
    </w:p>
    <w:p>
      <w:pPr>
        <w:keepNext/>
        <w:spacing w:after="90" w:before="220"/>
      </w:pPr>
      <w:r>
        <w:rPr>
          <w:b/>
          <w:bCs/>
          <w:color w:val="1A1C2E"/>
          <w:sz w:val="24"/>
          <w:szCs w:val="24"/>
        </w:rPr>
        <w:t xml:space="preserve">9.   How do I share or manage a custom dashboard?</w:t>
      </w:r>
    </w:p>
    <w:p>
      <w:pPr>
        <w:spacing w:after="90"/>
        <w:ind w:left="403"/>
      </w:pPr>
      <w:r>
        <w:rPr>
          <w:sz w:val="22"/>
          <w:szCs w:val="22"/>
        </w:rPr>
        <w:t xml:space="preserve">Enable Share with the firm when saving a dashboard to make it available to firm users with report access. Owners and administrators can manage a shared dashboard using Edit widgets, Rename, Duplicate to my dashboards, Make private, and Delete.</w:t>
      </w:r>
    </w:p>
    <w:p>
      <w:pPr>
        <w:spacing w:after="90"/>
        <w:ind w:left="403"/>
      </w:pPr>
      <w:r>
        <w:rPr>
          <w:b/>
          <w:bCs/>
          <w:color w:val="4735BE"/>
          <w:sz w:val="18"/>
          <w:szCs w:val="18"/>
        </w:rPr>
        <w:t xml:space="preserve">More   </w:t>
      </w:r>
      <w:r>
        <w:rPr>
          <w:sz w:val="22"/>
          <w:szCs w:val="22"/>
        </w:rPr>
        <w:t xml:space="preserve">Use Duplicate to my dashboards before experimenting with a starter or shared view. Rename it for the management question it answers, edit widgets, and enable Share with the firm only when the content is ready; Make private withdraws a shared dashboard without deleting it, while Delete removes it.</w:t>
      </w:r>
    </w:p>
    <w:p>
      <w:pPr>
        <w:spacing w:after="40" w:before="70"/>
        <w:ind w:left="403"/>
      </w:pPr>
      <w:r>
        <w:rPr>
          <w:color w:val="8B8FA3"/>
          <w:sz w:val="17"/>
          <w:szCs w:val="17"/>
        </w:rPr>
        <w:t xml:space="preserve">Ref: pro-how-do-i-share-or-manage-a-custom-dashboard-142</w:t>
      </w:r>
    </w:p>
    <w:p>
      <w:pPr>
        <w:keepNext/>
        <w:spacing w:after="90" w:before="220"/>
      </w:pPr>
      <w:r>
        <w:rPr>
          <w:b/>
          <w:bCs/>
          <w:color w:val="1A1C2E"/>
          <w:sz w:val="24"/>
          <w:szCs w:val="24"/>
        </w:rPr>
        <w:t xml:space="preserve">10.   Which report-widget categories can I use?</w:t>
      </w:r>
    </w:p>
    <w:p>
      <w:pPr>
        <w:spacing w:after="90"/>
        <w:ind w:left="403"/>
      </w:pPr>
      <w:r>
        <w:rPr>
          <w:sz w:val="22"/>
          <w:szCs w:val="22"/>
        </w:rPr>
        <w:t xml:space="preserve">Templates groups widgets into Revenue, Clients, Workflow, Tasks, Time, Billing, and Agreements. The library includes headline metrics, trend charts, mixes and ageing reports, assignee and client breakdowns, operational lists, and budget-versus-actual views grouped under the category they measure.</w:t>
      </w:r>
    </w:p>
    <w:p>
      <w:pPr>
        <w:spacing w:after="90"/>
        <w:ind w:left="403"/>
      </w:pPr>
      <w:r>
        <w:rPr>
          <w:b/>
          <w:bCs/>
          <w:color w:val="4735BE"/>
          <w:sz w:val="18"/>
          <w:szCs w:val="18"/>
        </w:rPr>
        <w:t xml:space="preserve">More   </w:t>
      </w:r>
      <w:r>
        <w:rPr>
          <w:sz w:val="22"/>
          <w:szCs w:val="22"/>
        </w:rPr>
        <w:t xml:space="preserve">For example, combine Total revenue from Revenue, New clients from Clients, Stage ageing from Workflow, Overdue tasks from Tasks, Utilization from Time, A/R ageing from Billing, and Agreement funnel from Agreements. Search finds a known widget; category filters are better for exploring related measures.</w:t>
      </w:r>
    </w:p>
    <w:p>
      <w:pPr>
        <w:spacing w:after="40" w:before="70"/>
        <w:ind w:left="403"/>
      </w:pPr>
      <w:r>
        <w:rPr>
          <w:color w:val="8B8FA3"/>
          <w:sz w:val="17"/>
          <w:szCs w:val="17"/>
        </w:rPr>
        <w:t xml:space="preserve">Ref: pro-which-report-widget-categories-can-i-use-143</w:t>
      </w:r>
    </w:p>
    <w:p>
      <w:pPr>
        <w:keepNext/>
        <w:spacing w:after="90" w:before="220"/>
      </w:pPr>
      <w:r>
        <w:rPr>
          <w:b/>
          <w:bCs/>
          <w:color w:val="1A1C2E"/>
          <w:sz w:val="24"/>
          <w:szCs w:val="24"/>
        </w:rPr>
        <w:t xml:space="preserve">11.   How does the dashboard help identify work needing attention?</w:t>
      </w:r>
    </w:p>
    <w:p>
      <w:pPr>
        <w:spacing w:after="90"/>
        <w:ind w:left="403"/>
      </w:pPr>
      <w:r>
        <w:rPr>
          <w:sz w:val="22"/>
          <w:szCs w:val="22"/>
        </w:rPr>
        <w:t xml:space="preserve">The dashboard highlights work that may need follow-up, including approaching or missed deadlines, stalled engagements, review queues, unsigned engagement letters, overdue tasks, workload pressure, receivables, and key filing dates. Select a tile to open the underlying records and take action.</w:t>
      </w:r>
    </w:p>
    <w:p>
      <w:pPr>
        <w:spacing w:after="90"/>
        <w:ind w:left="403"/>
      </w:pPr>
      <w:r>
        <w:rPr>
          <w:b/>
          <w:bCs/>
          <w:color w:val="4735BE"/>
          <w:sz w:val="18"/>
          <w:szCs w:val="18"/>
        </w:rPr>
        <w:t xml:space="preserve">More   </w:t>
      </w:r>
      <w:r>
        <w:rPr>
          <w:sz w:val="22"/>
          <w:szCs w:val="22"/>
        </w:rPr>
        <w:t xml:space="preserve">For example, an overdue-invoice card leads to Billing, a stalled-engagement or bottleneck card leads to Workflow, an awaiting-signature metric leads to Engagement Letter, and a team-load alert leads to Team &amp; Roles. The dashboard is therefore a starting queue, not only a static summary.</w:t>
      </w:r>
    </w:p>
    <w:p>
      <w:pPr>
        <w:spacing w:after="40" w:before="70"/>
        <w:ind w:left="403"/>
      </w:pPr>
      <w:r>
        <w:rPr>
          <w:color w:val="8B8FA3"/>
          <w:sz w:val="17"/>
          <w:szCs w:val="17"/>
        </w:rPr>
        <w:t xml:space="preserve">Ref: pro-how-does-the-dashboard-help-identify-work-needing-attention-145</w:t>
      </w:r>
    </w:p>
    <w:p>
      <w:r>
        <w:br w:type="page"/>
      </w:r>
    </w:p>
    <w:p>
      <w:pPr>
        <w:pStyle w:val="Heading1"/>
        <w:spacing w:after="40" w:before="60"/>
      </w:pPr>
      <w:r>
        <w:rPr>
          <w:b/>
          <w:bCs/>
          <w:color w:val="1A1C2E"/>
          <w:sz w:val="32"/>
          <w:szCs w:val="32"/>
        </w:rPr>
        <w:t xml:space="preserve">Settings</w:t>
      </w:r>
    </w:p>
    <w:p>
      <w:pPr>
        <w:pBdr>
          <w:bottom w:val="single" w:color="E4E2F0" w:sz="4"/>
        </w:pBdr>
        <w:spacing w:after="200"/>
      </w:pPr>
      <w:r>
        <w:rPr>
          <w:color w:val="8B8FA3"/>
          <w:sz w:val="20"/>
          <w:szCs w:val="20"/>
        </w:rPr>
        <w:t xml:space="preserve">20 questions</w:t>
      </w:r>
    </w:p>
    <w:p>
      <w:pPr>
        <w:keepNext/>
        <w:spacing w:after="90" w:before="220"/>
      </w:pPr>
      <w:r>
        <w:rPr>
          <w:b/>
          <w:bCs/>
          <w:color w:val="1A1C2E"/>
          <w:sz w:val="24"/>
          <w:szCs w:val="24"/>
        </w:rPr>
        <w:t xml:space="preserve">1.   What is included in AssurePro Settings?</w:t>
      </w:r>
    </w:p>
    <w:p>
      <w:pPr>
        <w:spacing w:after="90"/>
        <w:ind w:left="403"/>
      </w:pPr>
      <w:r>
        <w:rPr>
          <w:sz w:val="22"/>
          <w:szCs w:val="22"/>
        </w:rPr>
        <w:t xml:space="preserve">Settings is the central configuration area for AssurePro. Administrators use it to manage the firm's identity, client portal, teams and permissions, work standards, billing controls, communications, integrations, security, and reusable onboarding defaults.</w:t>
      </w:r>
    </w:p>
    <w:p>
      <w:pPr>
        <w:spacing w:after="90"/>
        <w:ind w:left="403"/>
      </w:pPr>
      <w:r>
        <w:rPr>
          <w:b/>
          <w:bCs/>
          <w:color w:val="4735BE"/>
          <w:sz w:val="18"/>
          <w:szCs w:val="18"/>
        </w:rPr>
        <w:t xml:space="preserve">More   </w:t>
      </w:r>
      <w:r>
        <w:rPr>
          <w:sz w:val="22"/>
          <w:szCs w:val="22"/>
        </w:rPr>
        <w:t xml:space="preserve">The navigation is grouped into Firm, Work, Money, Communication, and Access. For example, use Firm Profile for branding, Workflow for delivery stages, Reminders for automated follow-up, and Integrations for connected services.</w:t>
      </w:r>
    </w:p>
    <w:p>
      <w:pPr>
        <w:spacing w:after="40" w:before="70"/>
        <w:ind w:left="403"/>
      </w:pPr>
      <w:r>
        <w:rPr>
          <w:color w:val="8B8FA3"/>
          <w:sz w:val="17"/>
          <w:szCs w:val="17"/>
        </w:rPr>
        <w:t xml:space="preserve">Ref: pro-what-is-included-in-assurepro-settings-11</w:t>
      </w:r>
    </w:p>
    <w:p>
      <w:pPr>
        <w:keepNext/>
        <w:spacing w:after="90" w:before="220"/>
      </w:pPr>
      <w:r>
        <w:rPr>
          <w:b/>
          <w:bCs/>
          <w:color w:val="1A1C2E"/>
          <w:sz w:val="24"/>
          <w:szCs w:val="24"/>
        </w:rPr>
        <w:t xml:space="preserve">2.   How do I find a particular setting?</w:t>
      </w:r>
    </w:p>
    <w:p>
      <w:pPr>
        <w:spacing w:after="90"/>
        <w:ind w:left="403"/>
      </w:pPr>
      <w:r>
        <w:rPr>
          <w:sz w:val="22"/>
          <w:szCs w:val="22"/>
        </w:rPr>
        <w:t xml:space="preserve">Use Search settings when you know what you need but are unsure where it is located. Settings groups its configuration pages under Firm, Work, Money, Communication, and Access.</w:t>
      </w:r>
    </w:p>
    <w:p>
      <w:pPr>
        <w:spacing w:after="90"/>
        <w:ind w:left="403"/>
      </w:pPr>
      <w:r>
        <w:rPr>
          <w:b/>
          <w:bCs/>
          <w:color w:val="4735BE"/>
          <w:sz w:val="18"/>
          <w:szCs w:val="18"/>
        </w:rPr>
        <w:t xml:space="preserve">More   </w:t>
      </w:r>
      <w:r>
        <w:rPr>
          <w:sz w:val="22"/>
          <w:szCs w:val="22"/>
        </w:rPr>
        <w:t xml:space="preserve">Search settings matches page names in the left navigation; selecting a result opens that Settings page. For example, search “reminders” for automated follow-up schedules or “credentials” for the encrypted firm credential store.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from the Admin area of the main navigation.</w:t>
      </w:r>
    </w:p>
    <w:p>
      <w:pPr>
        <w:pStyle w:val="ListParagraph"/>
        <w:numPr>
          <w:ilvl w:val="0"/>
          <w:numId w:val="2"/>
        </w:numPr>
        <w:spacing w:after="40"/>
        <w:ind w:left="892"/>
      </w:pPr>
      <w:r>
        <w:rPr>
          <w:sz w:val="21"/>
          <w:szCs w:val="21"/>
        </w:rPr>
        <w:t xml:space="preserve">Enter a term in Search settings, or scan the five setting groups.</w:t>
      </w:r>
    </w:p>
    <w:p>
      <w:pPr>
        <w:pStyle w:val="ListParagraph"/>
        <w:numPr>
          <w:ilvl w:val="0"/>
          <w:numId w:val="2"/>
        </w:numPr>
        <w:spacing w:after="40"/>
        <w:ind w:left="892"/>
      </w:pPr>
      <w:r>
        <w:rPr>
          <w:sz w:val="21"/>
          <w:szCs w:val="21"/>
        </w:rPr>
        <w:t xml:space="preserve">Choose the matching Settings page; for example, Documents under Work or Notifications &amp; Email under Communication.</w:t>
      </w:r>
    </w:p>
    <w:p>
      <w:pPr>
        <w:spacing w:after="40" w:before="70"/>
        <w:ind w:left="403"/>
      </w:pPr>
      <w:r>
        <w:rPr>
          <w:color w:val="8B8FA3"/>
          <w:sz w:val="17"/>
          <w:szCs w:val="17"/>
        </w:rPr>
        <w:t xml:space="preserve">Ref: pro-how-do-i-find-a-particular-setting-12</w:t>
      </w:r>
    </w:p>
    <w:p>
      <w:pPr>
        <w:keepNext/>
        <w:spacing w:after="90" w:before="220"/>
      </w:pPr>
      <w:r>
        <w:rPr>
          <w:b/>
          <w:bCs/>
          <w:color w:val="1A1C2E"/>
          <w:sz w:val="24"/>
          <w:szCs w:val="24"/>
        </w:rPr>
        <w:t xml:space="preserve">3.   What should an administrator configure first?</w:t>
      </w:r>
    </w:p>
    <w:p>
      <w:pPr>
        <w:spacing w:after="90"/>
        <w:ind w:left="403"/>
      </w:pPr>
      <w:r>
        <w:rPr>
          <w:sz w:val="22"/>
          <w:szCs w:val="22"/>
        </w:rPr>
        <w:t xml:space="preserve">A practical setup order is Firm Profile, Team &amp; Roles, Engagement Types, Workflow, Documents, Tags, and Onboarding Defaults. Then configure money, communication, integrations, and access settings that apply to the firm's rollout.</w:t>
      </w:r>
    </w:p>
    <w:p>
      <w:pPr>
        <w:spacing w:after="90"/>
        <w:ind w:left="403"/>
      </w:pPr>
      <w:r>
        <w:rPr>
          <w:b/>
          <w:bCs/>
          <w:color w:val="4735BE"/>
          <w:sz w:val="18"/>
          <w:szCs w:val="18"/>
        </w:rPr>
        <w:t xml:space="preserve">More   </w:t>
      </w:r>
      <w:r>
        <w:rPr>
          <w:sz w:val="22"/>
          <w:szCs w:val="22"/>
        </w:rPr>
        <w:t xml:space="preserve">This order follows the dependencies in normal work: the firm identity and people come first, engagement types and workflows define delivery, document and onboarding defaults standardize new clients, and integrations enable email, storage, SMS, payments, calendars, and accounting. Test one internal or demo client from onboarding through billing before applying the configuration broadly.</w:t>
      </w:r>
    </w:p>
    <w:p>
      <w:pPr>
        <w:spacing w:after="40" w:before="70"/>
        <w:ind w:left="403"/>
      </w:pPr>
      <w:r>
        <w:rPr>
          <w:color w:val="8B8FA3"/>
          <w:sz w:val="17"/>
          <w:szCs w:val="17"/>
        </w:rPr>
        <w:t xml:space="preserve">Ref: pro-what-should-an-administrator-configure-first-13</w:t>
      </w:r>
    </w:p>
    <w:p>
      <w:pPr>
        <w:keepNext/>
        <w:spacing w:after="90" w:before="220"/>
      </w:pPr>
      <w:r>
        <w:rPr>
          <w:b/>
          <w:bCs/>
          <w:color w:val="1A1C2E"/>
          <w:sz w:val="24"/>
          <w:szCs w:val="24"/>
        </w:rPr>
        <w:t xml:space="preserve">4.   What can we maintain in Firm Profile?</w:t>
      </w:r>
    </w:p>
    <w:p>
      <w:pPr>
        <w:spacing w:after="90"/>
        <w:ind w:left="403"/>
      </w:pPr>
      <w:r>
        <w:rPr>
          <w:sz w:val="22"/>
          <w:szCs w:val="22"/>
        </w:rPr>
        <w:t xml:space="preserve">Firm Profile contains the firm logo, contact information, mailing address, registration identifier, and portal branding. The logo field accepts PNG, JPG, WEBP, or SVG files up to 1 MB with a minimum 256×256 size, and the page provides primary and accent color choices.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Firm Profile.</w:t>
      </w:r>
    </w:p>
    <w:p>
      <w:pPr>
        <w:pStyle w:val="ListParagraph"/>
        <w:numPr>
          <w:ilvl w:val="0"/>
          <w:numId w:val="2"/>
        </w:numPr>
        <w:spacing w:after="40"/>
        <w:ind w:left="892"/>
      </w:pPr>
      <w:r>
        <w:rPr>
          <w:sz w:val="21"/>
          <w:szCs w:val="21"/>
        </w:rPr>
        <w:t xml:space="preserve">Upload, preview, or remove the firm logo.</w:t>
      </w:r>
    </w:p>
    <w:p>
      <w:pPr>
        <w:pStyle w:val="ListParagraph"/>
        <w:numPr>
          <w:ilvl w:val="0"/>
          <w:numId w:val="2"/>
        </w:numPr>
        <w:spacing w:after="40"/>
        <w:ind w:left="892"/>
      </w:pPr>
      <w:r>
        <w:rPr>
          <w:sz w:val="21"/>
          <w:szCs w:val="21"/>
        </w:rPr>
        <w:t xml:space="preserve">Review the firm name, phone, email, website, mailing address, and EIN.</w:t>
      </w:r>
    </w:p>
    <w:p>
      <w:pPr>
        <w:pStyle w:val="ListParagraph"/>
        <w:numPr>
          <w:ilvl w:val="0"/>
          <w:numId w:val="2"/>
        </w:numPr>
        <w:spacing w:after="40"/>
        <w:ind w:left="892"/>
      </w:pPr>
      <w:r>
        <w:rPr>
          <w:sz w:val="21"/>
          <w:szCs w:val="21"/>
        </w:rPr>
        <w:t xml:space="preserve">Choose the primary and accent colors used on the portal, emails, and documents.</w:t>
      </w:r>
    </w:p>
    <w:p>
      <w:pPr>
        <w:pStyle w:val="ListParagraph"/>
        <w:numPr>
          <w:ilvl w:val="0"/>
          <w:numId w:val="2"/>
        </w:numPr>
        <w:spacing w:after="40"/>
        <w:ind w:left="892"/>
      </w:pPr>
      <w:r>
        <w:rPr>
          <w:sz w:val="21"/>
          <w:szCs w:val="21"/>
        </w:rPr>
        <w:t xml:space="preserve">Use the client-facing preview to confirm how the firm identity will appear; the page indicates when all changes are saved.</w:t>
      </w:r>
    </w:p>
    <w:p>
      <w:pPr>
        <w:spacing w:after="40" w:before="70"/>
        <w:ind w:left="403"/>
      </w:pPr>
      <w:r>
        <w:rPr>
          <w:color w:val="8B8FA3"/>
          <w:sz w:val="17"/>
          <w:szCs w:val="17"/>
        </w:rPr>
        <w:t xml:space="preserve">Ref: pro-what-can-we-maintain-in-firm-profile-14</w:t>
      </w:r>
    </w:p>
    <w:p>
      <w:pPr>
        <w:keepNext/>
        <w:spacing w:after="90" w:before="220"/>
      </w:pPr>
      <w:r>
        <w:rPr>
          <w:b/>
          <w:bCs/>
          <w:color w:val="1A1C2E"/>
          <w:sz w:val="24"/>
          <w:szCs w:val="24"/>
        </w:rPr>
        <w:t xml:space="preserve">5.   How is the client portal address configured?</w:t>
      </w:r>
    </w:p>
    <w:p>
      <w:pPr>
        <w:spacing w:after="90"/>
        <w:ind w:left="403"/>
      </w:pPr>
      <w:r>
        <w:rPr>
          <w:sz w:val="22"/>
          <w:szCs w:val="22"/>
        </w:rPr>
        <w:t xml:space="preserve">Client Portal controls the always-on AssurePro address and supports a branded custom domain. The default slug accepts lowercase letters, numbers, and hyphens up to 63 characters, and availability is checked when it is saved.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Client Portal.</w:t>
      </w:r>
    </w:p>
    <w:p>
      <w:pPr>
        <w:pStyle w:val="ListParagraph"/>
        <w:numPr>
          <w:ilvl w:val="0"/>
          <w:numId w:val="2"/>
        </w:numPr>
        <w:spacing w:after="40"/>
        <w:ind w:left="892"/>
      </w:pPr>
      <w:r>
        <w:rPr>
          <w:sz w:val="21"/>
          <w:szCs w:val="21"/>
        </w:rPr>
        <w:t xml:space="preserve">Enter the required Portal URL slug and select Save URL.</w:t>
      </w:r>
    </w:p>
    <w:p>
      <w:pPr>
        <w:pStyle w:val="ListParagraph"/>
        <w:numPr>
          <w:ilvl w:val="0"/>
          <w:numId w:val="2"/>
        </w:numPr>
        <w:spacing w:after="40"/>
        <w:ind w:left="892"/>
      </w:pPr>
      <w:r>
        <w:rPr>
          <w:sz w:val="21"/>
          <w:szCs w:val="21"/>
        </w:rPr>
        <w:t xml:space="preserve">Use Copy beside Current default URL when sharing the active address.</w:t>
      </w:r>
    </w:p>
    <w:p>
      <w:pPr>
        <w:pStyle w:val="ListParagraph"/>
        <w:numPr>
          <w:ilvl w:val="0"/>
          <w:numId w:val="2"/>
        </w:numPr>
        <w:spacing w:after="40"/>
        <w:ind w:left="892"/>
      </w:pPr>
      <w:r>
        <w:rPr>
          <w:sz w:val="21"/>
          <w:szCs w:val="21"/>
        </w:rPr>
        <w:t xml:space="preserve">To use a branded address, enter a domain such as portal.yourfirm.com and select Add domain.</w:t>
      </w:r>
    </w:p>
    <w:p>
      <w:pPr>
        <w:pStyle w:val="ListParagraph"/>
        <w:numPr>
          <w:ilvl w:val="0"/>
          <w:numId w:val="2"/>
        </w:numPr>
        <w:spacing w:after="40"/>
        <w:ind w:left="892"/>
      </w:pPr>
      <w:r>
        <w:rPr>
          <w:sz w:val="21"/>
          <w:szCs w:val="21"/>
        </w:rPr>
        <w:t xml:space="preserve">Continue using the active standard portal route until AssurePro shows that the custom domain has passed activation.</w:t>
      </w:r>
    </w:p>
    <w:p>
      <w:pPr>
        <w:spacing w:after="40" w:before="70"/>
        <w:ind w:left="403"/>
      </w:pPr>
      <w:r>
        <w:rPr>
          <w:color w:val="8B8FA3"/>
          <w:sz w:val="17"/>
          <w:szCs w:val="17"/>
        </w:rPr>
        <w:t xml:space="preserve">Ref: pro-how-is-the-client-portal-address-configured-15</w:t>
      </w:r>
    </w:p>
    <w:p>
      <w:pPr>
        <w:keepNext/>
        <w:spacing w:after="90" w:before="220"/>
      </w:pPr>
      <w:r>
        <w:rPr>
          <w:b/>
          <w:bCs/>
          <w:color w:val="1A1C2E"/>
          <w:sz w:val="24"/>
          <w:szCs w:val="24"/>
        </w:rPr>
        <w:t xml:space="preserve">6.   How are teams, members, invitations, and roles managed?</w:t>
      </w:r>
    </w:p>
    <w:p>
      <w:pPr>
        <w:spacing w:after="90"/>
        <w:ind w:left="403"/>
      </w:pPr>
      <w:r>
        <w:rPr>
          <w:sz w:val="22"/>
          <w:szCs w:val="22"/>
        </w:rPr>
        <w:t xml:space="preserve">Team &amp; Roles has Teams, Members, and Invitations tabs. Teams define access and shared operating defaults; Members shows each user's product access, team or role, status, and permission count; Invitations records the team invited, date sent, and pending, accepted, or cancelled status.</w:t>
      </w:r>
    </w:p>
    <w:p>
      <w:pPr>
        <w:spacing w:after="90"/>
        <w:ind w:left="403"/>
      </w:pPr>
      <w:r>
        <w:rPr>
          <w:b/>
          <w:bCs/>
          <w:color w:val="4735BE"/>
          <w:sz w:val="18"/>
          <w:szCs w:val="18"/>
        </w:rPr>
        <w:t xml:space="preserve">More   </w:t>
      </w:r>
      <w:r>
        <w:rPr>
          <w:sz w:val="22"/>
          <w:szCs w:val="22"/>
        </w:rPr>
        <w:t xml:space="preserve">Teams group people for assignment and workload visibility; Members lists active users, product access, role, status, and permission count; Invitations shows pending access; and Roles define reusable permission sets. Use the product selector when checking access because a person may have AssurePro access but different access in AssureTax, AssureAudit, or AssureBooks.</w:t>
      </w:r>
    </w:p>
    <w:p>
      <w:pPr>
        <w:spacing w:after="40" w:before="70"/>
        <w:ind w:left="403"/>
      </w:pPr>
      <w:r>
        <w:rPr>
          <w:color w:val="8B8FA3"/>
          <w:sz w:val="17"/>
          <w:szCs w:val="17"/>
        </w:rPr>
        <w:t xml:space="preserve">Ref: pro-how-are-teams-members-invitations-and-roles-managed-16</w:t>
      </w:r>
    </w:p>
    <w:p>
      <w:pPr>
        <w:keepNext/>
        <w:spacing w:after="90" w:before="220"/>
      </w:pPr>
      <w:r>
        <w:rPr>
          <w:b/>
          <w:bCs/>
          <w:color w:val="1A1C2E"/>
          <w:sz w:val="24"/>
          <w:szCs w:val="24"/>
        </w:rPr>
        <w:t xml:space="preserve">7.   What can be configured for a team?</w:t>
      </w:r>
    </w:p>
    <w:p>
      <w:pPr>
        <w:spacing w:after="90"/>
        <w:ind w:left="403"/>
      </w:pPr>
      <w:r>
        <w:rPr>
          <w:sz w:val="22"/>
          <w:szCs w:val="22"/>
        </w:rPr>
        <w:t xml:space="preserve">A team can have a name, description, standard hourly rate, client-access scope, members, and permissions. Access all clients gives the team firm-wide client access; otherwise, access follows the firm's client assignments.</w:t>
      </w:r>
    </w:p>
    <w:p>
      <w:pPr>
        <w:spacing w:after="90"/>
        <w:ind w:left="403"/>
      </w:pPr>
      <w:r>
        <w:rPr>
          <w:b/>
          <w:bCs/>
          <w:color w:val="4735BE"/>
          <w:sz w:val="18"/>
          <w:szCs w:val="18"/>
        </w:rPr>
        <w:t xml:space="preserve">More   </w:t>
      </w:r>
      <w:r>
        <w:rPr>
          <w:sz w:val="22"/>
          <w:szCs w:val="22"/>
        </w:rPr>
        <w:t xml:space="preserve">Configure teams around job responsibilities rather than individual exceptions. For example, a tax-preparation team may need access to assigned tax clients, documents, tasks, and workflows without receiving firm-wide billing or security permissions.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Team &amp; Roles and choose Teams.</w:t>
      </w:r>
    </w:p>
    <w:p>
      <w:pPr>
        <w:pStyle w:val="ListParagraph"/>
        <w:numPr>
          <w:ilvl w:val="0"/>
          <w:numId w:val="2"/>
        </w:numPr>
        <w:spacing w:after="40"/>
        <w:ind w:left="892"/>
      </w:pPr>
      <w:r>
        <w:rPr>
          <w:sz w:val="21"/>
          <w:szCs w:val="21"/>
        </w:rPr>
        <w:t xml:space="preserve">Select New team, or select Manage for an existing custom team.</w:t>
      </w:r>
    </w:p>
    <w:p>
      <w:pPr>
        <w:pStyle w:val="ListParagraph"/>
        <w:numPr>
          <w:ilvl w:val="0"/>
          <w:numId w:val="2"/>
        </w:numPr>
        <w:spacing w:after="40"/>
        <w:ind w:left="892"/>
      </w:pPr>
      <w:r>
        <w:rPr>
          <w:sz w:val="21"/>
          <w:szCs w:val="21"/>
        </w:rPr>
        <w:t xml:space="preserve">Enter the team name and description.</w:t>
      </w:r>
    </w:p>
    <w:p>
      <w:pPr>
        <w:pStyle w:val="ListParagraph"/>
        <w:numPr>
          <w:ilvl w:val="0"/>
          <w:numId w:val="2"/>
        </w:numPr>
        <w:spacing w:after="40"/>
        <w:ind w:left="892"/>
      </w:pPr>
      <w:r>
        <w:rPr>
          <w:sz w:val="21"/>
          <w:szCs w:val="21"/>
        </w:rPr>
        <w:t xml:space="preserve">Set the standard hourly rate when the firm uses one for the team.</w:t>
      </w:r>
    </w:p>
    <w:p>
      <w:pPr>
        <w:pStyle w:val="ListParagraph"/>
        <w:numPr>
          <w:ilvl w:val="0"/>
          <w:numId w:val="2"/>
        </w:numPr>
        <w:spacing w:after="40"/>
        <w:ind w:left="892"/>
      </w:pPr>
      <w:r>
        <w:rPr>
          <w:sz w:val="21"/>
          <w:szCs w:val="21"/>
        </w:rPr>
        <w:t xml:space="preserve">Choose whether the team can access all clients.</w:t>
      </w:r>
    </w:p>
    <w:p>
      <w:pPr>
        <w:pStyle w:val="ListParagraph"/>
        <w:numPr>
          <w:ilvl w:val="0"/>
          <w:numId w:val="2"/>
        </w:numPr>
        <w:spacing w:after="40"/>
        <w:ind w:left="892"/>
      </w:pPr>
      <w:r>
        <w:rPr>
          <w:sz w:val="21"/>
          <w:szCs w:val="21"/>
        </w:rPr>
        <w:t xml:space="preserve">Add the team members and select the permissions required for their responsibilities.</w:t>
      </w:r>
    </w:p>
    <w:p>
      <w:pPr>
        <w:pStyle w:val="ListParagraph"/>
        <w:numPr>
          <w:ilvl w:val="0"/>
          <w:numId w:val="2"/>
        </w:numPr>
        <w:spacing w:after="40"/>
        <w:ind w:left="892"/>
      </w:pPr>
      <w:r>
        <w:rPr>
          <w:sz w:val="21"/>
          <w:szCs w:val="21"/>
        </w:rPr>
        <w:t xml:space="preserve">Review the client-access scope and permissions, then save the team.</w:t>
      </w:r>
    </w:p>
    <w:p>
      <w:pPr>
        <w:spacing w:after="40" w:before="70"/>
        <w:ind w:left="403"/>
      </w:pPr>
      <w:r>
        <w:rPr>
          <w:color w:val="8B8FA3"/>
          <w:sz w:val="17"/>
          <w:szCs w:val="17"/>
        </w:rPr>
        <w:t xml:space="preserve">Ref: pro-what-can-be-configured-for-a-team-17</w:t>
      </w:r>
    </w:p>
    <w:p>
      <w:pPr>
        <w:keepNext/>
        <w:spacing w:after="90" w:before="220"/>
      </w:pPr>
      <w:r>
        <w:rPr>
          <w:b/>
          <w:bCs/>
          <w:color w:val="1A1C2E"/>
          <w:sz w:val="24"/>
          <w:szCs w:val="24"/>
        </w:rPr>
        <w:t xml:space="preserve">8.   How granular are team permissions?</w:t>
      </w:r>
    </w:p>
    <w:p>
      <w:pPr>
        <w:spacing w:after="90"/>
        <w:ind w:left="403"/>
      </w:pPr>
      <w:r>
        <w:rPr>
          <w:sz w:val="22"/>
          <w:szCs w:val="22"/>
        </w:rPr>
        <w:t xml:space="preserve">Team permissions are organized by work area and action. Administrators can control access to Client Management, Content &amp; Documents, Work &amp; Operations, Communication, Finance &amp; Compliance, Reporting &amp; Analytics, and Administration, with separate View, Create, Edit, Delete, and Assign controls for the work areas that support those actions.</w:t>
      </w:r>
    </w:p>
    <w:p>
      <w:pPr>
        <w:spacing w:after="90"/>
        <w:ind w:left="403"/>
      </w:pPr>
      <w:r>
        <w:rPr>
          <w:b/>
          <w:bCs/>
          <w:color w:val="4735BE"/>
          <w:sz w:val="18"/>
          <w:szCs w:val="18"/>
        </w:rPr>
        <w:t xml:space="preserve">More   </w:t>
      </w:r>
      <w:r>
        <w:rPr>
          <w:sz w:val="22"/>
          <w:szCs w:val="22"/>
        </w:rPr>
        <w:t xml:space="preserve">Review permissions by responsibility before inviting firm users. For example, a firm user may be allowed to view billing information without being able to create or cancel invoices, while an administrator may manage firm-wide settings and access.</w:t>
      </w:r>
    </w:p>
    <w:p>
      <w:pPr>
        <w:spacing w:after="40" w:before="70"/>
        <w:ind w:left="403"/>
      </w:pPr>
      <w:r>
        <w:rPr>
          <w:color w:val="8B8FA3"/>
          <w:sz w:val="17"/>
          <w:szCs w:val="17"/>
        </w:rPr>
        <w:t xml:space="preserve">Ref: pro-how-granular-are-team-permissions-18</w:t>
      </w:r>
    </w:p>
    <w:p>
      <w:pPr>
        <w:keepNext/>
        <w:spacing w:after="90" w:before="220"/>
      </w:pPr>
      <w:r>
        <w:rPr>
          <w:b/>
          <w:bCs/>
          <w:color w:val="1A1C2E"/>
          <w:sz w:val="24"/>
          <w:szCs w:val="24"/>
        </w:rPr>
        <w:t xml:space="preserve">9.   How do administrators review members and invitations?</w:t>
      </w:r>
    </w:p>
    <w:p>
      <w:pPr>
        <w:spacing w:after="90"/>
        <w:ind w:left="403"/>
      </w:pPr>
      <w:r>
        <w:rPr>
          <w:sz w:val="22"/>
          <w:szCs w:val="22"/>
        </w:rPr>
        <w:t xml:space="preserve">Members can be searched by name or email and filtered by role, with product access, active status, and permission totals visible in the table. Invitations shows the recipient, assigned team, sent date, and status; a pending invitation can be resent or cancelled.</w:t>
      </w:r>
    </w:p>
    <w:p>
      <w:pPr>
        <w:spacing w:after="90"/>
        <w:ind w:left="403"/>
      </w:pPr>
      <w:r>
        <w:rPr>
          <w:b/>
          <w:bCs/>
          <w:color w:val="4735BE"/>
          <w:sz w:val="18"/>
          <w:szCs w:val="18"/>
        </w:rPr>
        <w:t xml:space="preserve">More   </w:t>
      </w:r>
      <w:r>
        <w:rPr>
          <w:sz w:val="22"/>
          <w:szCs w:val="22"/>
        </w:rPr>
        <w:t xml:space="preserve">Use the member search and role filter to find a person, then check product access, role, active status, and permission count on the row. Use Invitations for users who have not completed activation; this separates an access problem from a pending invitation.</w:t>
      </w:r>
    </w:p>
    <w:p>
      <w:pPr>
        <w:spacing w:after="40" w:before="70"/>
        <w:ind w:left="403"/>
      </w:pPr>
      <w:r>
        <w:rPr>
          <w:color w:val="8B8FA3"/>
          <w:sz w:val="17"/>
          <w:szCs w:val="17"/>
        </w:rPr>
        <w:t xml:space="preserve">Ref: pro-how-do-administrators-review-members-and-invitations-19</w:t>
      </w:r>
    </w:p>
    <w:p>
      <w:pPr>
        <w:keepNext/>
        <w:spacing w:after="90" w:before="220"/>
      </w:pPr>
      <w:r>
        <w:rPr>
          <w:b/>
          <w:bCs/>
          <w:color w:val="1A1C2E"/>
          <w:sz w:val="24"/>
          <w:szCs w:val="24"/>
        </w:rPr>
        <w:t xml:space="preserve">10.   How do I invite a team member?</w:t>
      </w:r>
    </w:p>
    <w:p>
      <w:pPr>
        <w:spacing w:after="90"/>
        <w:ind w:left="403"/>
      </w:pPr>
      <w:r>
        <w:rPr>
          <w:sz w:val="22"/>
          <w:szCs w:val="22"/>
        </w:rPr>
        <w:t xml:space="preserve">Invite a firm user from Team &amp; Roles, where you select the role that matches the person's responsibilities before sending the account-activation email. The invitation remains visible until the recipient completes activation.</w:t>
      </w:r>
    </w:p>
    <w:p>
      <w:pPr>
        <w:spacing w:after="90"/>
        <w:ind w:left="403"/>
      </w:pPr>
      <w:r>
        <w:rPr>
          <w:b/>
          <w:bCs/>
          <w:color w:val="4735BE"/>
          <w:sz w:val="18"/>
          <w:szCs w:val="18"/>
        </w:rPr>
        <w:t xml:space="preserve">More   </w:t>
      </w:r>
      <w:r>
        <w:rPr>
          <w:sz w:val="22"/>
          <w:szCs w:val="22"/>
        </w:rPr>
        <w:t xml:space="preserve">After sending the invitation, monitor it under Invitations rather than immediately creating a duplicate. The recipient accepts the newest email invitation, verifies the invited address, sets a password, and then appears under Members with the assigned role and product access.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Team &amp; Roles, or use Team &amp; Roles in the main navigation.</w:t>
      </w:r>
    </w:p>
    <w:p>
      <w:pPr>
        <w:pStyle w:val="ListParagraph"/>
        <w:numPr>
          <w:ilvl w:val="0"/>
          <w:numId w:val="2"/>
        </w:numPr>
        <w:spacing w:after="40"/>
        <w:ind w:left="892"/>
      </w:pPr>
      <w:r>
        <w:rPr>
          <w:sz w:val="21"/>
          <w:szCs w:val="21"/>
        </w:rPr>
        <w:t xml:space="preserve">Select Invite member.</w:t>
      </w:r>
    </w:p>
    <w:p>
      <w:pPr>
        <w:pStyle w:val="ListParagraph"/>
        <w:numPr>
          <w:ilvl w:val="0"/>
          <w:numId w:val="2"/>
        </w:numPr>
        <w:spacing w:after="40"/>
        <w:ind w:left="892"/>
      </w:pPr>
      <w:r>
        <w:rPr>
          <w:sz w:val="21"/>
          <w:szCs w:val="21"/>
        </w:rPr>
        <w:t xml:space="preserve">Enter the firm user's name and work email, then select the team and role that determine their access.</w:t>
      </w:r>
    </w:p>
    <w:p>
      <w:pPr>
        <w:pStyle w:val="ListParagraph"/>
        <w:numPr>
          <w:ilvl w:val="0"/>
          <w:numId w:val="2"/>
        </w:numPr>
        <w:spacing w:after="40"/>
        <w:ind w:left="892"/>
      </w:pPr>
      <w:r>
        <w:rPr>
          <w:sz w:val="21"/>
          <w:szCs w:val="21"/>
        </w:rPr>
        <w:t xml:space="preserve">Send the invitation.</w:t>
      </w:r>
    </w:p>
    <w:p>
      <w:pPr>
        <w:pStyle w:val="ListParagraph"/>
        <w:numPr>
          <w:ilvl w:val="0"/>
          <w:numId w:val="2"/>
        </w:numPr>
        <w:spacing w:after="40"/>
        <w:ind w:left="892"/>
      </w:pPr>
      <w:r>
        <w:rPr>
          <w:sz w:val="21"/>
          <w:szCs w:val="21"/>
        </w:rPr>
        <w:t xml:space="preserve">Use the Invitations tab to review invitations that are still pending.</w:t>
      </w:r>
    </w:p>
    <w:p>
      <w:pPr>
        <w:spacing w:after="40" w:before="70"/>
        <w:ind w:left="403"/>
      </w:pPr>
      <w:r>
        <w:rPr>
          <w:color w:val="8B8FA3"/>
          <w:sz w:val="17"/>
          <w:szCs w:val="17"/>
        </w:rPr>
        <w:t xml:space="preserve">Ref: pro-how-do-i-invite-a-team-member-20</w:t>
      </w:r>
    </w:p>
    <w:p>
      <w:pPr>
        <w:keepNext/>
        <w:spacing w:after="90" w:before="220"/>
      </w:pPr>
      <w:r>
        <w:rPr>
          <w:b/>
          <w:bCs/>
          <w:color w:val="1A1C2E"/>
          <w:sz w:val="24"/>
          <w:szCs w:val="24"/>
        </w:rPr>
        <w:t xml:space="preserve">11.   What are Engagement Types?</w:t>
      </w:r>
    </w:p>
    <w:p>
      <w:pPr>
        <w:spacing w:after="90"/>
        <w:ind w:left="403"/>
      </w:pPr>
      <w:r>
        <w:rPr>
          <w:sz w:val="22"/>
          <w:szCs w:val="22"/>
        </w:rPr>
        <w:t xml:space="preserve">Engagement Types are the named services the firm delivers, organized by areas such as Bookkeeping, Audit &amp; Assurance, Accounting, Advisory, and Tax. Each type has a description and code and can control the custom fields displayed in that engagement's Context rail.</w:t>
      </w:r>
    </w:p>
    <w:p>
      <w:pPr>
        <w:spacing w:after="90"/>
        <w:ind w:left="403"/>
      </w:pPr>
      <w:r>
        <w:rPr>
          <w:b/>
          <w:bCs/>
          <w:color w:val="4735BE"/>
          <w:sz w:val="18"/>
          <w:szCs w:val="18"/>
        </w:rPr>
        <w:t xml:space="preserve">More   </w:t>
      </w:r>
      <w:r>
        <w:rPr>
          <w:sz w:val="22"/>
          <w:szCs w:val="22"/>
        </w:rPr>
        <w:t xml:space="preserve">An engagement type is the reusable definition selected when creating client work—for example Individual Tax Return, Monthly Bookkeeping, or Financial Statement Audit. It connects the service category and expected engagement structure so firm users do not build every engagement from a blank record.</w:t>
      </w:r>
    </w:p>
    <w:p>
      <w:pPr>
        <w:spacing w:after="40" w:before="70"/>
        <w:ind w:left="403"/>
      </w:pPr>
      <w:r>
        <w:rPr>
          <w:color w:val="8B8FA3"/>
          <w:sz w:val="17"/>
          <w:szCs w:val="17"/>
        </w:rPr>
        <w:t xml:space="preserve">Ref: pro-what-are-engagement-types-21</w:t>
      </w:r>
    </w:p>
    <w:p>
      <w:pPr>
        <w:keepNext/>
        <w:spacing w:after="90" w:before="220"/>
      </w:pPr>
      <w:r>
        <w:rPr>
          <w:b/>
          <w:bCs/>
          <w:color w:val="1A1C2E"/>
          <w:sz w:val="24"/>
          <w:szCs w:val="24"/>
        </w:rPr>
        <w:t xml:space="preserve">12.   How do I configure an engagement type's Context fields?</w:t>
      </w:r>
    </w:p>
    <w:p>
      <w:pPr>
        <w:spacing w:after="90"/>
        <w:ind w:left="403"/>
      </w:pPr>
      <w:r>
        <w:rPr>
          <w:sz w:val="22"/>
          <w:szCs w:val="22"/>
        </w:rPr>
        <w:t xml:space="preserve">The editor supports Dropdown, People, Date, Files, Number, Money, Formula, and Text fields. Fields can be reordered and deleted. The editor shows whether the selected field can be marked Required or Inactive; Formula fields are read-only.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Engagement Types.</w:t>
      </w:r>
    </w:p>
    <w:p>
      <w:pPr>
        <w:pStyle w:val="ListParagraph"/>
        <w:numPr>
          <w:ilvl w:val="0"/>
          <w:numId w:val="2"/>
        </w:numPr>
        <w:spacing w:after="40"/>
        <w:ind w:left="892"/>
      </w:pPr>
      <w:r>
        <w:rPr>
          <w:sz w:val="21"/>
          <w:szCs w:val="21"/>
        </w:rPr>
        <w:t xml:space="preserve">Select the engagement type whose Context rail needs to change.</w:t>
      </w:r>
    </w:p>
    <w:p>
      <w:pPr>
        <w:pStyle w:val="ListParagraph"/>
        <w:numPr>
          <w:ilvl w:val="0"/>
          <w:numId w:val="2"/>
        </w:numPr>
        <w:spacing w:after="40"/>
        <w:ind w:left="892"/>
      </w:pPr>
      <w:r>
        <w:rPr>
          <w:sz w:val="21"/>
          <w:szCs w:val="21"/>
        </w:rPr>
        <w:t xml:space="preserve">Select Add field and choose Dropdown, People, Date, Files, Number, Money, Formula, or Text.</w:t>
      </w:r>
    </w:p>
    <w:p>
      <w:pPr>
        <w:pStyle w:val="ListParagraph"/>
        <w:numPr>
          <w:ilvl w:val="0"/>
          <w:numId w:val="2"/>
        </w:numPr>
        <w:spacing w:after="40"/>
        <w:ind w:left="892"/>
      </w:pPr>
      <w:r>
        <w:rPr>
          <w:sz w:val="21"/>
          <w:szCs w:val="21"/>
        </w:rPr>
        <w:t xml:space="preserve">Enter the field label. For a Dropdown, add the choices; for other field types, set the Required and Active controls displayed by the editor.</w:t>
      </w:r>
    </w:p>
    <w:p>
      <w:pPr>
        <w:pStyle w:val="ListParagraph"/>
        <w:numPr>
          <w:ilvl w:val="0"/>
          <w:numId w:val="2"/>
        </w:numPr>
        <w:spacing w:after="40"/>
        <w:ind w:left="892"/>
      </w:pPr>
      <w:r>
        <w:rPr>
          <w:sz w:val="21"/>
          <w:szCs w:val="21"/>
        </w:rPr>
        <w:t xml:space="preserve">Reorder fields with Move up or Move down and review required, inactive, or read-only indicators.</w:t>
      </w:r>
    </w:p>
    <w:p>
      <w:pPr>
        <w:pStyle w:val="ListParagraph"/>
        <w:numPr>
          <w:ilvl w:val="0"/>
          <w:numId w:val="2"/>
        </w:numPr>
        <w:spacing w:after="40"/>
        <w:ind w:left="892"/>
      </w:pPr>
      <w:r>
        <w:rPr>
          <w:sz w:val="21"/>
          <w:szCs w:val="21"/>
        </w:rPr>
        <w:t xml:space="preserve">Open an engagement of that type to confirm the Context rail matches the configuration.</w:t>
      </w:r>
    </w:p>
    <w:p>
      <w:pPr>
        <w:spacing w:after="40" w:before="70"/>
        <w:ind w:left="403"/>
      </w:pPr>
      <w:r>
        <w:rPr>
          <w:color w:val="8B8FA3"/>
          <w:sz w:val="17"/>
          <w:szCs w:val="17"/>
        </w:rPr>
        <w:t xml:space="preserve">Ref: pro-how-do-i-configure-an-engagement-type-s-context-fields-22</w:t>
      </w:r>
    </w:p>
    <w:p>
      <w:pPr>
        <w:keepNext/>
        <w:spacing w:after="90" w:before="220"/>
      </w:pPr>
      <w:r>
        <w:rPr>
          <w:b/>
          <w:bCs/>
          <w:color w:val="1A1C2E"/>
          <w:sz w:val="24"/>
          <w:szCs w:val="24"/>
        </w:rPr>
        <w:t xml:space="preserve">13.   What are Onboarding Defaults?</w:t>
      </w:r>
    </w:p>
    <w:p>
      <w:pPr>
        <w:spacing w:after="90"/>
        <w:ind w:left="403"/>
      </w:pPr>
      <w:r>
        <w:rPr>
          <w:sz w:val="22"/>
          <w:szCs w:val="22"/>
        </w:rPr>
        <w:t xml:space="preserve">Onboarding Defaults determine the starting configuration applied when a new client is created. They can preselect the first engagement assignee, engagement-letter template, and client folder structure, reducing repeated setup and helping new client records begin consistently.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Onboarding Defaults.</w:t>
      </w:r>
    </w:p>
    <w:p>
      <w:pPr>
        <w:pStyle w:val="ListParagraph"/>
        <w:numPr>
          <w:ilvl w:val="0"/>
          <w:numId w:val="2"/>
        </w:numPr>
        <w:spacing w:after="40"/>
        <w:ind w:left="892"/>
      </w:pPr>
      <w:r>
        <w:rPr>
          <w:sz w:val="21"/>
          <w:szCs w:val="21"/>
        </w:rPr>
        <w:t xml:space="preserve">Choose the Default assignee for the first engagement, or leave it unset for automatic resolution.</w:t>
      </w:r>
    </w:p>
    <w:p>
      <w:pPr>
        <w:pStyle w:val="ListParagraph"/>
        <w:numPr>
          <w:ilvl w:val="0"/>
          <w:numId w:val="2"/>
        </w:numPr>
        <w:spacing w:after="40"/>
        <w:ind w:left="892"/>
      </w:pPr>
      <w:r>
        <w:rPr>
          <w:sz w:val="21"/>
          <w:szCs w:val="21"/>
        </w:rPr>
        <w:t xml:space="preserve">Choose a Default engagement letter template, or use None (auto-resolve).</w:t>
      </w:r>
    </w:p>
    <w:p>
      <w:pPr>
        <w:pStyle w:val="ListParagraph"/>
        <w:numPr>
          <w:ilvl w:val="0"/>
          <w:numId w:val="2"/>
        </w:numPr>
        <w:spacing w:after="40"/>
        <w:ind w:left="892"/>
      </w:pPr>
      <w:r>
        <w:rPr>
          <w:sz w:val="21"/>
          <w:szCs w:val="21"/>
        </w:rPr>
        <w:t xml:space="preserve">Choose the Default folder structure; select None only when clients should begin without folders.</w:t>
      </w:r>
    </w:p>
    <w:p>
      <w:pPr>
        <w:pStyle w:val="ListParagraph"/>
        <w:numPr>
          <w:ilvl w:val="0"/>
          <w:numId w:val="2"/>
        </w:numPr>
        <w:spacing w:after="40"/>
        <w:ind w:left="892"/>
      </w:pPr>
      <w:r>
        <w:rPr>
          <w:sz w:val="21"/>
          <w:szCs w:val="21"/>
        </w:rPr>
        <w:t xml:space="preserve">Confirm that the page reports All changes saved.</w:t>
      </w:r>
    </w:p>
    <w:p>
      <w:pPr>
        <w:spacing w:after="40" w:before="70"/>
        <w:ind w:left="403"/>
      </w:pPr>
      <w:r>
        <w:rPr>
          <w:color w:val="8B8FA3"/>
          <w:sz w:val="17"/>
          <w:szCs w:val="17"/>
        </w:rPr>
        <w:t xml:space="preserve">Ref: pro-what-are-onboarding-defaults-23</w:t>
      </w:r>
    </w:p>
    <w:p>
      <w:pPr>
        <w:keepNext/>
        <w:spacing w:after="90" w:before="220"/>
      </w:pPr>
      <w:r>
        <w:rPr>
          <w:b/>
          <w:bCs/>
          <w:color w:val="1A1C2E"/>
          <w:sz w:val="24"/>
          <w:szCs w:val="24"/>
        </w:rPr>
        <w:t xml:space="preserve">14.   How are tags created and maintained?</w:t>
      </w:r>
    </w:p>
    <w:p>
      <w:pPr>
        <w:spacing w:after="90"/>
        <w:ind w:left="403"/>
      </w:pPr>
      <w:r>
        <w:rPr>
          <w:sz w:val="22"/>
          <w:szCs w:val="22"/>
        </w:rPr>
        <w:t xml:space="preserve">Tags help your firm categorize clients and engagements for filtering and organization. Administrators can add, rename, or delete tags from Settings &gt; Tags.</w:t>
      </w:r>
    </w:p>
    <w:p>
      <w:pPr>
        <w:spacing w:after="90"/>
        <w:ind w:left="403"/>
      </w:pPr>
      <w:r>
        <w:rPr>
          <w:b/>
          <w:bCs/>
          <w:color w:val="4735BE"/>
          <w:sz w:val="18"/>
          <w:szCs w:val="18"/>
        </w:rPr>
        <w:t xml:space="preserve">More   </w:t>
      </w:r>
      <w:r>
        <w:rPr>
          <w:sz w:val="22"/>
          <w:szCs w:val="22"/>
        </w:rPr>
        <w:t xml:space="preserve">Use a consistent naming convention before creating many tags. Delete a tag only after confirming that it is no longer needed on client or engagement records.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Tags.</w:t>
      </w:r>
    </w:p>
    <w:p>
      <w:pPr>
        <w:pStyle w:val="ListParagraph"/>
        <w:numPr>
          <w:ilvl w:val="0"/>
          <w:numId w:val="2"/>
        </w:numPr>
        <w:spacing w:after="40"/>
        <w:ind w:left="892"/>
      </w:pPr>
      <w:r>
        <w:rPr>
          <w:sz w:val="21"/>
          <w:szCs w:val="21"/>
        </w:rPr>
        <w:t xml:space="preserve">Enter the new tag name under Add a tag and select Add Tag.</w:t>
      </w:r>
    </w:p>
    <w:p>
      <w:pPr>
        <w:pStyle w:val="ListParagraph"/>
        <w:numPr>
          <w:ilvl w:val="0"/>
          <w:numId w:val="2"/>
        </w:numPr>
        <w:spacing w:after="40"/>
        <w:ind w:left="892"/>
      </w:pPr>
      <w:r>
        <w:rPr>
          <w:sz w:val="21"/>
          <w:szCs w:val="21"/>
        </w:rPr>
        <w:t xml:space="preserve">Use Edit beside an existing tag to revise its name.</w:t>
      </w:r>
    </w:p>
    <w:p>
      <w:pPr>
        <w:pStyle w:val="ListParagraph"/>
        <w:numPr>
          <w:ilvl w:val="0"/>
          <w:numId w:val="2"/>
        </w:numPr>
        <w:spacing w:after="40"/>
        <w:ind w:left="892"/>
      </w:pPr>
      <w:r>
        <w:rPr>
          <w:sz w:val="21"/>
          <w:szCs w:val="21"/>
        </w:rPr>
        <w:t xml:space="preserve">Use Delete only after confirming the tag is no longer needed on client or engagement records.</w:t>
      </w:r>
    </w:p>
    <w:p>
      <w:pPr>
        <w:spacing w:after="40" w:before="70"/>
        <w:ind w:left="403"/>
      </w:pPr>
      <w:r>
        <w:rPr>
          <w:color w:val="8B8FA3"/>
          <w:sz w:val="17"/>
          <w:szCs w:val="17"/>
        </w:rPr>
        <w:t xml:space="preserve">Ref: pro-how-are-tags-created-and-maintained-24</w:t>
      </w:r>
    </w:p>
    <w:p>
      <w:pPr>
        <w:keepNext/>
        <w:spacing w:after="90" w:before="220"/>
      </w:pPr>
      <w:r>
        <w:rPr>
          <w:b/>
          <w:bCs/>
          <w:color w:val="1A1C2E"/>
          <w:sz w:val="24"/>
          <w:szCs w:val="24"/>
        </w:rPr>
        <w:t xml:space="preserve">15.   How do I configure personal notification preferences?</w:t>
      </w:r>
    </w:p>
    <w:p>
      <w:pPr>
        <w:spacing w:after="90"/>
        <w:ind w:left="403"/>
      </w:pPr>
      <w:r>
        <w:rPr>
          <w:sz w:val="22"/>
          <w:szCs w:val="22"/>
        </w:rPr>
        <w:t xml:space="preserve">Notifications &amp; Email provides separate email and in-app switches for new document uploads, client messages, invoice payments, upcoming deadlines, and overdue invoices. Emails received in a connected client inbox also have their own email preference.</w:t>
      </w:r>
    </w:p>
    <w:p>
      <w:pPr>
        <w:spacing w:after="90"/>
        <w:ind w:left="403"/>
      </w:pPr>
      <w:r>
        <w:rPr>
          <w:b/>
          <w:bCs/>
          <w:color w:val="4735BE"/>
          <w:sz w:val="18"/>
          <w:szCs w:val="18"/>
        </w:rPr>
        <w:t xml:space="preserve">More   </w:t>
      </w:r>
      <w:r>
        <w:rPr>
          <w:sz w:val="22"/>
          <w:szCs w:val="22"/>
        </w:rPr>
        <w:t xml:space="preserve">Choose email for events that must be seen outside AssurePro and in-app delivery for items firm users will handle while working in the platform. A firm user can enable both channels for high-priority events such as overdue invoices or upcoming deadlines and use one channel for lower-priority activity.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Notifications &amp; Email.</w:t>
      </w:r>
    </w:p>
    <w:p>
      <w:pPr>
        <w:pStyle w:val="ListParagraph"/>
        <w:numPr>
          <w:ilvl w:val="0"/>
          <w:numId w:val="2"/>
        </w:numPr>
        <w:spacing w:after="40"/>
        <w:ind w:left="892"/>
      </w:pPr>
      <w:r>
        <w:rPr>
          <w:sz w:val="21"/>
          <w:szCs w:val="21"/>
        </w:rPr>
        <w:t xml:space="preserve">Turn email and in-app delivery on or off for each event type.</w:t>
      </w:r>
    </w:p>
    <w:p>
      <w:pPr>
        <w:pStyle w:val="ListParagraph"/>
        <w:numPr>
          <w:ilvl w:val="0"/>
          <w:numId w:val="2"/>
        </w:numPr>
        <w:spacing w:after="40"/>
        <w:ind w:left="892"/>
      </w:pPr>
      <w:r>
        <w:rPr>
          <w:sz w:val="21"/>
          <w:szCs w:val="21"/>
        </w:rPr>
        <w:t xml:space="preserve">Select Save Preferences.</w:t>
      </w:r>
    </w:p>
    <w:p>
      <w:pPr>
        <w:spacing w:after="40" w:before="70"/>
        <w:ind w:left="403"/>
      </w:pPr>
      <w:r>
        <w:rPr>
          <w:color w:val="8B8FA3"/>
          <w:sz w:val="17"/>
          <w:szCs w:val="17"/>
        </w:rPr>
        <w:t xml:space="preserve">Ref: pro-how-do-i-configure-personal-notification-preferences-25</w:t>
      </w:r>
    </w:p>
    <w:p>
      <w:pPr>
        <w:keepNext/>
        <w:spacing w:after="90" w:before="220"/>
      </w:pPr>
      <w:r>
        <w:rPr>
          <w:b/>
          <w:bCs/>
          <w:color w:val="1A1C2E"/>
          <w:sz w:val="24"/>
          <w:szCs w:val="24"/>
        </w:rPr>
        <w:t xml:space="preserve">16.   How do report alerts work?</w:t>
      </w:r>
    </w:p>
    <w:p>
      <w:pPr>
        <w:spacing w:after="90"/>
        <w:ind w:left="403"/>
      </w:pPr>
      <w:r>
        <w:rPr>
          <w:sz w:val="22"/>
          <w:szCs w:val="22"/>
        </w:rPr>
        <w:t xml:space="preserve">Report alerts notify selected firm users when a KPI crosses a defined threshold or deliver a scheduled digest of key firm metrics. Alerts can be delivered by email and through the in-app notification bell.</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Notifications &amp; Email.</w:t>
      </w:r>
    </w:p>
    <w:p>
      <w:pPr>
        <w:pStyle w:val="ListParagraph"/>
        <w:numPr>
          <w:ilvl w:val="0"/>
          <w:numId w:val="2"/>
        </w:numPr>
        <w:spacing w:after="40"/>
        <w:ind w:left="892"/>
      </w:pPr>
      <w:r>
        <w:rPr>
          <w:sz w:val="21"/>
          <w:szCs w:val="21"/>
        </w:rPr>
        <w:t xml:space="preserve">Go to Report alerts and select New alert.</w:t>
      </w:r>
    </w:p>
    <w:p>
      <w:pPr>
        <w:pStyle w:val="ListParagraph"/>
        <w:numPr>
          <w:ilvl w:val="0"/>
          <w:numId w:val="2"/>
        </w:numPr>
        <w:spacing w:after="40"/>
        <w:ind w:left="892"/>
      </w:pPr>
      <w:r>
        <w:rPr>
          <w:sz w:val="21"/>
          <w:szCs w:val="21"/>
        </w:rPr>
        <w:t xml:space="preserve">Enter an alert name and choose KPI threshold or Scheduled digest.</w:t>
      </w:r>
    </w:p>
    <w:p>
      <w:pPr>
        <w:pStyle w:val="ListParagraph"/>
        <w:numPr>
          <w:ilvl w:val="0"/>
          <w:numId w:val="2"/>
        </w:numPr>
        <w:spacing w:after="40"/>
        <w:ind w:left="892"/>
      </w:pPr>
      <w:r>
        <w:rPr>
          <w:sz w:val="21"/>
          <w:szCs w:val="21"/>
        </w:rPr>
        <w:t xml:space="preserve">For a threshold alert, choose the metric, condition, value, and reporting window.</w:t>
      </w:r>
    </w:p>
    <w:p>
      <w:pPr>
        <w:pStyle w:val="ListParagraph"/>
        <w:numPr>
          <w:ilvl w:val="0"/>
          <w:numId w:val="2"/>
        </w:numPr>
        <w:spacing w:after="40"/>
        <w:ind w:left="892"/>
      </w:pPr>
      <w:r>
        <w:rPr>
          <w:sz w:val="21"/>
          <w:szCs w:val="21"/>
        </w:rPr>
        <w:t xml:space="preserve">Select the team-member subscribers and create the alert.</w:t>
      </w:r>
    </w:p>
    <w:p>
      <w:pPr>
        <w:pStyle w:val="ListParagraph"/>
        <w:numPr>
          <w:ilvl w:val="0"/>
          <w:numId w:val="2"/>
        </w:numPr>
        <w:spacing w:after="40"/>
        <w:ind w:left="892"/>
      </w:pPr>
      <w:r>
        <w:rPr>
          <w:sz w:val="21"/>
          <w:szCs w:val="21"/>
        </w:rPr>
        <w:t xml:space="preserve">Review saved alerts in the Report alerts list.</w:t>
      </w:r>
    </w:p>
    <w:p>
      <w:pPr>
        <w:spacing w:after="40" w:before="70"/>
        <w:ind w:left="403"/>
      </w:pPr>
      <w:r>
        <w:rPr>
          <w:color w:val="8B8FA3"/>
          <w:sz w:val="17"/>
          <w:szCs w:val="17"/>
        </w:rPr>
        <w:t xml:space="preserve">Ref: pro-how-do-report-alerts-work-26</w:t>
      </w:r>
    </w:p>
    <w:p>
      <w:pPr>
        <w:keepNext/>
        <w:spacing w:after="90" w:before="220"/>
      </w:pPr>
      <w:r>
        <w:rPr>
          <w:b/>
          <w:bCs/>
          <w:color w:val="1A1C2E"/>
          <w:sz w:val="24"/>
          <w:szCs w:val="24"/>
        </w:rPr>
        <w:t xml:space="preserve">17.   What is in the Template Library?</w:t>
      </w:r>
    </w:p>
    <w:p>
      <w:pPr>
        <w:spacing w:after="90"/>
        <w:ind w:left="403"/>
      </w:pPr>
      <w:r>
        <w:rPr>
          <w:sz w:val="22"/>
          <w:szCs w:val="22"/>
        </w:rPr>
        <w:t xml:space="preserve">The Template Library provides reusable starting points for engagement letters, workflows, client folder structures, and messages. Your firm can preview a curated template, add it to the library, and then adapt its working copy before using it with clients.</w:t>
      </w:r>
    </w:p>
    <w:p>
      <w:pPr>
        <w:spacing w:after="90"/>
        <w:ind w:left="403"/>
      </w:pPr>
      <w:r>
        <w:rPr>
          <w:b/>
          <w:bCs/>
          <w:color w:val="4735BE"/>
          <w:sz w:val="18"/>
          <w:szCs w:val="18"/>
        </w:rPr>
        <w:t xml:space="preserve">More   </w:t>
      </w:r>
      <w:r>
        <w:rPr>
          <w:sz w:val="22"/>
          <w:szCs w:val="22"/>
        </w:rPr>
        <w:t xml:space="preserve">Preview the template and review its tags and included content before adding it. After it is added, open the added engagement letter, workflow, folder template, or message template in its editor and update it for your firm's policies, services, and client communication style.</w:t>
      </w:r>
    </w:p>
    <w:p>
      <w:pPr>
        <w:spacing w:after="40" w:before="70"/>
        <w:ind w:left="403"/>
      </w:pPr>
      <w:r>
        <w:rPr>
          <w:color w:val="8B8FA3"/>
          <w:sz w:val="17"/>
          <w:szCs w:val="17"/>
        </w:rPr>
        <w:t xml:space="preserve">Ref: pro-what-is-in-the-template-library-27</w:t>
      </w:r>
    </w:p>
    <w:p>
      <w:pPr>
        <w:keepNext/>
        <w:spacing w:after="90" w:before="220"/>
      </w:pPr>
      <w:r>
        <w:rPr>
          <w:b/>
          <w:bCs/>
          <w:color w:val="1A1C2E"/>
          <w:sz w:val="24"/>
          <w:szCs w:val="24"/>
        </w:rPr>
        <w:t xml:space="preserve">18.   How do I find the right Template Library item?</w:t>
      </w:r>
    </w:p>
    <w:p>
      <w:pPr>
        <w:spacing w:after="90"/>
        <w:ind w:left="403"/>
      </w:pPr>
      <w:r>
        <w:rPr>
          <w:sz w:val="22"/>
          <w:szCs w:val="22"/>
        </w:rPr>
        <w:t xml:space="preserve">The library can be searched by name, type, or tag, filtered by practice area, limited to items already added, sorted, or narrowed to one asset-type tab.</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Template Library from Admin.</w:t>
      </w:r>
    </w:p>
    <w:p>
      <w:pPr>
        <w:pStyle w:val="ListParagraph"/>
        <w:numPr>
          <w:ilvl w:val="0"/>
          <w:numId w:val="2"/>
        </w:numPr>
        <w:spacing w:after="40"/>
        <w:ind w:left="892"/>
      </w:pPr>
      <w:r>
        <w:rPr>
          <w:sz w:val="21"/>
          <w:szCs w:val="21"/>
        </w:rPr>
        <w:t xml:space="preserve">Choose All, Engagement Letter Templates, Workflows, Folders, or Messages.</w:t>
      </w:r>
    </w:p>
    <w:p>
      <w:pPr>
        <w:pStyle w:val="ListParagraph"/>
        <w:numPr>
          <w:ilvl w:val="0"/>
          <w:numId w:val="2"/>
        </w:numPr>
        <w:spacing w:after="40"/>
        <w:ind w:left="892"/>
      </w:pPr>
      <w:r>
        <w:rPr>
          <w:sz w:val="21"/>
          <w:szCs w:val="21"/>
        </w:rPr>
        <w:t xml:space="preserve">Search by name, type, or tag and select a practice area to narrow the results to that service area.</w:t>
      </w:r>
    </w:p>
    <w:p>
      <w:pPr>
        <w:pStyle w:val="ListParagraph"/>
        <w:numPr>
          <w:ilvl w:val="0"/>
          <w:numId w:val="2"/>
        </w:numPr>
        <w:spacing w:after="40"/>
        <w:ind w:left="892"/>
      </w:pPr>
      <w:r>
        <w:rPr>
          <w:sz w:val="21"/>
          <w:szCs w:val="21"/>
        </w:rPr>
        <w:t xml:space="preserve">Turn on Added only to review the firm's activated items.</w:t>
      </w:r>
    </w:p>
    <w:p>
      <w:pPr>
        <w:pStyle w:val="ListParagraph"/>
        <w:numPr>
          <w:ilvl w:val="0"/>
          <w:numId w:val="2"/>
        </w:numPr>
        <w:spacing w:after="40"/>
        <w:ind w:left="892"/>
      </w:pPr>
      <w:r>
        <w:rPr>
          <w:sz w:val="21"/>
          <w:szCs w:val="21"/>
        </w:rPr>
        <w:t xml:space="preserve">Use Sort to change the catalog order and Preview to inspect an item before adding it.</w:t>
      </w:r>
    </w:p>
    <w:p>
      <w:pPr>
        <w:spacing w:after="40" w:before="70"/>
        <w:ind w:left="403"/>
      </w:pPr>
      <w:r>
        <w:rPr>
          <w:color w:val="8B8FA3"/>
          <w:sz w:val="17"/>
          <w:szCs w:val="17"/>
        </w:rPr>
        <w:t xml:space="preserve">Ref: pro-how-do-i-find-the-right-template-library-item-28</w:t>
      </w:r>
    </w:p>
    <w:p>
      <w:pPr>
        <w:keepNext/>
        <w:spacing w:after="90" w:before="220"/>
      </w:pPr>
      <w:r>
        <w:rPr>
          <w:b/>
          <w:bCs/>
          <w:color w:val="1A1C2E"/>
          <w:sz w:val="24"/>
          <w:szCs w:val="24"/>
        </w:rPr>
        <w:t xml:space="preserve">19.   How do I add and customize a Template Library item?</w:t>
      </w:r>
    </w:p>
    <w:p>
      <w:pPr>
        <w:spacing w:after="90"/>
        <w:ind w:left="403"/>
      </w:pPr>
      <w:r>
        <w:rPr>
          <w:sz w:val="22"/>
          <w:szCs w:val="22"/>
        </w:rPr>
        <w:t xml:space="preserve">Preview the template, select Add to Library, and then use Open in… to open the added copy in Engagement Letters, Workflow, Folder Templates, or Messages, based on the template type. Curated templates are starting points; your firm customizes the added working copy rather than editing the original library item.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Preview the template and review its practice-area and entity tags plus its package, service, stage, task, folder, or channel summary.</w:t>
      </w:r>
    </w:p>
    <w:p>
      <w:pPr>
        <w:pStyle w:val="ListParagraph"/>
        <w:numPr>
          <w:ilvl w:val="0"/>
          <w:numId w:val="2"/>
        </w:numPr>
        <w:spacing w:after="40"/>
        <w:ind w:left="892"/>
      </w:pPr>
      <w:r>
        <w:rPr>
          <w:sz w:val="21"/>
          <w:szCs w:val="21"/>
        </w:rPr>
        <w:t xml:space="preserve">Select Add to Library.</w:t>
      </w:r>
    </w:p>
    <w:p>
      <w:pPr>
        <w:pStyle w:val="ListParagraph"/>
        <w:numPr>
          <w:ilvl w:val="0"/>
          <w:numId w:val="2"/>
        </w:numPr>
        <w:spacing w:after="40"/>
        <w:ind w:left="892"/>
      </w:pPr>
      <w:r>
        <w:rPr>
          <w:sz w:val="21"/>
          <w:szCs w:val="21"/>
        </w:rPr>
        <w:t xml:space="preserve">Use the provided Open in… link to go to the correct working area.</w:t>
      </w:r>
    </w:p>
    <w:p>
      <w:pPr>
        <w:pStyle w:val="ListParagraph"/>
        <w:numPr>
          <w:ilvl w:val="0"/>
          <w:numId w:val="2"/>
        </w:numPr>
        <w:spacing w:after="40"/>
        <w:ind w:left="892"/>
      </w:pPr>
      <w:r>
        <w:rPr>
          <w:sz w:val="21"/>
          <w:szCs w:val="21"/>
        </w:rPr>
        <w:t xml:space="preserve">Review and configure the firm's copy before using it in live client work.</w:t>
      </w:r>
    </w:p>
    <w:p>
      <w:pPr>
        <w:spacing w:after="40" w:before="70"/>
        <w:ind w:left="403"/>
      </w:pPr>
      <w:r>
        <w:rPr>
          <w:color w:val="8B8FA3"/>
          <w:sz w:val="17"/>
          <w:szCs w:val="17"/>
        </w:rPr>
        <w:t xml:space="preserve">Ref: pro-how-is-a-template-library-item-added-and-edited-29</w:t>
      </w:r>
    </w:p>
    <w:p>
      <w:pPr>
        <w:keepNext/>
        <w:spacing w:after="90" w:before="220"/>
      </w:pPr>
      <w:r>
        <w:rPr>
          <w:b/>
          <w:bCs/>
          <w:color w:val="1A1C2E"/>
          <w:sz w:val="24"/>
          <w:szCs w:val="24"/>
        </w:rPr>
        <w:t xml:space="preserve">20.   What does each Template Library type provide?</w:t>
      </w:r>
    </w:p>
    <w:p>
      <w:pPr>
        <w:spacing w:after="90"/>
        <w:ind w:left="403"/>
      </w:pPr>
      <w:r>
        <w:rPr>
          <w:sz w:val="22"/>
          <w:szCs w:val="22"/>
        </w:rPr>
        <w:t xml:space="preserve">Engagement Letter Templates include agreement prose, packages, services, and billing structures. Workflows provide stage-and-task sequences. Folders provide reusable per-client folder layouts. Messages provide reusable email or SMS wording for client touchpoints.</w:t>
      </w:r>
    </w:p>
    <w:p>
      <w:pPr>
        <w:spacing w:after="90"/>
        <w:ind w:left="403"/>
      </w:pPr>
      <w:r>
        <w:rPr>
          <w:b/>
          <w:bCs/>
          <w:color w:val="4735BE"/>
          <w:sz w:val="18"/>
          <w:szCs w:val="18"/>
        </w:rPr>
        <w:t xml:space="preserve">More   </w:t>
      </w:r>
      <w:r>
        <w:rPr>
          <w:sz w:val="22"/>
          <w:szCs w:val="22"/>
        </w:rPr>
        <w:t xml:space="preserve">For example, an Engagement Letter Template can provide packages and billing structures, while its linked Workflow supplies the operational stages and tasks and a Folder template supplies the document hierarchy. Message templates then standardize client reminders or other touchpoints around that work.</w:t>
      </w:r>
    </w:p>
    <w:p>
      <w:pPr>
        <w:spacing w:after="40" w:before="70"/>
        <w:ind w:left="403"/>
      </w:pPr>
      <w:r>
        <w:rPr>
          <w:color w:val="8B8FA3"/>
          <w:sz w:val="17"/>
          <w:szCs w:val="17"/>
        </w:rPr>
        <w:t xml:space="preserve">Ref: pro-what-does-each-template-library-type-provide-30</w:t>
      </w:r>
    </w:p>
    <w:p>
      <w:r>
        <w:br w:type="page"/>
      </w:r>
    </w:p>
    <w:p>
      <w:pPr>
        <w:pStyle w:val="Heading1"/>
        <w:spacing w:after="40" w:before="60"/>
      </w:pPr>
      <w:r>
        <w:rPr>
          <w:b/>
          <w:bCs/>
          <w:color w:val="1A1C2E"/>
          <w:sz w:val="32"/>
          <w:szCs w:val="32"/>
        </w:rPr>
        <w:t xml:space="preserve">Clients &amp; prospects</w:t>
      </w:r>
    </w:p>
    <w:p>
      <w:pPr>
        <w:pBdr>
          <w:bottom w:val="single" w:color="E4E2F0" w:sz="4"/>
        </w:pBdr>
        <w:spacing w:after="200"/>
      </w:pPr>
      <w:r>
        <w:rPr>
          <w:color w:val="8B8FA3"/>
          <w:sz w:val="20"/>
          <w:szCs w:val="20"/>
        </w:rPr>
        <w:t xml:space="preserve">19 questions</w:t>
      </w:r>
    </w:p>
    <w:p>
      <w:pPr>
        <w:keepNext/>
        <w:spacing w:after="90" w:before="220"/>
      </w:pPr>
      <w:r>
        <w:rPr>
          <w:b/>
          <w:bCs/>
          <w:color w:val="1A1C2E"/>
          <w:sz w:val="24"/>
          <w:szCs w:val="24"/>
        </w:rPr>
        <w:t xml:space="preserve">1.   How is a new client added directly?</w:t>
      </w:r>
    </w:p>
    <w:p>
      <w:pPr>
        <w:spacing w:after="90"/>
        <w:ind w:left="403"/>
      </w:pPr>
      <w:r>
        <w:rPr>
          <w:sz w:val="22"/>
          <w:szCs w:val="22"/>
        </w:rPr>
        <w:t xml:space="preserve">Create a client directly when the relationship is already confirmed and does not need to move through the prospect pipeline. The client record becomes the starting point for contacts, portal access, documents, engagements, billing, and other client work.</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Clients and select New Client, or choose Client from the global + New menu.</w:t>
      </w:r>
    </w:p>
    <w:p>
      <w:pPr>
        <w:pStyle w:val="ListParagraph"/>
        <w:numPr>
          <w:ilvl w:val="0"/>
          <w:numId w:val="2"/>
        </w:numPr>
        <w:spacing w:after="40"/>
        <w:ind w:left="892"/>
      </w:pPr>
      <w:r>
        <w:rPr>
          <w:sz w:val="21"/>
          <w:szCs w:val="21"/>
        </w:rPr>
        <w:t xml:space="preserve">Enter the required Client Name and Entity Type.</w:t>
      </w:r>
    </w:p>
    <w:p>
      <w:pPr>
        <w:pStyle w:val="ListParagraph"/>
        <w:numPr>
          <w:ilvl w:val="0"/>
          <w:numId w:val="2"/>
        </w:numPr>
        <w:spacing w:after="40"/>
        <w:ind w:left="892"/>
      </w:pPr>
      <w:r>
        <w:rPr>
          <w:sz w:val="21"/>
          <w:szCs w:val="21"/>
        </w:rPr>
        <w:t xml:space="preserve">Add the status, industry, sub-industry, assigned firm users, folder template, country, and address that apply to the client.</w:t>
      </w:r>
    </w:p>
    <w:p>
      <w:pPr>
        <w:pStyle w:val="ListParagraph"/>
        <w:numPr>
          <w:ilvl w:val="0"/>
          <w:numId w:val="2"/>
        </w:numPr>
        <w:spacing w:after="40"/>
        <w:ind w:left="892"/>
      </w:pPr>
      <w:r>
        <w:rPr>
          <w:sz w:val="21"/>
          <w:szCs w:val="21"/>
        </w:rPr>
        <w:t xml:space="preserve">Optionally add the primary contact's name, phone number, and email.</w:t>
      </w:r>
    </w:p>
    <w:p>
      <w:pPr>
        <w:pStyle w:val="ListParagraph"/>
        <w:numPr>
          <w:ilvl w:val="0"/>
          <w:numId w:val="2"/>
        </w:numPr>
        <w:spacing w:after="40"/>
        <w:ind w:left="892"/>
      </w:pPr>
      <w:r>
        <w:rPr>
          <w:sz w:val="21"/>
          <w:szCs w:val="21"/>
        </w:rPr>
        <w:t xml:space="preserve">Choose whether Send portal invite should remain selected.</w:t>
      </w:r>
    </w:p>
    <w:p>
      <w:pPr>
        <w:pStyle w:val="ListParagraph"/>
        <w:numPr>
          <w:ilvl w:val="0"/>
          <w:numId w:val="2"/>
        </w:numPr>
        <w:spacing w:after="40"/>
        <w:ind w:left="892"/>
      </w:pPr>
      <w:r>
        <w:rPr>
          <w:sz w:val="21"/>
          <w:szCs w:val="21"/>
        </w:rPr>
        <w:t xml:space="preserve">Review the record and select Create Client.</w:t>
      </w:r>
    </w:p>
    <w:p>
      <w:pPr>
        <w:spacing w:after="40" w:before="70"/>
        <w:ind w:left="403"/>
      </w:pPr>
      <w:r>
        <w:rPr>
          <w:color w:val="8B8FA3"/>
          <w:sz w:val="17"/>
          <w:szCs w:val="17"/>
        </w:rPr>
        <w:t xml:space="preserve">Search terms: create a client add client new client client onboarding   ·   Ref: pro-how-is-a-new-client-added-directly-31</w:t>
      </w:r>
    </w:p>
    <w:p>
      <w:pPr>
        <w:keepNext/>
        <w:spacing w:after="90" w:before="220"/>
      </w:pPr>
      <w:r>
        <w:rPr>
          <w:b/>
          <w:bCs/>
          <w:color w:val="1A1C2E"/>
          <w:sz w:val="24"/>
          <w:szCs w:val="24"/>
        </w:rPr>
        <w:t xml:space="preserve">2.   What are all the ways to add a client?</w:t>
      </w:r>
    </w:p>
    <w:p>
      <w:pPr>
        <w:spacing w:after="90"/>
        <w:ind w:left="403"/>
      </w:pPr>
      <w:r>
        <w:rPr>
          <w:sz w:val="22"/>
          <w:szCs w:val="22"/>
        </w:rPr>
        <w:t xml:space="preserve">AssurePro provides several entry points for different onboarding situations: create one client directly, convert a qualified prospect by moving it to Won, import many clients from a CSV or Excel file, or create a missing client from the client picker while starting an engagement. The global + New menu is another shortcut to the direct-client form.</w:t>
      </w:r>
    </w:p>
    <w:p>
      <w:pPr>
        <w:spacing w:after="90"/>
        <w:ind w:left="403"/>
      </w:pPr>
      <w:r>
        <w:rPr>
          <w:b/>
          <w:bCs/>
          <w:color w:val="4735BE"/>
          <w:sz w:val="18"/>
          <w:szCs w:val="18"/>
        </w:rPr>
        <w:t xml:space="preserve">More   </w:t>
      </w:r>
      <w:r>
        <w:rPr>
          <w:sz w:val="22"/>
          <w:szCs w:val="22"/>
        </w:rPr>
        <w:t xml:space="preserve">Choose the path that preserves the correct history: direct creation for an established client, Won conversion for a lead that passed through the pipeline, import for a prepared migration file, or contextual creation when an engagement cannot proceed because the client is missing. All paths should end with a review of contacts, assignments, portal access, folders, and onboarding defaults.</w:t>
      </w:r>
    </w:p>
    <w:p>
      <w:pPr>
        <w:spacing w:after="40" w:before="70"/>
        <w:ind w:left="403"/>
      </w:pPr>
      <w:r>
        <w:rPr>
          <w:color w:val="8B8FA3"/>
          <w:sz w:val="17"/>
          <w:szCs w:val="17"/>
        </w:rPr>
        <w:t xml:space="preserve">Search terms: client conversion convert prospect won onboarding   ·   Ref: pro-what-are-all-the-ways-to-add-a-client-32</w:t>
      </w:r>
    </w:p>
    <w:p>
      <w:pPr>
        <w:keepNext/>
        <w:spacing w:after="90" w:before="220"/>
      </w:pPr>
      <w:r>
        <w:rPr>
          <w:b/>
          <w:bCs/>
          <w:color w:val="1A1C2E"/>
          <w:sz w:val="24"/>
          <w:szCs w:val="24"/>
        </w:rPr>
        <w:t xml:space="preserve">3.   How do I convert a prospect into a client?</w:t>
      </w:r>
    </w:p>
    <w:p>
      <w:pPr>
        <w:spacing w:after="90"/>
        <w:ind w:left="403"/>
      </w:pPr>
      <w:r>
        <w:rPr>
          <w:sz w:val="22"/>
          <w:szCs w:val="22"/>
        </w:rPr>
        <w:t xml:space="preserve">Use the Won stage after the lead has completed the firm's prospect process. This preserves the prospect workflow and promotes the successful lead into client onboarding.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Prospects and find the lead in Board or List view.</w:t>
      </w:r>
    </w:p>
    <w:p>
      <w:pPr>
        <w:pStyle w:val="ListParagraph"/>
        <w:numPr>
          <w:ilvl w:val="0"/>
          <w:numId w:val="2"/>
        </w:numPr>
        <w:spacing w:after="40"/>
        <w:ind w:left="892"/>
      </w:pPr>
      <w:r>
        <w:rPr>
          <w:sz w:val="21"/>
          <w:szCs w:val="21"/>
        </w:rPr>
        <w:t xml:space="preserve">Open the prospect record and review the company, contact, service interest, owners, deal value, expected close date, tags, and notes that should carry forward.</w:t>
      </w:r>
    </w:p>
    <w:p>
      <w:pPr>
        <w:pStyle w:val="ListParagraph"/>
        <w:numPr>
          <w:ilvl w:val="0"/>
          <w:numId w:val="2"/>
        </w:numPr>
        <w:spacing w:after="40"/>
        <w:ind w:left="892"/>
      </w:pPr>
      <w:r>
        <w:rPr>
          <w:sz w:val="21"/>
          <w:szCs w:val="21"/>
        </w:rPr>
        <w:t xml:space="preserve">Open the Stage control and change the prospect to Won.</w:t>
      </w:r>
    </w:p>
    <w:p>
      <w:pPr>
        <w:pStyle w:val="ListParagraph"/>
        <w:numPr>
          <w:ilvl w:val="0"/>
          <w:numId w:val="2"/>
        </w:numPr>
        <w:spacing w:after="40"/>
        <w:ind w:left="892"/>
      </w:pPr>
      <w:r>
        <w:rPr>
          <w:sz w:val="21"/>
          <w:szCs w:val="21"/>
        </w:rPr>
        <w:t xml:space="preserve">Open the resulting client record and complete any client-specific information, assignments, documents, portal access, or engagement setup that was not captured on the prospect.</w:t>
      </w:r>
    </w:p>
    <w:p>
      <w:pPr>
        <w:spacing w:after="40" w:before="70"/>
        <w:ind w:left="403"/>
      </w:pPr>
      <w:r>
        <w:rPr>
          <w:color w:val="8B8FA3"/>
          <w:sz w:val="17"/>
          <w:szCs w:val="17"/>
        </w:rPr>
        <w:t xml:space="preserve">Search terms: convert prospect won client   ·   Ref: pro-how-do-i-convert-a-prospect-into-a-client-33</w:t>
      </w:r>
    </w:p>
    <w:p>
      <w:pPr>
        <w:keepNext/>
        <w:spacing w:after="90" w:before="220"/>
      </w:pPr>
      <w:r>
        <w:rPr>
          <w:b/>
          <w:bCs/>
          <w:color w:val="1A1C2E"/>
          <w:sz w:val="24"/>
          <w:szCs w:val="24"/>
        </w:rPr>
        <w:t xml:space="preserve">4.   How do I import multiple clients?</w:t>
      </w:r>
    </w:p>
    <w:p>
      <w:pPr>
        <w:spacing w:after="90"/>
        <w:ind w:left="403"/>
      </w:pPr>
      <w:r>
        <w:rPr>
          <w:sz w:val="22"/>
          <w:szCs w:val="22"/>
        </w:rPr>
        <w:t xml:space="preserve">Use the client import when the firm needs to add multiple client records at once. AssurePro accepts CSV and XLSX files and provides a downloadable CSV template so the source data can be prepared in the expected structure before upload.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Clients.</w:t>
      </w:r>
    </w:p>
    <w:p>
      <w:pPr>
        <w:pStyle w:val="ListParagraph"/>
        <w:numPr>
          <w:ilvl w:val="0"/>
          <w:numId w:val="2"/>
        </w:numPr>
        <w:spacing w:after="40"/>
        <w:ind w:left="892"/>
      </w:pPr>
      <w:r>
        <w:rPr>
          <w:sz w:val="21"/>
          <w:szCs w:val="21"/>
        </w:rPr>
        <w:t xml:space="preserve">Select More ways to add clients, then Import from CSV.</w:t>
      </w:r>
    </w:p>
    <w:p>
      <w:pPr>
        <w:pStyle w:val="ListParagraph"/>
        <w:numPr>
          <w:ilvl w:val="0"/>
          <w:numId w:val="2"/>
        </w:numPr>
        <w:spacing w:after="40"/>
        <w:ind w:left="892"/>
      </w:pPr>
      <w:r>
        <w:rPr>
          <w:sz w:val="21"/>
          <w:szCs w:val="21"/>
        </w:rPr>
        <w:t xml:space="preserve">Download the CSV template if you need the expected structure, or prepare a supported .csv or .xlsx file.</w:t>
      </w:r>
    </w:p>
    <w:p>
      <w:pPr>
        <w:pStyle w:val="ListParagraph"/>
        <w:numPr>
          <w:ilvl w:val="0"/>
          <w:numId w:val="2"/>
        </w:numPr>
        <w:spacing w:after="40"/>
        <w:ind w:left="892"/>
      </w:pPr>
      <w:r>
        <w:rPr>
          <w:sz w:val="21"/>
          <w:szCs w:val="21"/>
        </w:rPr>
        <w:t xml:space="preserve">Drop the file into the import dialog or select it with the file browser.</w:t>
      </w:r>
    </w:p>
    <w:p>
      <w:pPr>
        <w:pStyle w:val="ListParagraph"/>
        <w:numPr>
          <w:ilvl w:val="0"/>
          <w:numId w:val="2"/>
        </w:numPr>
        <w:spacing w:after="40"/>
        <w:ind w:left="892"/>
      </w:pPr>
      <w:r>
        <w:rPr>
          <w:sz w:val="21"/>
          <w:szCs w:val="21"/>
        </w:rPr>
        <w:t xml:space="preserve">Follow the validation prompts shown for the uploaded file, then review the imported client records.</w:t>
      </w:r>
    </w:p>
    <w:p>
      <w:pPr>
        <w:spacing w:after="40" w:before="70"/>
        <w:ind w:left="403"/>
      </w:pPr>
      <w:r>
        <w:rPr>
          <w:color w:val="8B8FA3"/>
          <w:sz w:val="17"/>
          <w:szCs w:val="17"/>
        </w:rPr>
        <w:t xml:space="preserve">Search terms: bulk import clients csv excel xlsx   ·   Ref: pro-how-do-i-import-multiple-clients-34</w:t>
      </w:r>
    </w:p>
    <w:p>
      <w:pPr>
        <w:keepNext/>
        <w:spacing w:after="90" w:before="220"/>
      </w:pPr>
      <w:r>
        <w:rPr>
          <w:b/>
          <w:bCs/>
          <w:color w:val="1A1C2E"/>
          <w:sz w:val="24"/>
          <w:szCs w:val="24"/>
        </w:rPr>
        <w:t xml:space="preserve">5.   Can I create a client while starting an engagement?</w:t>
      </w:r>
    </w:p>
    <w:p>
      <w:pPr>
        <w:spacing w:after="90"/>
        <w:ind w:left="403"/>
      </w:pPr>
      <w:r>
        <w:rPr>
          <w:sz w:val="22"/>
          <w:szCs w:val="22"/>
        </w:rPr>
        <w:t xml:space="preserve">Yes. The New Engagement client chooser includes Create new client, so firm users do not have to leave the workflow when the required client is missing.</w:t>
      </w:r>
    </w:p>
    <w:p>
      <w:pPr>
        <w:spacing w:after="90"/>
        <w:ind w:left="403"/>
      </w:pPr>
      <w:r>
        <w:rPr>
          <w:b/>
          <w:bCs/>
          <w:color w:val="4735BE"/>
          <w:sz w:val="18"/>
          <w:szCs w:val="18"/>
        </w:rPr>
        <w:t xml:space="preserve">More   </w:t>
      </w:r>
      <w:r>
        <w:rPr>
          <w:sz w:val="22"/>
          <w:szCs w:val="22"/>
        </w:rPr>
        <w:t xml:space="preserve">This is useful when a firm user discovers that an otherwise ready engagement has no client record. The created client is available immediately in the engagement chooser; after saving the engagement, return to the client Info tab to complete any optional contact, entity, portal, assignment, or relationship fields that were not shown in the client form opened from New Engagement.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Workflow and select New Engagement.</w:t>
      </w:r>
    </w:p>
    <w:p>
      <w:pPr>
        <w:pStyle w:val="ListParagraph"/>
        <w:numPr>
          <w:ilvl w:val="0"/>
          <w:numId w:val="2"/>
        </w:numPr>
        <w:spacing w:after="40"/>
        <w:ind w:left="892"/>
      </w:pPr>
      <w:r>
        <w:rPr>
          <w:sz w:val="21"/>
          <w:szCs w:val="21"/>
        </w:rPr>
        <w:t xml:space="preserve">Open the Client chooser.</w:t>
      </w:r>
    </w:p>
    <w:p>
      <w:pPr>
        <w:pStyle w:val="ListParagraph"/>
        <w:numPr>
          <w:ilvl w:val="0"/>
          <w:numId w:val="2"/>
        </w:numPr>
        <w:spacing w:after="40"/>
        <w:ind w:left="892"/>
      </w:pPr>
      <w:r>
        <w:rPr>
          <w:sz w:val="21"/>
          <w:szCs w:val="21"/>
        </w:rPr>
        <w:t xml:space="preserve">Select Create new client and complete the client record.</w:t>
      </w:r>
    </w:p>
    <w:p>
      <w:pPr>
        <w:pStyle w:val="ListParagraph"/>
        <w:numPr>
          <w:ilvl w:val="0"/>
          <w:numId w:val="2"/>
        </w:numPr>
        <w:spacing w:after="40"/>
        <w:ind w:left="892"/>
      </w:pPr>
      <w:r>
        <w:rPr>
          <w:sz w:val="21"/>
          <w:szCs w:val="21"/>
        </w:rPr>
        <w:t xml:space="preserve">Return to the engagement setup, select the new client and an Engagement type, and continue creating the engagement.</w:t>
      </w:r>
    </w:p>
    <w:p>
      <w:pPr>
        <w:spacing w:after="40" w:before="70"/>
        <w:ind w:left="403"/>
      </w:pPr>
      <w:r>
        <w:rPr>
          <w:color w:val="8B8FA3"/>
          <w:sz w:val="17"/>
          <w:szCs w:val="17"/>
        </w:rPr>
        <w:t xml:space="preserve">Search terms: new engagement create client contextual   ·   Ref: pro-can-i-create-a-client-while-starting-an-engagement-35</w:t>
      </w:r>
    </w:p>
    <w:p>
      <w:pPr>
        <w:keepNext/>
        <w:spacing w:after="90" w:before="220"/>
      </w:pPr>
      <w:r>
        <w:rPr>
          <w:b/>
          <w:bCs/>
          <w:color w:val="1A1C2E"/>
          <w:sz w:val="24"/>
          <w:szCs w:val="24"/>
        </w:rPr>
        <w:t xml:space="preserve">6.   What can firm users see in a client workspace?</w:t>
      </w:r>
    </w:p>
    <w:p>
      <w:pPr>
        <w:spacing w:after="90"/>
        <w:ind w:left="403"/>
      </w:pPr>
      <w:r>
        <w:rPr>
          <w:sz w:val="22"/>
          <w:szCs w:val="22"/>
        </w:rPr>
        <w:t xml:space="preserve">Firm users can use a client workspace to review the relationship and the work connected to it in one place. The workspace includes Overview, Info, Documents, Communications, Engagements, Billing, Engagement Letter, Credentials, Emails, and AI SOP. Overview brings forward items requiring attention, open work, deadlines, documents, balances, communications, and recent activity.</w:t>
      </w:r>
    </w:p>
    <w:p>
      <w:pPr>
        <w:spacing w:after="90"/>
        <w:ind w:left="403"/>
      </w:pPr>
      <w:r>
        <w:rPr>
          <w:b/>
          <w:bCs/>
          <w:color w:val="4735BE"/>
          <w:sz w:val="18"/>
          <w:szCs w:val="18"/>
        </w:rPr>
        <w:t xml:space="preserve">More   </w:t>
      </w:r>
      <w:r>
        <w:rPr>
          <w:sz w:val="22"/>
          <w:szCs w:val="22"/>
        </w:rPr>
        <w:t xml:space="preserve">Use Overview for a concise operating summary and the specialized tabs for the full record. For example, an overdue invoice is reviewed in Billing, an unsigned package in Engagement Letter, missing source files in Documents, and the associated delivery plan in Engagements—without searching for the client again.</w:t>
      </w:r>
    </w:p>
    <w:p>
      <w:pPr>
        <w:spacing w:after="40" w:before="70"/>
        <w:ind w:left="403"/>
      </w:pPr>
      <w:r>
        <w:rPr>
          <w:color w:val="8B8FA3"/>
          <w:sz w:val="17"/>
          <w:szCs w:val="17"/>
        </w:rPr>
        <w:t xml:space="preserve">Ref: pro-what-can-staff-see-in-a-client-workspace-36</w:t>
      </w:r>
    </w:p>
    <w:p>
      <w:pPr>
        <w:keepNext/>
        <w:spacing w:after="90" w:before="220"/>
      </w:pPr>
      <w:r>
        <w:rPr>
          <w:b/>
          <w:bCs/>
          <w:color w:val="1A1C2E"/>
          <w:sz w:val="24"/>
          <w:szCs w:val="24"/>
        </w:rPr>
        <w:t xml:space="preserve">7.   What information is kept on the client Info tab?</w:t>
      </w:r>
    </w:p>
    <w:p>
      <w:pPr>
        <w:spacing w:after="90"/>
        <w:ind w:left="403"/>
      </w:pPr>
      <w:r>
        <w:rPr>
          <w:sz w:val="22"/>
          <w:szCs w:val="22"/>
        </w:rPr>
        <w:t xml:space="preserve">The Info tab includes profile completeness, contact information, entity details, contacts, tags, related entities, account roles, and notes. The displayed entity fields adjust to the client type; for an individual, the interface can request items such as SSN, date of birth, filing status, address, and period.</w:t>
      </w:r>
    </w:p>
    <w:p>
      <w:pPr>
        <w:spacing w:after="90"/>
        <w:ind w:left="403"/>
      </w:pPr>
      <w:r>
        <w:rPr>
          <w:b/>
          <w:bCs/>
          <w:color w:val="4735BE"/>
          <w:sz w:val="18"/>
          <w:szCs w:val="18"/>
        </w:rPr>
        <w:t xml:space="preserve">More   </w:t>
      </w:r>
      <w:r>
        <w:rPr>
          <w:sz w:val="22"/>
          <w:szCs w:val="22"/>
        </w:rPr>
        <w:t xml:space="preserve">The tab separates the primary entity record from Contacts, Related Entities, Account Roles, Tags, and Notes. This matters when one organization has several people or related businesses: update the appropriate relationship record instead of overwriting the primary client details.</w:t>
      </w:r>
    </w:p>
    <w:p>
      <w:pPr>
        <w:spacing w:after="40" w:before="70"/>
        <w:ind w:left="403"/>
      </w:pPr>
      <w:r>
        <w:rPr>
          <w:color w:val="8B8FA3"/>
          <w:sz w:val="17"/>
          <w:szCs w:val="17"/>
        </w:rPr>
        <w:t xml:space="preserve">Ref: pro-what-information-is-kept-on-the-client-info-tab-37</w:t>
      </w:r>
    </w:p>
    <w:p>
      <w:pPr>
        <w:keepNext/>
        <w:spacing w:after="90" w:before="220"/>
      </w:pPr>
      <w:r>
        <w:rPr>
          <w:b/>
          <w:bCs/>
          <w:color w:val="1A1C2E"/>
          <w:sz w:val="24"/>
          <w:szCs w:val="24"/>
        </w:rPr>
        <w:t xml:space="preserve">8.   Can a client have multiple contacts and relationship details?</w:t>
      </w:r>
    </w:p>
    <w:p>
      <w:pPr>
        <w:spacing w:after="90"/>
        <w:ind w:left="403"/>
      </w:pPr>
      <w:r>
        <w:rPr>
          <w:sz w:val="22"/>
          <w:szCs w:val="22"/>
        </w:rPr>
        <w:t xml:space="preserve">Yes. The client record includes a Contacts section as well as Related Entities and Account Roles. These areas keep the people and relationships associated with the client separate from the primary client record.</w:t>
      </w:r>
    </w:p>
    <w:p>
      <w:pPr>
        <w:spacing w:after="90"/>
        <w:ind w:left="403"/>
      </w:pPr>
      <w:r>
        <w:rPr>
          <w:b/>
          <w:bCs/>
          <w:color w:val="4735BE"/>
          <w:sz w:val="18"/>
          <w:szCs w:val="18"/>
        </w:rPr>
        <w:t xml:space="preserve">More   </w:t>
      </w:r>
      <w:r>
        <w:rPr>
          <w:sz w:val="22"/>
          <w:szCs w:val="22"/>
        </w:rPr>
        <w:t xml:space="preserve">For example, a business client can keep an owner, bookkeeper, payroll contact, and authorized signer as separate contacts, while Related Entities records connected companies and Account Roles clarifies each person's relationship. Portal access and communication recipients can then be managed against the appropriate contact.</w:t>
      </w:r>
    </w:p>
    <w:p>
      <w:pPr>
        <w:spacing w:after="40" w:before="70"/>
        <w:ind w:left="403"/>
      </w:pPr>
      <w:r>
        <w:rPr>
          <w:color w:val="8B8FA3"/>
          <w:sz w:val="17"/>
          <w:szCs w:val="17"/>
        </w:rPr>
        <w:t xml:space="preserve">Ref: pro-can-a-client-have-multiple-contacts-and-relationship-details-38</w:t>
      </w:r>
    </w:p>
    <w:p>
      <w:pPr>
        <w:keepNext/>
        <w:spacing w:after="90" w:before="220"/>
      </w:pPr>
      <w:r>
        <w:rPr>
          <w:b/>
          <w:bCs/>
          <w:color w:val="1A1C2E"/>
          <w:sz w:val="24"/>
          <w:szCs w:val="24"/>
        </w:rPr>
        <w:t xml:space="preserve">9.   How does AssurePro help complete a client profile?</w:t>
      </w:r>
    </w:p>
    <w:p>
      <w:pPr>
        <w:spacing w:after="90"/>
        <w:ind w:left="403"/>
      </w:pPr>
      <w:r>
        <w:rPr>
          <w:sz w:val="22"/>
          <w:szCs w:val="22"/>
        </w:rPr>
        <w:t xml:space="preserve">The Info tab shows a profile-completeness checklist and identifies missing fields. Firm users can add missing contact, address, entity, and period information directly from that checklist.</w:t>
      </w:r>
    </w:p>
    <w:p>
      <w:pPr>
        <w:spacing w:after="90"/>
        <w:ind w:left="403"/>
      </w:pPr>
      <w:r>
        <w:rPr>
          <w:b/>
          <w:bCs/>
          <w:color w:val="4735BE"/>
          <w:sz w:val="18"/>
          <w:szCs w:val="18"/>
        </w:rPr>
        <w:t xml:space="preserve">More   </w:t>
      </w:r>
      <w:r>
        <w:rPr>
          <w:sz w:val="22"/>
          <w:szCs w:val="22"/>
        </w:rPr>
        <w:t xml:space="preserve">Treat the checklist as an onboarding quality control rather than a cosmetic score. Completing the missing entity, address, contact, filing-period, and related fields improves downstream engagement setup, document requests, communications, agreements, invoices, and reports.</w:t>
      </w:r>
    </w:p>
    <w:p>
      <w:pPr>
        <w:spacing w:after="40" w:before="70"/>
        <w:ind w:left="403"/>
      </w:pPr>
      <w:r>
        <w:rPr>
          <w:color w:val="8B8FA3"/>
          <w:sz w:val="17"/>
          <w:szCs w:val="17"/>
        </w:rPr>
        <w:t xml:space="preserve">Ref: pro-how-does-assurepro-help-complete-a-client-profile-39</w:t>
      </w:r>
    </w:p>
    <w:p>
      <w:pPr>
        <w:keepNext/>
        <w:spacing w:after="90" w:before="220"/>
      </w:pPr>
      <w:r>
        <w:rPr>
          <w:b/>
          <w:bCs/>
          <w:color w:val="1A1C2E"/>
          <w:sz w:val="24"/>
          <w:szCs w:val="24"/>
        </w:rPr>
        <w:t xml:space="preserve">10.   Can a portal invitation be sent again?</w:t>
      </w:r>
    </w:p>
    <w:p>
      <w:pPr>
        <w:spacing w:after="90"/>
        <w:ind w:left="403"/>
      </w:pPr>
      <w:r>
        <w:rPr>
          <w:sz w:val="22"/>
          <w:szCs w:val="22"/>
        </w:rPr>
        <w:t xml:space="preserve">Yes. A firm user can resend a portal invitation from the client record after confirming that the intended client contact and email address are correct. The client should use the newest invitation because an earlier link may no longer be valid.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and choose Info.</w:t>
      </w:r>
    </w:p>
    <w:p>
      <w:pPr>
        <w:pStyle w:val="ListParagraph"/>
        <w:numPr>
          <w:ilvl w:val="0"/>
          <w:numId w:val="2"/>
        </w:numPr>
        <w:spacing w:after="40"/>
        <w:ind w:left="892"/>
      </w:pPr>
      <w:r>
        <w:rPr>
          <w:sz w:val="21"/>
          <w:szCs w:val="21"/>
        </w:rPr>
        <w:t xml:space="preserve">Find the contact who should have portal access and confirm the email address is correct.</w:t>
      </w:r>
    </w:p>
    <w:p>
      <w:pPr>
        <w:pStyle w:val="ListParagraph"/>
        <w:numPr>
          <w:ilvl w:val="0"/>
          <w:numId w:val="2"/>
        </w:numPr>
        <w:spacing w:after="40"/>
        <w:ind w:left="892"/>
      </w:pPr>
      <w:r>
        <w:rPr>
          <w:sz w:val="21"/>
          <w:szCs w:val="21"/>
        </w:rPr>
        <w:t xml:space="preserve">Use Resend invite for a contact whose invitation needs to be issued again.</w:t>
      </w:r>
    </w:p>
    <w:p>
      <w:pPr>
        <w:pStyle w:val="ListParagraph"/>
        <w:numPr>
          <w:ilvl w:val="0"/>
          <w:numId w:val="2"/>
        </w:numPr>
        <w:spacing w:after="40"/>
        <w:ind w:left="892"/>
      </w:pPr>
      <w:r>
        <w:rPr>
          <w:sz w:val="21"/>
          <w:szCs w:val="21"/>
        </w:rPr>
        <w:t xml:space="preserve">Ask the client to open the newest invitation, accept it, verify the invited email when prompted, and set their portal password.</w:t>
      </w:r>
    </w:p>
    <w:p>
      <w:pPr>
        <w:pStyle w:val="ListParagraph"/>
        <w:numPr>
          <w:ilvl w:val="0"/>
          <w:numId w:val="2"/>
        </w:numPr>
        <w:spacing w:after="40"/>
        <w:ind w:left="892"/>
      </w:pPr>
      <w:r>
        <w:rPr>
          <w:sz w:val="21"/>
          <w:szCs w:val="21"/>
        </w:rPr>
        <w:t xml:space="preserve">Confirm successful access from the client's activity history or portal-access status.</w:t>
      </w:r>
    </w:p>
    <w:p>
      <w:pPr>
        <w:spacing w:after="40" w:before="70"/>
        <w:ind w:left="403"/>
      </w:pPr>
      <w:r>
        <w:rPr>
          <w:color w:val="8B8FA3"/>
          <w:sz w:val="17"/>
          <w:szCs w:val="17"/>
        </w:rPr>
        <w:t xml:space="preserve">Ref: pro-can-a-portal-invitation-be-sent-again-40</w:t>
      </w:r>
    </w:p>
    <w:p>
      <w:pPr>
        <w:keepNext/>
        <w:spacing w:after="90" w:before="220"/>
      </w:pPr>
      <w:r>
        <w:rPr>
          <w:b/>
          <w:bCs/>
          <w:color w:val="1A1C2E"/>
          <w:sz w:val="24"/>
          <w:szCs w:val="24"/>
        </w:rPr>
        <w:t xml:space="preserve">11.   What can a client do through the client portal?</w:t>
      </w:r>
    </w:p>
    <w:p>
      <w:pPr>
        <w:spacing w:after="90"/>
        <w:ind w:left="403"/>
      </w:pPr>
      <w:r>
        <w:rPr>
          <w:sz w:val="22"/>
          <w:szCs w:val="22"/>
        </w:rPr>
        <w:t xml:space="preserve">A client user can review and sign engagement letters, respond to document requests, upload files, exchange messages with the firm, and review or pay invoices that the firm sends through the client portal. Portal access begins with the invitation sent during onboarding or from the client's Info tab.</w:t>
      </w:r>
    </w:p>
    <w:p>
      <w:pPr>
        <w:spacing w:after="90"/>
        <w:ind w:left="403"/>
      </w:pPr>
      <w:r>
        <w:rPr>
          <w:b/>
          <w:bCs/>
          <w:color w:val="4735BE"/>
          <w:sz w:val="18"/>
          <w:szCs w:val="18"/>
        </w:rPr>
        <w:t xml:space="preserve">More   </w:t>
      </w:r>
      <w:r>
        <w:rPr>
          <w:sz w:val="22"/>
          <w:szCs w:val="22"/>
        </w:rPr>
        <w:t xml:space="preserve">A typical flow is: accept the invitation, set a password, open a request or message, upload the requested documents, review and sign the engagement package, and pay an invoice when billing is enabled. The client sees only the client-facing work made available by the firm, not the internal firm workspace.</w:t>
      </w:r>
    </w:p>
    <w:p>
      <w:pPr>
        <w:spacing w:after="40" w:before="70"/>
        <w:ind w:left="403"/>
      </w:pPr>
      <w:r>
        <w:rPr>
          <w:color w:val="8B8FA3"/>
          <w:sz w:val="17"/>
          <w:szCs w:val="17"/>
        </w:rPr>
        <w:t xml:space="preserve">Ref: pro-what-can-a-client-do-through-the-client-portal-41</w:t>
      </w:r>
    </w:p>
    <w:p>
      <w:pPr>
        <w:keepNext/>
        <w:spacing w:after="90" w:before="220"/>
      </w:pPr>
      <w:r>
        <w:rPr>
          <w:b/>
          <w:bCs/>
          <w:color w:val="1A1C2E"/>
          <w:sz w:val="24"/>
          <w:szCs w:val="24"/>
        </w:rPr>
        <w:t xml:space="preserve">12.   Does a client set a password for the client portal, or use a passwordless link?</w:t>
      </w:r>
    </w:p>
    <w:p>
      <w:pPr>
        <w:spacing w:after="90"/>
        <w:ind w:left="403"/>
      </w:pPr>
      <w:r>
        <w:rPr>
          <w:sz w:val="22"/>
          <w:szCs w:val="22"/>
        </w:rPr>
        <w:t xml:space="preserve">The invitation flow uses an account password rather than a permanent passwordless link. The client opens the invitation sent to their email address, accepts it, completes the email-verification step when requested, and sets a password. Subsequent client activity—including invitation acceptance, password creation, and portal login—can appear in Recent activity for operational confirmation.</w:t>
      </w:r>
    </w:p>
    <w:p>
      <w:pPr>
        <w:spacing w:after="90"/>
        <w:ind w:left="403"/>
      </w:pPr>
      <w:r>
        <w:rPr>
          <w:b/>
          <w:bCs/>
          <w:color w:val="4735BE"/>
          <w:sz w:val="18"/>
          <w:szCs w:val="18"/>
        </w:rPr>
        <w:t xml:space="preserve">More   </w:t>
      </w:r>
      <w:r>
        <w:rPr>
          <w:sz w:val="22"/>
          <w:szCs w:val="22"/>
        </w:rPr>
        <w:t xml:space="preserve">If the client reports that the invitation link does not work, confirm the contact email and resend the invitation from Info. The client should use the newest email, complete the verification code step, set a password, and then use those credentials for later portal or mobile-app access.</w:t>
      </w:r>
    </w:p>
    <w:p>
      <w:pPr>
        <w:spacing w:after="40" w:before="70"/>
        <w:ind w:left="403"/>
      </w:pPr>
      <w:r>
        <w:rPr>
          <w:color w:val="8B8FA3"/>
          <w:sz w:val="17"/>
          <w:szCs w:val="17"/>
        </w:rPr>
        <w:t xml:space="preserve">Ref: pro-does-a-client-set-a-password-for-the-client-portal-or-use-a-passwordle-42</w:t>
      </w:r>
    </w:p>
    <w:p>
      <w:pPr>
        <w:keepNext/>
        <w:spacing w:after="90" w:before="220"/>
      </w:pPr>
      <w:r>
        <w:rPr>
          <w:b/>
          <w:bCs/>
          <w:color w:val="1A1C2E"/>
          <w:sz w:val="24"/>
          <w:szCs w:val="24"/>
        </w:rPr>
        <w:t xml:space="preserve">13.   Is there a mobile app for clients?</w:t>
      </w:r>
    </w:p>
    <w:p>
      <w:pPr>
        <w:spacing w:after="90"/>
        <w:ind w:left="403"/>
      </w:pPr>
      <w:r>
        <w:rPr>
          <w:sz w:val="22"/>
          <w:szCs w:val="22"/>
        </w:rPr>
        <w:t xml:space="preserve">Yes. AssurePro provides a client mobile app for both iOS and Android. Clients can use the mobile experience for the work the firm makes available to them, including reviewing requests, uploading documents, communicating with the firm, signing documents, and handling billing-related actions. The client must first accept the firm's portal invitation and establish their account before signing in on a mobile device.</w:t>
      </w:r>
    </w:p>
    <w:p>
      <w:pPr>
        <w:spacing w:after="90"/>
        <w:ind w:left="403"/>
      </w:pPr>
      <w:r>
        <w:rPr>
          <w:b/>
          <w:bCs/>
          <w:color w:val="4735BE"/>
          <w:sz w:val="18"/>
          <w:szCs w:val="18"/>
        </w:rPr>
        <w:t xml:space="preserve">More   </w:t>
      </w:r>
      <w:r>
        <w:rPr>
          <w:sz w:val="22"/>
          <w:szCs w:val="22"/>
        </w:rPr>
        <w:t xml:space="preserve">For a smooth rollout, ask the client to activate the account from the firm's invitation first, then install the iOS or Android client app and sign in with the same account. The firm should still verify that the intended request, message, signing package, or invoice is visible to that contact before directing them to act.</w:t>
      </w:r>
    </w:p>
    <w:p>
      <w:pPr>
        <w:spacing w:after="40" w:before="70"/>
        <w:ind w:left="403"/>
      </w:pPr>
      <w:r>
        <w:rPr>
          <w:color w:val="8B8FA3"/>
          <w:sz w:val="17"/>
          <w:szCs w:val="17"/>
        </w:rPr>
        <w:t xml:space="preserve">Ref: pro-is-there-a-mobile-app-for-clients-43</w:t>
      </w:r>
    </w:p>
    <w:p>
      <w:pPr>
        <w:keepNext/>
        <w:spacing w:after="90" w:before="220"/>
      </w:pPr>
      <w:r>
        <w:rPr>
          <w:b/>
          <w:bCs/>
          <w:color w:val="1A1C2E"/>
          <w:sz w:val="24"/>
          <w:szCs w:val="24"/>
        </w:rPr>
        <w:t xml:space="preserve">14.   Can we migrate data from our previous practice-management software?</w:t>
      </w:r>
    </w:p>
    <w:p>
      <w:pPr>
        <w:spacing w:after="60"/>
        <w:ind w:left="403"/>
      </w:pPr>
      <w:r>
        <w:rPr>
          <w:sz w:val="22"/>
          <w:szCs w:val="22"/>
        </w:rPr>
        <w:t xml:space="preserve">Yes. The AssureOne implementation team can help the firm plan and complete a migration from its current practice-management system. The migration scope is agreed during onboarding and depends on the source data, available export format, records and documents to be moved, required history, field mapping, and planned cutover. The firm reviews and validates the migrated information before using it for live work.</w:t>
      </w:r>
    </w:p>
    <w:p>
      <w:pPr>
        <w:spacing w:after="40" w:before="70"/>
        <w:ind w:left="403"/>
      </w:pPr>
      <w:r>
        <w:rPr>
          <w:color w:val="8B8FA3"/>
          <w:sz w:val="17"/>
          <w:szCs w:val="17"/>
        </w:rPr>
        <w:t xml:space="preserve">Ref: pro-can-we-migrate-data-from-our-previous-practice-management-software-44</w:t>
      </w:r>
    </w:p>
    <w:p>
      <w:pPr>
        <w:keepNext/>
        <w:spacing w:after="90" w:before="220"/>
      </w:pPr>
      <w:r>
        <w:rPr>
          <w:b/>
          <w:bCs/>
          <w:color w:val="1A1C2E"/>
          <w:sz w:val="24"/>
          <w:szCs w:val="24"/>
        </w:rPr>
        <w:t xml:space="preserve">15.   Does AssurePro include CRM capabilities?</w:t>
      </w:r>
    </w:p>
    <w:p>
      <w:pPr>
        <w:spacing w:after="90"/>
        <w:ind w:left="403"/>
      </w:pPr>
      <w:r>
        <w:rPr>
          <w:sz w:val="22"/>
          <w:szCs w:val="22"/>
        </w:rPr>
        <w:t xml:space="preserve">Yes. AssurePro combines client records with a prospect pipeline. Firms can capture leads, owners, expected close dates, sources, service interests, deal values, contact information, tags, and qualification fields, then manage active clients through dedicated workspaces containing contacts, engagements, documents, communications, billing, and related information.</w:t>
      </w:r>
    </w:p>
    <w:p>
      <w:pPr>
        <w:spacing w:after="90"/>
        <w:ind w:left="403"/>
      </w:pPr>
      <w:r>
        <w:rPr>
          <w:b/>
          <w:bCs/>
          <w:color w:val="4735BE"/>
          <w:sz w:val="18"/>
          <w:szCs w:val="18"/>
        </w:rPr>
        <w:t xml:space="preserve">More   </w:t>
      </w:r>
      <w:r>
        <w:rPr>
          <w:sz w:val="22"/>
          <w:szCs w:val="22"/>
        </w:rPr>
        <w:t xml:space="preserve">For example, a firm can capture a referral as a prospect, assign an owner and expected close date, record service interest and deal value, move it through Discovery and Proposal, and mark it Won. The resulting client can then continue into portal onboarding, documents, engagement delivery, agreements, and billing without rebuilding the relationship.</w:t>
      </w:r>
    </w:p>
    <w:p>
      <w:pPr>
        <w:spacing w:after="40" w:before="70"/>
        <w:ind w:left="403"/>
      </w:pPr>
      <w:r>
        <w:rPr>
          <w:color w:val="8B8FA3"/>
          <w:sz w:val="17"/>
          <w:szCs w:val="17"/>
        </w:rPr>
        <w:t xml:space="preserve">Ref: pro-does-assurepro-include-crm-capabilities-45</w:t>
      </w:r>
    </w:p>
    <w:p>
      <w:pPr>
        <w:keepNext/>
        <w:spacing w:after="90" w:before="220"/>
      </w:pPr>
      <w:r>
        <w:rPr>
          <w:b/>
          <w:bCs/>
          <w:color w:val="1A1C2E"/>
          <w:sz w:val="24"/>
          <w:szCs w:val="24"/>
        </w:rPr>
        <w:t xml:space="preserve">16.   How are prospects managed before they become clients?</w:t>
      </w:r>
    </w:p>
    <w:p>
      <w:pPr>
        <w:spacing w:after="90"/>
        <w:ind w:left="403"/>
      </w:pPr>
      <w:r>
        <w:rPr>
          <w:sz w:val="22"/>
          <w:szCs w:val="22"/>
        </w:rPr>
        <w:t xml:space="preserve">Prospects can be managed in Board or List view inside a firm-defined pipeline. The firm is not limited to one fixed sales process: administrators can create a new pipeline and define, rename, reorder, add, or restructure its stages to match the firm's qualification and proposal process.</w:t>
      </w:r>
    </w:p>
    <w:p>
      <w:pPr>
        <w:spacing w:after="90"/>
        <w:ind w:left="403"/>
      </w:pPr>
      <w:r>
        <w:rPr>
          <w:b/>
          <w:bCs/>
          <w:color w:val="4735BE"/>
          <w:sz w:val="18"/>
          <w:szCs w:val="18"/>
        </w:rPr>
        <w:t xml:space="preserve">More   </w:t>
      </w:r>
      <w:r>
        <w:rPr>
          <w:sz w:val="22"/>
          <w:szCs w:val="22"/>
        </w:rPr>
        <w:t xml:space="preserve">A firm may use one pipeline for all prospects or create separate pipelines for service lines or sales motions. For example, an advisory pipeline may include Assessment and Scoping stages, while a tax pipeline may move from New lead to Documents received, Proposal, Won, or Lost. Restructuring the stages changes how the firm organizes future pipeline work, so firm administrators should agree on the definitions before rollout.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Choose or create the pipeline used for that service line or sales process.</w:t>
      </w:r>
    </w:p>
    <w:p>
      <w:pPr>
        <w:pStyle w:val="ListParagraph"/>
        <w:numPr>
          <w:ilvl w:val="0"/>
          <w:numId w:val="2"/>
        </w:numPr>
        <w:spacing w:after="40"/>
        <w:ind w:left="892"/>
      </w:pPr>
      <w:r>
        <w:rPr>
          <w:sz w:val="21"/>
          <w:szCs w:val="21"/>
        </w:rPr>
        <w:t xml:space="preserve">Configure the stages in the order work should move—for example, New lead, Discovery, Qualified, Proposal, Decision, Won, and Lost.</w:t>
      </w:r>
    </w:p>
    <w:p>
      <w:pPr>
        <w:pStyle w:val="ListParagraph"/>
        <w:numPr>
          <w:ilvl w:val="0"/>
          <w:numId w:val="2"/>
        </w:numPr>
        <w:spacing w:after="40"/>
        <w:ind w:left="892"/>
      </w:pPr>
      <w:r>
        <w:rPr>
          <w:sz w:val="21"/>
          <w:szCs w:val="21"/>
        </w:rPr>
        <w:t xml:space="preserve">Use Board view to move prospects between stages and see the pipeline visually; use List view to search, filter, and compare prospect details in rows.</w:t>
      </w:r>
    </w:p>
    <w:p>
      <w:pPr>
        <w:pStyle w:val="ListParagraph"/>
        <w:numPr>
          <w:ilvl w:val="0"/>
          <w:numId w:val="2"/>
        </w:numPr>
        <w:spacing w:after="40"/>
        <w:ind w:left="892"/>
      </w:pPr>
      <w:r>
        <w:rPr>
          <w:sz w:val="21"/>
          <w:szCs w:val="21"/>
        </w:rPr>
        <w:t xml:space="preserve">Open a prospect to manage owners, tasks, notes, emails, calls, service interest, deal value, expected close date, and engagement-letter activity.</w:t>
      </w:r>
    </w:p>
    <w:p>
      <w:pPr>
        <w:pStyle w:val="ListParagraph"/>
        <w:numPr>
          <w:ilvl w:val="0"/>
          <w:numId w:val="2"/>
        </w:numPr>
        <w:spacing w:after="40"/>
        <w:ind w:left="892"/>
      </w:pPr>
      <w:r>
        <w:rPr>
          <w:sz w:val="21"/>
          <w:szCs w:val="21"/>
        </w:rPr>
        <w:t xml:space="preserve">Review lead count, pipeline value, won count and value, win rate, and average deal size for the selected pipeline.</w:t>
      </w:r>
    </w:p>
    <w:p>
      <w:pPr>
        <w:pStyle w:val="ListParagraph"/>
        <w:numPr>
          <w:ilvl w:val="0"/>
          <w:numId w:val="2"/>
        </w:numPr>
        <w:spacing w:after="40"/>
        <w:ind w:left="892"/>
      </w:pPr>
      <w:r>
        <w:rPr>
          <w:sz w:val="21"/>
          <w:szCs w:val="21"/>
        </w:rPr>
        <w:t xml:space="preserve">Move the prospect to Won when the opportunity is accepted; AssurePro then creates or promotes the client record so onboarding can continue without re-entering the prospect information.</w:t>
      </w:r>
    </w:p>
    <w:p>
      <w:pPr>
        <w:spacing w:after="40" w:before="70"/>
        <w:ind w:left="403"/>
      </w:pPr>
      <w:r>
        <w:rPr>
          <w:color w:val="8B8FA3"/>
          <w:sz w:val="17"/>
          <w:szCs w:val="17"/>
        </w:rPr>
        <w:t xml:space="preserve">Ref: pro-how-are-prospects-managed-before-they-become-clients-46</w:t>
      </w:r>
    </w:p>
    <w:p>
      <w:pPr>
        <w:keepNext/>
        <w:spacing w:after="90" w:before="220"/>
      </w:pPr>
      <w:r>
        <w:rPr>
          <w:b/>
          <w:bCs/>
          <w:color w:val="1A1C2E"/>
          <w:sz w:val="24"/>
          <w:szCs w:val="24"/>
        </w:rPr>
        <w:t xml:space="preserve">17.   How do I create a prospect?</w:t>
      </w:r>
    </w:p>
    <w:p>
      <w:pPr>
        <w:spacing w:after="90"/>
        <w:ind w:left="403"/>
      </w:pPr>
      <w:r>
        <w:rPr>
          <w:sz w:val="22"/>
          <w:szCs w:val="22"/>
        </w:rPr>
        <w:t xml:space="preserve">Open Prospects and select New prospect. Enter the required name and email, then add any company, deal value, phone, stage, source, owners, expected close date, tags, lead type, referrer, industry, size, job role, designation, service interest, and linked contact. Select Add prospect to place the lead in the chosen pipeline stage.</w:t>
      </w:r>
    </w:p>
    <w:p>
      <w:pPr>
        <w:spacing w:after="90"/>
        <w:ind w:left="403"/>
      </w:pPr>
      <w:r>
        <w:rPr>
          <w:b/>
          <w:bCs/>
          <w:color w:val="4735BE"/>
          <w:sz w:val="18"/>
          <w:szCs w:val="18"/>
        </w:rPr>
        <w:t xml:space="preserve">More   </w:t>
      </w:r>
      <w:r>
        <w:rPr>
          <w:sz w:val="22"/>
          <w:szCs w:val="22"/>
        </w:rPr>
        <w:t xml:space="preserve">After saving, confirm that the lead appears in the intended pipeline and stage and that the owner and expected close date are correct. Add a task or note for the next action; when the opportunity succeeds, move it to Won so the lead becomes a client without losing the prospect history.</w:t>
      </w:r>
    </w:p>
    <w:p>
      <w:pPr>
        <w:spacing w:after="40" w:before="70"/>
        <w:ind w:left="403"/>
      </w:pPr>
      <w:r>
        <w:rPr>
          <w:color w:val="8B8FA3"/>
          <w:sz w:val="17"/>
          <w:szCs w:val="17"/>
        </w:rPr>
        <w:t xml:space="preserve">Ref: pro-how-do-i-create-a-prospect-47</w:t>
      </w:r>
    </w:p>
    <w:p>
      <w:pPr>
        <w:keepNext/>
        <w:spacing w:after="90" w:before="220"/>
      </w:pPr>
      <w:r>
        <w:rPr>
          <w:b/>
          <w:bCs/>
          <w:color w:val="1A1C2E"/>
          <w:sz w:val="24"/>
          <w:szCs w:val="24"/>
        </w:rPr>
        <w:t xml:space="preserve">18.   What information can be captured for a prospect?</w:t>
      </w:r>
    </w:p>
    <w:p>
      <w:pPr>
        <w:spacing w:after="90"/>
        <w:ind w:left="403"/>
      </w:pPr>
      <w:r>
        <w:rPr>
          <w:sz w:val="22"/>
          <w:szCs w:val="22"/>
        </w:rPr>
        <w:t xml:space="preserve">A prospect record can capture contact and company details, pipeline and stage, source, owner, expected close date, deal value, service interest, tags, and other qualification information. Firm administrators can add custom fields in Settings when the standard record does not cover a detail required by the firm's sales or onboarding process.</w:t>
      </w:r>
    </w:p>
    <w:p>
      <w:pPr>
        <w:spacing w:after="90"/>
        <w:ind w:left="403"/>
      </w:pPr>
      <w:r>
        <w:rPr>
          <w:b/>
          <w:bCs/>
          <w:color w:val="4735BE"/>
          <w:sz w:val="18"/>
          <w:szCs w:val="18"/>
        </w:rPr>
        <w:t xml:space="preserve">More   </w:t>
      </w:r>
      <w:r>
        <w:rPr>
          <w:sz w:val="22"/>
          <w:szCs w:val="22"/>
        </w:rPr>
        <w:t xml:space="preserve">Custom fields let the firm collect qualification details unique to its process—for example, current accounting system, number of entities, annual revenue band, fiscal year-end, tax jurisdictions, audit requirement, or preferred onboarding date. Use clear field labels and consistent field types so firm users can complete the record reliably and the information remains useful after the prospect becomes a client.</w:t>
      </w:r>
    </w:p>
    <w:p>
      <w:pPr>
        <w:spacing w:after="40" w:before="70"/>
        <w:ind w:left="403"/>
      </w:pPr>
      <w:r>
        <w:rPr>
          <w:color w:val="8B8FA3"/>
          <w:sz w:val="17"/>
          <w:szCs w:val="17"/>
        </w:rPr>
        <w:t xml:space="preserve">Ref: pro-what-information-can-be-captured-for-a-prospect-48</w:t>
      </w:r>
    </w:p>
    <w:p>
      <w:pPr>
        <w:keepNext/>
        <w:spacing w:after="90" w:before="220"/>
      </w:pPr>
      <w:r>
        <w:rPr>
          <w:b/>
          <w:bCs/>
          <w:color w:val="1A1C2E"/>
          <w:sz w:val="24"/>
          <w:szCs w:val="24"/>
        </w:rPr>
        <w:t xml:space="preserve">19.   What work can be managed from a prospect record?</w:t>
      </w:r>
    </w:p>
    <w:p>
      <w:pPr>
        <w:spacing w:after="90"/>
        <w:ind w:left="403"/>
      </w:pPr>
      <w:r>
        <w:rPr>
          <w:sz w:val="22"/>
          <w:szCs w:val="22"/>
        </w:rPr>
        <w:t xml:space="preserve">A prospect record keeps the lead information and pipeline stage together with tabs for Overview, Tasks, Email, Calls, and Engagement Letters. Firm users can also add tasks and notes while the opportunity moves through Prospect, Discovery, Proposal, Won, or Lost.</w:t>
      </w:r>
    </w:p>
    <w:p>
      <w:pPr>
        <w:spacing w:after="90"/>
        <w:ind w:left="403"/>
      </w:pPr>
      <w:r>
        <w:rPr>
          <w:b/>
          <w:bCs/>
          <w:color w:val="4735BE"/>
          <w:sz w:val="18"/>
          <w:szCs w:val="18"/>
        </w:rPr>
        <w:t xml:space="preserve">More   </w:t>
      </w:r>
      <w:r>
        <w:rPr>
          <w:sz w:val="22"/>
          <w:szCs w:val="22"/>
        </w:rPr>
        <w:t xml:space="preserve">A practical sequence is to record the lead, assign discovery tasks, keep outreach in Email or Calls, add notes after each conversation, prepare an engagement letter during Proposal, and change the stage as the opportunity advances. Mark Won only when it should enter client onboarding; use Lost when the opportunity should remain in history without becoming a client.</w:t>
      </w:r>
    </w:p>
    <w:p>
      <w:pPr>
        <w:spacing w:after="40" w:before="70"/>
        <w:ind w:left="403"/>
      </w:pPr>
      <w:r>
        <w:rPr>
          <w:color w:val="8B8FA3"/>
          <w:sz w:val="17"/>
          <w:szCs w:val="17"/>
        </w:rPr>
        <w:t xml:space="preserve">Ref: pro-what-work-can-be-managed-from-a-prospect-record-49</w:t>
      </w:r>
    </w:p>
    <w:p>
      <w:r>
        <w:br w:type="page"/>
      </w:r>
    </w:p>
    <w:p>
      <w:pPr>
        <w:pStyle w:val="Heading1"/>
        <w:spacing w:after="40" w:before="60"/>
      </w:pPr>
      <w:r>
        <w:rPr>
          <w:b/>
          <w:bCs/>
          <w:color w:val="1A1C2E"/>
          <w:sz w:val="32"/>
          <w:szCs w:val="32"/>
        </w:rPr>
        <w:t xml:space="preserve">Documents</w:t>
      </w:r>
    </w:p>
    <w:p>
      <w:pPr>
        <w:pBdr>
          <w:bottom w:val="single" w:color="E4E2F0" w:sz="4"/>
        </w:pBdr>
        <w:spacing w:after="200"/>
      </w:pPr>
      <w:r>
        <w:rPr>
          <w:color w:val="8B8FA3"/>
          <w:sz w:val="20"/>
          <w:szCs w:val="20"/>
        </w:rPr>
        <w:t xml:space="preserve">14 questions</w:t>
      </w:r>
    </w:p>
    <w:p>
      <w:pPr>
        <w:keepNext/>
        <w:spacing w:after="90" w:before="220"/>
      </w:pPr>
      <w:r>
        <w:rPr>
          <w:b/>
          <w:bCs/>
          <w:color w:val="1A1C2E"/>
          <w:sz w:val="24"/>
          <w:szCs w:val="24"/>
        </w:rPr>
        <w:t xml:space="preserve">1.   How are documents organized across the firm?</w:t>
      </w:r>
    </w:p>
    <w:p>
      <w:pPr>
        <w:spacing w:after="90"/>
        <w:ind w:left="403"/>
      </w:pPr>
      <w:r>
        <w:rPr>
          <w:sz w:val="22"/>
          <w:szCs w:val="22"/>
        </w:rPr>
        <w:t xml:space="preserve">The top-level Documents screen groups work by client and highlights clients that are awaiting documents. Inside a client workspace, documents are organized into folders and can be viewed by areas such as client uploads, messaging, engagement letters, tax returns, source documents, signed forms, correspondence, and miscellaneous files.</w:t>
      </w:r>
    </w:p>
    <w:p>
      <w:pPr>
        <w:spacing w:after="90"/>
        <w:ind w:left="403"/>
      </w:pPr>
      <w:r>
        <w:rPr>
          <w:b/>
          <w:bCs/>
          <w:color w:val="4735BE"/>
          <w:sz w:val="18"/>
          <w:szCs w:val="18"/>
        </w:rPr>
        <w:t xml:space="preserve">More   </w:t>
      </w:r>
      <w:r>
        <w:rPr>
          <w:sz w:val="22"/>
          <w:szCs w:val="22"/>
        </w:rPr>
        <w:t xml:space="preserve">The firm-level view helps firm users find clients with missing documents, while the client workspace provides the actual folder hierarchy and request history. Use Folder Templates for consistency, Document Types for classification, and source filters to distinguish requested client uploads from internal or imported files.</w:t>
      </w:r>
    </w:p>
    <w:p>
      <w:pPr>
        <w:spacing w:after="40" w:before="70"/>
        <w:ind w:left="403"/>
      </w:pPr>
      <w:r>
        <w:rPr>
          <w:color w:val="8B8FA3"/>
          <w:sz w:val="17"/>
          <w:szCs w:val="17"/>
        </w:rPr>
        <w:t xml:space="preserve">Ref: pro-how-are-documents-organized-across-the-firm-50</w:t>
      </w:r>
    </w:p>
    <w:p>
      <w:pPr>
        <w:keepNext/>
        <w:spacing w:after="90" w:before="220"/>
      </w:pPr>
      <w:r>
        <w:rPr>
          <w:b/>
          <w:bCs/>
          <w:color w:val="1A1C2E"/>
          <w:sz w:val="24"/>
          <w:szCs w:val="24"/>
        </w:rPr>
        <w:t xml:space="preserve">2.   Can firms standardize folder structures and document labels?</w:t>
      </w:r>
    </w:p>
    <w:p>
      <w:pPr>
        <w:spacing w:after="90"/>
        <w:ind w:left="403"/>
      </w:pPr>
      <w:r>
        <w:rPr>
          <w:sz w:val="22"/>
          <w:szCs w:val="22"/>
        </w:rPr>
        <w:t xml:space="preserve">Yes. Documents settings contain Folder Templates, Document Types, and Work Types. Administrators can create folder templates, add folders, define document codes, labels, categories, descriptions, and fields, and control which definitions are active.</w:t>
      </w:r>
    </w:p>
    <w:p>
      <w:pPr>
        <w:spacing w:after="90"/>
        <w:ind w:left="403"/>
      </w:pPr>
      <w:r>
        <w:rPr>
          <w:b/>
          <w:bCs/>
          <w:color w:val="4735BE"/>
          <w:sz w:val="18"/>
          <w:szCs w:val="18"/>
        </w:rPr>
        <w:t xml:space="preserve">More   </w:t>
      </w:r>
      <w:r>
        <w:rPr>
          <w:sz w:val="22"/>
          <w:szCs w:val="22"/>
        </w:rPr>
        <w:t xml:space="preserve">For example, a tax folder template can create Intake, Source Documents, Workpapers, Review, Filed Return, and Correspondence folders, while document types distinguish W-2, 1099, K-1, identification, and signed forms. Apply the standard during onboarding so firm users and client users see a predictable structure.</w:t>
      </w:r>
    </w:p>
    <w:p>
      <w:pPr>
        <w:spacing w:after="40" w:before="70"/>
        <w:ind w:left="403"/>
      </w:pPr>
      <w:r>
        <w:rPr>
          <w:color w:val="8B8FA3"/>
          <w:sz w:val="17"/>
          <w:szCs w:val="17"/>
        </w:rPr>
        <w:t xml:space="preserve">Ref: pro-can-firms-standardize-folder-structures-and-document-labels-51</w:t>
      </w:r>
    </w:p>
    <w:p>
      <w:pPr>
        <w:keepNext/>
        <w:spacing w:after="90" w:before="220"/>
      </w:pPr>
      <w:r>
        <w:rPr>
          <w:b/>
          <w:bCs/>
          <w:color w:val="1A1C2E"/>
          <w:sz w:val="24"/>
          <w:szCs w:val="24"/>
        </w:rPr>
        <w:t xml:space="preserve">3.   How do I create or update a folder template?</w:t>
      </w:r>
    </w:p>
    <w:p>
      <w:pPr>
        <w:spacing w:after="90"/>
        <w:ind w:left="403"/>
      </w:pPr>
      <w:r>
        <w:rPr>
          <w:sz w:val="22"/>
          <w:szCs w:val="22"/>
        </w:rPr>
        <w:t xml:space="preserve">Open Settings, choose Documents, and stay on Folder Templates. Select New template to create a structure or open an existing template, then use Add Folder to build its hierarchy. The finished template can be applied from a client's Documents tab or selected as an onboarding default.</w:t>
      </w:r>
    </w:p>
    <w:p>
      <w:pPr>
        <w:spacing w:after="90"/>
        <w:ind w:left="403"/>
      </w:pPr>
      <w:r>
        <w:rPr>
          <w:b/>
          <w:bCs/>
          <w:color w:val="4735BE"/>
          <w:sz w:val="18"/>
          <w:szCs w:val="18"/>
        </w:rPr>
        <w:t xml:space="preserve">More   </w:t>
      </w:r>
      <w:r>
        <w:rPr>
          <w:sz w:val="22"/>
          <w:szCs w:val="22"/>
        </w:rPr>
        <w:t xml:space="preserve">Design the template around a repeatable service or period rather than one exceptional client. After editing, test Apply Template in a demo client to confirm folder names and hierarchy; then select the template in Onboarding Defaults if it should be used automatically for future clients.</w:t>
      </w:r>
    </w:p>
    <w:p>
      <w:pPr>
        <w:spacing w:after="40" w:before="70"/>
        <w:ind w:left="403"/>
      </w:pPr>
      <w:r>
        <w:rPr>
          <w:color w:val="8B8FA3"/>
          <w:sz w:val="17"/>
          <w:szCs w:val="17"/>
        </w:rPr>
        <w:t xml:space="preserve">Ref: pro-how-do-i-create-or-update-a-folder-template-52</w:t>
      </w:r>
    </w:p>
    <w:p>
      <w:pPr>
        <w:keepNext/>
        <w:spacing w:after="90" w:before="220"/>
      </w:pPr>
      <w:r>
        <w:rPr>
          <w:b/>
          <w:bCs/>
          <w:color w:val="1A1C2E"/>
          <w:sz w:val="24"/>
          <w:szCs w:val="24"/>
        </w:rPr>
        <w:t xml:space="preserve">4.   What can be configured for Document Types?</w:t>
      </w:r>
    </w:p>
    <w:p>
      <w:pPr>
        <w:spacing w:after="60"/>
        <w:ind w:left="403"/>
      </w:pPr>
      <w:r>
        <w:rPr>
          <w:sz w:val="22"/>
          <w:szCs w:val="22"/>
        </w:rPr>
        <w:t xml:space="preserve">Document Types standardize how files are classified and which information AssurePro can capture for that type. Firm administrators can maintain categories and create firm-specific document types with a name, description, fields, and active status. System-provided definitions are identified separately from the firm's own definitions.</w:t>
      </w:r>
    </w:p>
    <w:p>
      <w:pPr>
        <w:spacing w:after="40" w:before="70"/>
        <w:ind w:left="403"/>
      </w:pPr>
      <w:r>
        <w:rPr>
          <w:color w:val="8B8FA3"/>
          <w:sz w:val="17"/>
          <w:szCs w:val="17"/>
        </w:rPr>
        <w:t xml:space="preserve">Ref: pro-what-can-be-configured-for-document-types-53</w:t>
      </w:r>
    </w:p>
    <w:p>
      <w:pPr>
        <w:keepNext/>
        <w:spacing w:after="90" w:before="220"/>
      </w:pPr>
      <w:r>
        <w:rPr>
          <w:b/>
          <w:bCs/>
          <w:color w:val="1A1C2E"/>
          <w:sz w:val="24"/>
          <w:szCs w:val="24"/>
        </w:rPr>
        <w:t xml:space="preserve">5.   What is available under Work Types in Documents settings?</w:t>
      </w:r>
    </w:p>
    <w:p>
      <w:pPr>
        <w:spacing w:after="60"/>
        <w:ind w:left="403"/>
      </w:pPr>
      <w:r>
        <w:rPr>
          <w:sz w:val="22"/>
          <w:szCs w:val="22"/>
        </w:rPr>
        <w:t xml:space="preserve">Work Types defines the classifications available when the firm creates document-intake templates for bookkeeping, audit, accounting, advisory, and tax work. AssurePro includes system-provided work types, and firm administrators can create additional custom types with their own code, label, and description. A type can be made inactive when it should no longer be used for new intake work.</w:t>
      </w:r>
    </w:p>
    <w:p>
      <w:pPr>
        <w:spacing w:after="40" w:before="70"/>
        <w:ind w:left="403"/>
      </w:pPr>
      <w:r>
        <w:rPr>
          <w:color w:val="8B8FA3"/>
          <w:sz w:val="17"/>
          <w:szCs w:val="17"/>
        </w:rPr>
        <w:t xml:space="preserve">Ref: pro-what-is-available-under-work-types-in-documents-settings-54</w:t>
      </w:r>
    </w:p>
    <w:p>
      <w:pPr>
        <w:keepNext/>
        <w:spacing w:after="90" w:before="220"/>
      </w:pPr>
      <w:r>
        <w:rPr>
          <w:b/>
          <w:bCs/>
          <w:color w:val="1A1C2E"/>
          <w:sz w:val="24"/>
          <w:szCs w:val="24"/>
        </w:rPr>
        <w:t xml:space="preserve">6.   How is a folder template applied to a client?</w:t>
      </w:r>
    </w:p>
    <w:p>
      <w:pPr>
        <w:spacing w:after="90"/>
        <w:ind w:left="403"/>
      </w:pPr>
      <w:r>
        <w:rPr>
          <w:sz w:val="22"/>
          <w:szCs w:val="22"/>
        </w:rPr>
        <w:t xml:space="preserve">Apply a Folder Template from the client's Documents tab to create the firm's standard folders in that client workspace. The template adds its saved folder structure without preventing firm users from creating additional client-specific folders.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and choose Documents.</w:t>
      </w:r>
    </w:p>
    <w:p>
      <w:pPr>
        <w:pStyle w:val="ListParagraph"/>
        <w:numPr>
          <w:ilvl w:val="0"/>
          <w:numId w:val="2"/>
        </w:numPr>
        <w:spacing w:after="40"/>
        <w:ind w:left="892"/>
      </w:pPr>
      <w:r>
        <w:rPr>
          <w:sz w:val="21"/>
          <w:szCs w:val="21"/>
        </w:rPr>
        <w:t xml:space="preserve">Select Apply Template and choose the Folder Template created for that client's service, year, or reporting period.</w:t>
      </w:r>
    </w:p>
    <w:p>
      <w:pPr>
        <w:pStyle w:val="ListParagraph"/>
        <w:numPr>
          <w:ilvl w:val="0"/>
          <w:numId w:val="2"/>
        </w:numPr>
        <w:spacing w:after="40"/>
        <w:ind w:left="892"/>
      </w:pPr>
      <w:r>
        <w:rPr>
          <w:sz w:val="21"/>
          <w:szCs w:val="21"/>
        </w:rPr>
        <w:t xml:space="preserve">Review the folders that will be added and apply the template.</w:t>
      </w:r>
    </w:p>
    <w:p>
      <w:pPr>
        <w:pStyle w:val="ListParagraph"/>
        <w:numPr>
          <w:ilvl w:val="0"/>
          <w:numId w:val="2"/>
        </w:numPr>
        <w:spacing w:after="40"/>
        <w:ind w:left="892"/>
      </w:pPr>
      <w:r>
        <w:rPr>
          <w:sz w:val="21"/>
          <w:szCs w:val="21"/>
        </w:rPr>
        <w:t xml:space="preserve">Use New Folder when the client needs an additional folder that is not part of the standard template.</w:t>
      </w:r>
    </w:p>
    <w:p>
      <w:pPr>
        <w:pStyle w:val="ListParagraph"/>
        <w:numPr>
          <w:ilvl w:val="0"/>
          <w:numId w:val="2"/>
        </w:numPr>
        <w:spacing w:after="40"/>
        <w:ind w:left="892"/>
      </w:pPr>
      <w:r>
        <w:rPr>
          <w:sz w:val="21"/>
          <w:szCs w:val="21"/>
        </w:rPr>
        <w:t xml:space="preserve">For future clients, choose the default folder template during client creation or configure it in Settings &gt; Onboarding Defaults.</w:t>
      </w:r>
    </w:p>
    <w:p>
      <w:pPr>
        <w:spacing w:after="40" w:before="70"/>
        <w:ind w:left="403"/>
      </w:pPr>
      <w:r>
        <w:rPr>
          <w:color w:val="8B8FA3"/>
          <w:sz w:val="17"/>
          <w:szCs w:val="17"/>
        </w:rPr>
        <w:t xml:space="preserve">Ref: pro-how-is-a-folder-template-applied-to-a-client-55</w:t>
      </w:r>
    </w:p>
    <w:p>
      <w:pPr>
        <w:keepNext/>
        <w:spacing w:after="90" w:before="220"/>
      </w:pPr>
      <w:r>
        <w:rPr>
          <w:b/>
          <w:bCs/>
          <w:color w:val="1A1C2E"/>
          <w:sz w:val="24"/>
          <w:szCs w:val="24"/>
        </w:rPr>
        <w:t xml:space="preserve">7.   How do I request documents from a client?</w:t>
      </w:r>
    </w:p>
    <w:p>
      <w:pPr>
        <w:spacing w:after="90"/>
        <w:ind w:left="403"/>
      </w:pPr>
      <w:r>
        <w:rPr>
          <w:sz w:val="22"/>
          <w:szCs w:val="22"/>
        </w:rPr>
        <w:t xml:space="preserve">A document request tells the client user what the firm needs, where to provide it, and when it is due. The request and the files supplied in response remain connected to the client workspace so firm users can monitor what is outstanding without relying on separate email follow-up.</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client and choose Documents.</w:t>
      </w:r>
    </w:p>
    <w:p>
      <w:pPr>
        <w:pStyle w:val="ListParagraph"/>
        <w:numPr>
          <w:ilvl w:val="0"/>
          <w:numId w:val="2"/>
        </w:numPr>
        <w:spacing w:after="40"/>
        <w:ind w:left="892"/>
      </w:pPr>
      <w:r>
        <w:rPr>
          <w:sz w:val="21"/>
          <w:szCs w:val="21"/>
        </w:rPr>
        <w:t xml:space="preserve">Select Request and describe each document or item needed.</w:t>
      </w:r>
    </w:p>
    <w:p>
      <w:pPr>
        <w:pStyle w:val="ListParagraph"/>
        <w:numPr>
          <w:ilvl w:val="0"/>
          <w:numId w:val="2"/>
        </w:numPr>
        <w:spacing w:after="40"/>
        <w:ind w:left="892"/>
      </w:pPr>
      <w:r>
        <w:rPr>
          <w:sz w:val="21"/>
          <w:szCs w:val="21"/>
        </w:rPr>
        <w:t xml:space="preserve">Select the folder where the returned files should be stored, set the due date, and complete the recipient and request fields shown in the form.</w:t>
      </w:r>
    </w:p>
    <w:p>
      <w:pPr>
        <w:pStyle w:val="ListParagraph"/>
        <w:numPr>
          <w:ilvl w:val="0"/>
          <w:numId w:val="2"/>
        </w:numPr>
        <w:spacing w:after="40"/>
        <w:ind w:left="892"/>
      </w:pPr>
      <w:r>
        <w:rPr>
          <w:sz w:val="21"/>
          <w:szCs w:val="21"/>
        </w:rPr>
        <w:t xml:space="preserve">Review the recipient and send the request.</w:t>
      </w:r>
    </w:p>
    <w:p>
      <w:pPr>
        <w:pStyle w:val="ListParagraph"/>
        <w:numPr>
          <w:ilvl w:val="0"/>
          <w:numId w:val="2"/>
        </w:numPr>
        <w:spacing w:after="40"/>
        <w:ind w:left="892"/>
      </w:pPr>
      <w:r>
        <w:rPr>
          <w:sz w:val="21"/>
          <w:szCs w:val="21"/>
        </w:rPr>
        <w:t xml:space="preserve">The client receives the request through the client experience and uploads the files against it.</w:t>
      </w:r>
    </w:p>
    <w:p>
      <w:pPr>
        <w:pStyle w:val="ListParagraph"/>
        <w:numPr>
          <w:ilvl w:val="0"/>
          <w:numId w:val="2"/>
        </w:numPr>
        <w:spacing w:after="40"/>
        <w:ind w:left="892"/>
      </w:pPr>
      <w:r>
        <w:rPr>
          <w:sz w:val="21"/>
          <w:szCs w:val="21"/>
        </w:rPr>
        <w:t xml:space="preserve">Return to the Requests view to monitor the outstanding item; completed uploads remain available in the client's Documents workspace.</w:t>
      </w:r>
    </w:p>
    <w:p>
      <w:pPr>
        <w:spacing w:after="40" w:before="70"/>
        <w:ind w:left="403"/>
      </w:pPr>
      <w:r>
        <w:rPr>
          <w:color w:val="8B8FA3"/>
          <w:sz w:val="17"/>
          <w:szCs w:val="17"/>
        </w:rPr>
        <w:t xml:space="preserve">Ref: pro-how-do-i-request-documents-from-a-client-56</w:t>
      </w:r>
    </w:p>
    <w:p>
      <w:pPr>
        <w:keepNext/>
        <w:spacing w:after="90" w:before="220"/>
      </w:pPr>
      <w:r>
        <w:rPr>
          <w:b/>
          <w:bCs/>
          <w:color w:val="1A1C2E"/>
          <w:sz w:val="24"/>
          <w:szCs w:val="24"/>
        </w:rPr>
        <w:t xml:space="preserve">8.   What happens if a client doesn't respond to a document request?</w:t>
      </w:r>
    </w:p>
    <w:p>
      <w:pPr>
        <w:spacing w:after="90"/>
        <w:ind w:left="403"/>
      </w:pPr>
      <w:r>
        <w:rPr>
          <w:sz w:val="22"/>
          <w:szCs w:val="22"/>
        </w:rPr>
        <w:t xml:space="preserve">AssurePro follows the firm's configured Document requests reminder schedule while the request remains outstanding. Firm users can monitor the request in the client workspace and follow up directly when the automated reminder sequence has finished or the client needs additional help.</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Reminders.</w:t>
      </w:r>
    </w:p>
    <w:p>
      <w:pPr>
        <w:pStyle w:val="ListParagraph"/>
        <w:numPr>
          <w:ilvl w:val="0"/>
          <w:numId w:val="2"/>
        </w:numPr>
        <w:spacing w:after="40"/>
        <w:ind w:left="892"/>
      </w:pPr>
      <w:r>
        <w:rPr>
          <w:sz w:val="21"/>
          <w:szCs w:val="21"/>
        </w:rPr>
        <w:t xml:space="preserve">Confirm that Document requests reminders are enabled.</w:t>
      </w:r>
    </w:p>
    <w:p>
      <w:pPr>
        <w:pStyle w:val="ListParagraph"/>
        <w:numPr>
          <w:ilvl w:val="0"/>
          <w:numId w:val="2"/>
        </w:numPr>
        <w:spacing w:after="40"/>
        <w:ind w:left="892"/>
      </w:pPr>
      <w:r>
        <w:rPr>
          <w:sz w:val="21"/>
          <w:szCs w:val="21"/>
        </w:rPr>
        <w:t xml:space="preserve">Review or edit the initial delay, repeat interval, and total number of reminders.</w:t>
      </w:r>
    </w:p>
    <w:p>
      <w:pPr>
        <w:pStyle w:val="ListParagraph"/>
        <w:numPr>
          <w:ilvl w:val="0"/>
          <w:numId w:val="2"/>
        </w:numPr>
        <w:spacing w:after="40"/>
        <w:ind w:left="892"/>
      </w:pPr>
      <w:r>
        <w:rPr>
          <w:sz w:val="21"/>
          <w:szCs w:val="21"/>
        </w:rPr>
        <w:t xml:space="preserve">Monitor the request from the client's Documents &gt; Requests view.</w:t>
      </w:r>
    </w:p>
    <w:p>
      <w:pPr>
        <w:pStyle w:val="ListParagraph"/>
        <w:numPr>
          <w:ilvl w:val="0"/>
          <w:numId w:val="2"/>
        </w:numPr>
        <w:spacing w:after="40"/>
        <w:ind w:left="892"/>
      </w:pPr>
      <w:r>
        <w:rPr>
          <w:sz w:val="21"/>
          <w:szCs w:val="21"/>
        </w:rPr>
        <w:t xml:space="preserve">If the request remains outstanding after the automated sequence, contact the client from Communications and document the follow-up in the shared conversation history.</w:t>
      </w:r>
    </w:p>
    <w:p>
      <w:pPr>
        <w:spacing w:after="40" w:before="70"/>
        <w:ind w:left="403"/>
      </w:pPr>
      <w:r>
        <w:rPr>
          <w:color w:val="8B8FA3"/>
          <w:sz w:val="17"/>
          <w:szCs w:val="17"/>
        </w:rPr>
        <w:t xml:space="preserve">Ref: pro-what-happens-if-a-client-doesn-t-respond-to-a-document-request-57</w:t>
      </w:r>
    </w:p>
    <w:p>
      <w:pPr>
        <w:keepNext/>
        <w:spacing w:after="90" w:before="220"/>
      </w:pPr>
      <w:r>
        <w:rPr>
          <w:b/>
          <w:bCs/>
          <w:color w:val="1A1C2E"/>
          <w:sz w:val="24"/>
          <w:szCs w:val="24"/>
        </w:rPr>
        <w:t xml:space="preserve">9.   What is the difference between Request, Import, and Upload?</w:t>
      </w:r>
    </w:p>
    <w:p>
      <w:pPr>
        <w:spacing w:after="90"/>
        <w:ind w:left="403"/>
      </w:pPr>
      <w:r>
        <w:rPr>
          <w:sz w:val="22"/>
          <w:szCs w:val="22"/>
        </w:rPr>
        <w:t xml:space="preserve">Request asks the client to provide documents through the portal. Import brings documents from connected Dropbox or OneDrive storage. Upload adds a file available on the firm user's computer directly to the selected client workspace. Choose the action based on who currently has the file and where it is stored.</w:t>
      </w:r>
    </w:p>
    <w:p>
      <w:pPr>
        <w:spacing w:after="90"/>
        <w:ind w:left="403"/>
      </w:pPr>
      <w:r>
        <w:rPr>
          <w:b/>
          <w:bCs/>
          <w:color w:val="4735BE"/>
          <w:sz w:val="18"/>
          <w:szCs w:val="18"/>
        </w:rPr>
        <w:t xml:space="preserve">More   </w:t>
      </w:r>
      <w:r>
        <w:rPr>
          <w:sz w:val="22"/>
          <w:szCs w:val="22"/>
        </w:rPr>
        <w:t xml:space="preserve">Example: use Request when the client still holds a W-2, Import when it already exists in the firm's connected OneDrive or Dropbox, and Upload when a firm user has the file locally. In every case, select the correct client and destination folder before completing the action.</w:t>
      </w:r>
    </w:p>
    <w:p>
      <w:pPr>
        <w:spacing w:after="40" w:before="70"/>
        <w:ind w:left="403"/>
      </w:pPr>
      <w:r>
        <w:rPr>
          <w:color w:val="8B8FA3"/>
          <w:sz w:val="17"/>
          <w:szCs w:val="17"/>
        </w:rPr>
        <w:t xml:space="preserve">Ref: pro-what-is-the-difference-between-request-import-and-upload-58</w:t>
      </w:r>
    </w:p>
    <w:p>
      <w:pPr>
        <w:keepNext/>
        <w:spacing w:after="90" w:before="220"/>
      </w:pPr>
      <w:r>
        <w:rPr>
          <w:b/>
          <w:bCs/>
          <w:color w:val="1A1C2E"/>
          <w:sz w:val="24"/>
          <w:szCs w:val="24"/>
        </w:rPr>
        <w:t xml:space="preserve">10.   How do I upload a document to a client workspace?</w:t>
      </w:r>
    </w:p>
    <w:p>
      <w:pPr>
        <w:spacing w:after="90"/>
        <w:ind w:left="403"/>
      </w:pPr>
      <w:r>
        <w:rPr>
          <w:sz w:val="22"/>
          <w:szCs w:val="22"/>
        </w:rPr>
        <w:t xml:space="preserve">Use Upload when a firm user already has the document on their computer and needs to place it in a client's workspace. Select the client and destination folder carefully so the file is stored with the correct record.</w:t>
      </w:r>
    </w:p>
    <w:p>
      <w:pPr>
        <w:spacing w:after="90"/>
        <w:ind w:left="403"/>
      </w:pPr>
      <w:r>
        <w:rPr>
          <w:b/>
          <w:bCs/>
          <w:color w:val="4735BE"/>
          <w:sz w:val="18"/>
          <w:szCs w:val="18"/>
        </w:rPr>
        <w:t xml:space="preserve">More   </w:t>
      </w:r>
      <w:r>
        <w:rPr>
          <w:sz w:val="22"/>
          <w:szCs w:val="22"/>
        </w:rPr>
        <w:t xml:space="preserve">After upload, search for the filename and open it from the destination folder to confirm that the correct file—not an earlier draft—was stored. If the file should satisfy an outstanding client request, verify the Requests view rather than assuming a general upload automatically completes the requested item.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Documents and select the client.</w:t>
      </w:r>
    </w:p>
    <w:p>
      <w:pPr>
        <w:pStyle w:val="ListParagraph"/>
        <w:numPr>
          <w:ilvl w:val="0"/>
          <w:numId w:val="2"/>
        </w:numPr>
        <w:spacing w:after="40"/>
        <w:ind w:left="892"/>
      </w:pPr>
      <w:r>
        <w:rPr>
          <w:sz w:val="21"/>
          <w:szCs w:val="21"/>
        </w:rPr>
        <w:t xml:space="preserve">Choose the destination folder in the folder tree, or create a folder first with New Folder.</w:t>
      </w:r>
    </w:p>
    <w:p>
      <w:pPr>
        <w:pStyle w:val="ListParagraph"/>
        <w:numPr>
          <w:ilvl w:val="0"/>
          <w:numId w:val="2"/>
        </w:numPr>
        <w:spacing w:after="40"/>
        <w:ind w:left="892"/>
      </w:pPr>
      <w:r>
        <w:rPr>
          <w:sz w:val="21"/>
          <w:szCs w:val="21"/>
        </w:rPr>
        <w:t xml:space="preserve">Select Upload and choose the local file.</w:t>
      </w:r>
    </w:p>
    <w:p>
      <w:pPr>
        <w:pStyle w:val="ListParagraph"/>
        <w:numPr>
          <w:ilvl w:val="0"/>
          <w:numId w:val="2"/>
        </w:numPr>
        <w:spacing w:after="40"/>
        <w:ind w:left="892"/>
      </w:pPr>
      <w:r>
        <w:rPr>
          <w:sz w:val="21"/>
          <w:szCs w:val="21"/>
        </w:rPr>
        <w:t xml:space="preserve">Confirm the destination and review the uploaded file in the client workspace.</w:t>
      </w:r>
    </w:p>
    <w:p>
      <w:pPr>
        <w:spacing w:after="40" w:before="70"/>
        <w:ind w:left="403"/>
      </w:pPr>
      <w:r>
        <w:rPr>
          <w:color w:val="8B8FA3"/>
          <w:sz w:val="17"/>
          <w:szCs w:val="17"/>
        </w:rPr>
        <w:t xml:space="preserve">Ref: pro-how-do-i-upload-a-document-to-a-client-workspace-59</w:t>
      </w:r>
    </w:p>
    <w:p>
      <w:pPr>
        <w:keepNext/>
        <w:spacing w:after="90" w:before="220"/>
      </w:pPr>
      <w:r>
        <w:rPr>
          <w:b/>
          <w:bCs/>
          <w:color w:val="1A1C2E"/>
          <w:sz w:val="24"/>
          <w:szCs w:val="24"/>
        </w:rPr>
        <w:t xml:space="preserve">11.   How do I import documents from Dropbox or OneDrive?</w:t>
      </w:r>
    </w:p>
    <w:p>
      <w:pPr>
        <w:spacing w:after="90"/>
        <w:ind w:left="403"/>
      </w:pPr>
      <w:r>
        <w:rPr>
          <w:sz w:val="22"/>
          <w:szCs w:val="22"/>
        </w:rPr>
        <w:t xml:space="preserve">A storage connection must be configured before cloud import is available. When neither provider is connected, AssurePro directs the firm user to Settings &gt; Integrations.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choose Integrations, and connect Dropbox or OneDrive.</w:t>
      </w:r>
    </w:p>
    <w:p>
      <w:pPr>
        <w:pStyle w:val="ListParagraph"/>
        <w:numPr>
          <w:ilvl w:val="0"/>
          <w:numId w:val="2"/>
        </w:numPr>
        <w:spacing w:after="40"/>
        <w:ind w:left="892"/>
      </w:pPr>
      <w:r>
        <w:rPr>
          <w:sz w:val="21"/>
          <w:szCs w:val="21"/>
        </w:rPr>
        <w:t xml:space="preserve">Return to Documents and select the client and destination folder.</w:t>
      </w:r>
    </w:p>
    <w:p>
      <w:pPr>
        <w:pStyle w:val="ListParagraph"/>
        <w:numPr>
          <w:ilvl w:val="0"/>
          <w:numId w:val="2"/>
        </w:numPr>
        <w:spacing w:after="40"/>
        <w:ind w:left="892"/>
      </w:pPr>
      <w:r>
        <w:rPr>
          <w:sz w:val="21"/>
          <w:szCs w:val="21"/>
        </w:rPr>
        <w:t xml:space="preserve">Select Import and choose content from the connected storage provider.</w:t>
      </w:r>
    </w:p>
    <w:p>
      <w:pPr>
        <w:pStyle w:val="ListParagraph"/>
        <w:numPr>
          <w:ilvl w:val="0"/>
          <w:numId w:val="2"/>
        </w:numPr>
        <w:spacing w:after="40"/>
        <w:ind w:left="892"/>
      </w:pPr>
      <w:r>
        <w:rPr>
          <w:sz w:val="21"/>
          <w:szCs w:val="21"/>
        </w:rPr>
        <w:t xml:space="preserve">Complete the import and confirm the files in the client's document list.</w:t>
      </w:r>
    </w:p>
    <w:p>
      <w:pPr>
        <w:spacing w:after="40" w:before="70"/>
        <w:ind w:left="403"/>
      </w:pPr>
      <w:r>
        <w:rPr>
          <w:color w:val="8B8FA3"/>
          <w:sz w:val="17"/>
          <w:szCs w:val="17"/>
        </w:rPr>
        <w:t xml:space="preserve">Ref: pro-how-do-i-import-documents-from-dropbox-or-onedrive-60</w:t>
      </w:r>
    </w:p>
    <w:p>
      <w:pPr>
        <w:keepNext/>
        <w:spacing w:after="90" w:before="220"/>
      </w:pPr>
      <w:r>
        <w:rPr>
          <w:b/>
          <w:bCs/>
          <w:color w:val="1A1C2E"/>
          <w:sz w:val="24"/>
          <w:szCs w:val="24"/>
        </w:rPr>
        <w:t xml:space="preserve">12.   How do I find a file or review outstanding requests?</w:t>
      </w:r>
    </w:p>
    <w:p>
      <w:pPr>
        <w:spacing w:after="90"/>
        <w:ind w:left="403"/>
      </w:pPr>
      <w:r>
        <w:rPr>
          <w:sz w:val="22"/>
          <w:szCs w:val="22"/>
        </w:rPr>
        <w:t xml:space="preserve">Use the Files view to search stored documents by filename, folder, source, or file type. Use the Requests view to find document requests that are still awaiting a client response or to review completed requests.</w:t>
      </w:r>
    </w:p>
    <w:p>
      <w:pPr>
        <w:spacing w:after="90"/>
        <w:ind w:left="403"/>
      </w:pPr>
      <w:r>
        <w:rPr>
          <w:b/>
          <w:bCs/>
          <w:color w:val="4735BE"/>
          <w:sz w:val="18"/>
          <w:szCs w:val="18"/>
        </w:rPr>
        <w:t xml:space="preserve">More   </w:t>
      </w:r>
      <w:r>
        <w:rPr>
          <w:sz w:val="22"/>
          <w:szCs w:val="22"/>
        </w:rPr>
        <w:t xml:space="preserve">For example, select Requested to isolate client-provided files, switch to Requests to see items still awaiting a response, and use a folder plus filename search to narrow a large annual workspace. Reset filters when a known file does not appear before uploading a duplicate.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the client in Documents.</w:t>
      </w:r>
    </w:p>
    <w:p>
      <w:pPr>
        <w:pStyle w:val="ListParagraph"/>
        <w:numPr>
          <w:ilvl w:val="0"/>
          <w:numId w:val="2"/>
        </w:numPr>
        <w:spacing w:after="40"/>
        <w:ind w:left="892"/>
      </w:pPr>
      <w:r>
        <w:rPr>
          <w:sz w:val="21"/>
          <w:szCs w:val="21"/>
        </w:rPr>
        <w:t xml:space="preserve">Use the folder tree or All Documents to set the scope.</w:t>
      </w:r>
    </w:p>
    <w:p>
      <w:pPr>
        <w:pStyle w:val="ListParagraph"/>
        <w:numPr>
          <w:ilvl w:val="0"/>
          <w:numId w:val="2"/>
        </w:numPr>
        <w:spacing w:after="40"/>
        <w:ind w:left="892"/>
      </w:pPr>
      <w:r>
        <w:rPr>
          <w:sz w:val="21"/>
          <w:szCs w:val="21"/>
        </w:rPr>
        <w:t xml:space="preserve">Search by file name and narrow the source to All, Requested, or Internal when helpful.</w:t>
      </w:r>
    </w:p>
    <w:p>
      <w:pPr>
        <w:pStyle w:val="ListParagraph"/>
        <w:numPr>
          <w:ilvl w:val="0"/>
          <w:numId w:val="2"/>
        </w:numPr>
        <w:spacing w:after="40"/>
        <w:ind w:left="892"/>
      </w:pPr>
      <w:r>
        <w:rPr>
          <w:sz w:val="21"/>
          <w:szCs w:val="21"/>
        </w:rPr>
        <w:t xml:space="preserve">Switch between Files and Requests, and use list or grid view and the file-type filter to refine the results.</w:t>
      </w:r>
    </w:p>
    <w:p>
      <w:pPr>
        <w:spacing w:after="40" w:before="70"/>
        <w:ind w:left="403"/>
      </w:pPr>
      <w:r>
        <w:rPr>
          <w:color w:val="8B8FA3"/>
          <w:sz w:val="17"/>
          <w:szCs w:val="17"/>
        </w:rPr>
        <w:t xml:space="preserve">Ref: pro-how-do-i-find-a-file-or-review-outstanding-requests-61</w:t>
      </w:r>
    </w:p>
    <w:p>
      <w:pPr>
        <w:keepNext/>
        <w:spacing w:after="90" w:before="220"/>
      </w:pPr>
      <w:r>
        <w:rPr>
          <w:b/>
          <w:bCs/>
          <w:color w:val="1A1C2E"/>
          <w:sz w:val="24"/>
          <w:szCs w:val="24"/>
        </w:rPr>
        <w:t xml:space="preserve">13.   Can client documents be organized by tax year or reporting period?</w:t>
      </w:r>
    </w:p>
    <w:p>
      <w:pPr>
        <w:spacing w:after="90"/>
        <w:ind w:left="403"/>
      </w:pPr>
      <w:r>
        <w:rPr>
          <w:sz w:val="22"/>
          <w:szCs w:val="22"/>
        </w:rPr>
        <w:t xml:space="preserve">Yes. Administrators can build year- or period-based folders into a Folder Template, and firm users can also create folders directly in a client's Documents tab. Apply the appropriate template to keep the same structure across clients; AssurePro does not require every firm to use one fixed folder hierarchy.</w:t>
      </w:r>
    </w:p>
    <w:p>
      <w:pPr>
        <w:spacing w:after="90"/>
        <w:ind w:left="403"/>
      </w:pPr>
      <w:r>
        <w:rPr>
          <w:b/>
          <w:bCs/>
          <w:color w:val="4735BE"/>
          <w:sz w:val="18"/>
          <w:szCs w:val="18"/>
        </w:rPr>
        <w:t xml:space="preserve">More   </w:t>
      </w:r>
      <w:r>
        <w:rPr>
          <w:sz w:val="22"/>
          <w:szCs w:val="22"/>
        </w:rPr>
        <w:t xml:space="preserve">For a recurring client, a template might create 2025 and 2026 folders or monthly and quarterly subfolders beneath the service. Decide whether the period belongs in the folder structure, filename, engagement, or all three, then use the convention consistently across clients.</w:t>
      </w:r>
    </w:p>
    <w:p>
      <w:pPr>
        <w:spacing w:after="40" w:before="70"/>
        <w:ind w:left="403"/>
      </w:pPr>
      <w:r>
        <w:rPr>
          <w:color w:val="8B8FA3"/>
          <w:sz w:val="17"/>
          <w:szCs w:val="17"/>
        </w:rPr>
        <w:t xml:space="preserve">Ref: pro-can-client-documents-be-organized-by-tax-year-or-reporting-period-62</w:t>
      </w:r>
    </w:p>
    <w:p>
      <w:pPr>
        <w:keepNext/>
        <w:spacing w:after="90" w:before="220"/>
      </w:pPr>
      <w:r>
        <w:rPr>
          <w:b/>
          <w:bCs/>
          <w:color w:val="1A1C2E"/>
          <w:sz w:val="24"/>
          <w:szCs w:val="24"/>
        </w:rPr>
        <w:t xml:space="preserve">14.   Can documents be brought in from cloud storage?</w:t>
      </w:r>
    </w:p>
    <w:p>
      <w:pPr>
        <w:spacing w:after="90"/>
        <w:ind w:left="403"/>
      </w:pPr>
      <w:r>
        <w:rPr>
          <w:sz w:val="22"/>
          <w:szCs w:val="22"/>
        </w:rPr>
        <w:t xml:space="preserve">Integrations supports Dropbox and OneDrive. Firm users can import client documents without first downloading and re-uploading them, and synced folders can automatically bring new files from a connected cloud folder into a client's documents.</w:t>
      </w:r>
    </w:p>
    <w:p>
      <w:pPr>
        <w:spacing w:after="90"/>
        <w:ind w:left="403"/>
      </w:pPr>
      <w:r>
        <w:rPr>
          <w:b/>
          <w:bCs/>
          <w:color w:val="4735BE"/>
          <w:sz w:val="18"/>
          <w:szCs w:val="18"/>
        </w:rPr>
        <w:t xml:space="preserve">More   </w:t>
      </w:r>
      <w:r>
        <w:rPr>
          <w:sz w:val="22"/>
          <w:szCs w:val="22"/>
        </w:rPr>
        <w:t xml:space="preserve">Use Import for a one-time selection and configure a synced folder when new files should continue arriving from the connected source. After import or sync, confirm the target client and folder because a cloud connection can contain files for several clients.</w:t>
      </w:r>
    </w:p>
    <w:p>
      <w:pPr>
        <w:spacing w:after="40" w:before="70"/>
        <w:ind w:left="403"/>
      </w:pPr>
      <w:r>
        <w:rPr>
          <w:color w:val="8B8FA3"/>
          <w:sz w:val="17"/>
          <w:szCs w:val="17"/>
        </w:rPr>
        <w:t xml:space="preserve">Ref: pro-can-documents-be-brought-in-from-cloud-storage-63</w:t>
      </w:r>
    </w:p>
    <w:p>
      <w:r>
        <w:br w:type="page"/>
      </w:r>
    </w:p>
    <w:p>
      <w:pPr>
        <w:pStyle w:val="Heading1"/>
        <w:spacing w:after="40" w:before="60"/>
      </w:pPr>
      <w:r>
        <w:rPr>
          <w:b/>
          <w:bCs/>
          <w:color w:val="1A1C2E"/>
          <w:sz w:val="32"/>
          <w:szCs w:val="32"/>
        </w:rPr>
        <w:t xml:space="preserve">Workflow</w:t>
      </w:r>
    </w:p>
    <w:p>
      <w:pPr>
        <w:pBdr>
          <w:bottom w:val="single" w:color="E4E2F0" w:sz="4"/>
        </w:pBdr>
        <w:spacing w:after="200"/>
      </w:pPr>
      <w:r>
        <w:rPr>
          <w:color w:val="8B8FA3"/>
          <w:sz w:val="20"/>
          <w:szCs w:val="20"/>
        </w:rPr>
        <w:t xml:space="preserve">11 questions</w:t>
      </w:r>
    </w:p>
    <w:p>
      <w:pPr>
        <w:keepNext/>
        <w:spacing w:after="90" w:before="220"/>
      </w:pPr>
      <w:r>
        <w:rPr>
          <w:b/>
          <w:bCs/>
          <w:color w:val="1A1C2E"/>
          <w:sz w:val="24"/>
          <w:szCs w:val="24"/>
        </w:rPr>
        <w:t xml:space="preserve">1.   What views are available for engagement work?</w:t>
      </w:r>
    </w:p>
    <w:p>
      <w:pPr>
        <w:spacing w:after="90"/>
        <w:ind w:left="403"/>
      </w:pPr>
      <w:r>
        <w:rPr>
          <w:sz w:val="22"/>
          <w:szCs w:val="22"/>
        </w:rPr>
        <w:t xml:space="preserve">Workflow provides Board, List, and Tasks views. Firm users can select a workflow, search engagements, create an engagement, customize the displayed information, and open the workflow configuration.</w:t>
      </w:r>
    </w:p>
    <w:p>
      <w:pPr>
        <w:spacing w:after="90"/>
        <w:ind w:left="403"/>
      </w:pPr>
      <w:r>
        <w:rPr>
          <w:b/>
          <w:bCs/>
          <w:color w:val="4735BE"/>
          <w:sz w:val="18"/>
          <w:szCs w:val="18"/>
        </w:rPr>
        <w:t xml:space="preserve">More   </w:t>
      </w:r>
      <w:r>
        <w:rPr>
          <w:sz w:val="22"/>
          <w:szCs w:val="22"/>
        </w:rPr>
        <w:t xml:space="preserve">Board is best for seeing work by stage and moving an engagement through the process; List is best for scanning or sorting engagement fields; Tasks isolates the actionable work items across engagements. A firm user can switch views without changing the underlying engagement, then open the same client work from whichever view makes the next decision clearest.</w:t>
      </w:r>
    </w:p>
    <w:p>
      <w:pPr>
        <w:spacing w:after="40" w:before="70"/>
        <w:ind w:left="403"/>
      </w:pPr>
      <w:r>
        <w:rPr>
          <w:color w:val="8B8FA3"/>
          <w:sz w:val="17"/>
          <w:szCs w:val="17"/>
        </w:rPr>
        <w:t xml:space="preserve">Ref: pro-what-views-are-available-for-engagement-work-64</w:t>
      </w:r>
    </w:p>
    <w:p>
      <w:pPr>
        <w:keepNext/>
        <w:spacing w:after="90" w:before="220"/>
      </w:pPr>
      <w:r>
        <w:rPr>
          <w:b/>
          <w:bCs/>
          <w:color w:val="1A1C2E"/>
          <w:sz w:val="24"/>
          <w:szCs w:val="24"/>
        </w:rPr>
        <w:t xml:space="preserve">2.   What does the Workflow board show?</w:t>
      </w:r>
    </w:p>
    <w:p>
      <w:pPr>
        <w:spacing w:after="90"/>
        <w:ind w:left="403"/>
      </w:pPr>
      <w:r>
        <w:rPr>
          <w:sz w:val="22"/>
          <w:szCs w:val="22"/>
        </w:rPr>
        <w:t xml:space="preserve">The Board groups engagements by configured stages and shows stage totals, engagement value, priority, role assignments, due dates, time in stage, start date, and task progress. The Overview also surfaces open, due-soon, past-due, stalled, and review-related work.</w:t>
      </w:r>
    </w:p>
    <w:p>
      <w:pPr>
        <w:spacing w:after="90"/>
        <w:ind w:left="403"/>
      </w:pPr>
      <w:r>
        <w:rPr>
          <w:b/>
          <w:bCs/>
          <w:color w:val="4735BE"/>
          <w:sz w:val="18"/>
          <w:szCs w:val="18"/>
        </w:rPr>
        <w:t xml:space="preserve">More   </w:t>
      </w:r>
      <w:r>
        <w:rPr>
          <w:sz w:val="22"/>
          <w:szCs w:val="22"/>
        </w:rPr>
        <w:t xml:space="preserve">For example, a card can show a high-priority 1040 engagement in Review, its assigned roles, due date, days in stage, start date, value, and completed-task progress. Stage totals and overdue counts help a manager distinguish one delayed card from a broader process bottleneck.</w:t>
      </w:r>
    </w:p>
    <w:p>
      <w:pPr>
        <w:spacing w:after="40" w:before="70"/>
        <w:ind w:left="403"/>
      </w:pPr>
      <w:r>
        <w:rPr>
          <w:color w:val="8B8FA3"/>
          <w:sz w:val="17"/>
          <w:szCs w:val="17"/>
        </w:rPr>
        <w:t xml:space="preserve">Ref: pro-what-does-the-workflow-board-show-65</w:t>
      </w:r>
    </w:p>
    <w:p>
      <w:pPr>
        <w:keepNext/>
        <w:spacing w:after="90" w:before="220"/>
      </w:pPr>
      <w:r>
        <w:rPr>
          <w:b/>
          <w:bCs/>
          <w:color w:val="1A1C2E"/>
          <w:sz w:val="24"/>
          <w:szCs w:val="24"/>
        </w:rPr>
        <w:t xml:space="preserve">3.   How are engagement workflows configured?</w:t>
      </w:r>
    </w:p>
    <w:p>
      <w:pPr>
        <w:spacing w:after="90"/>
        <w:ind w:left="403"/>
      </w:pPr>
      <w:r>
        <w:rPr>
          <w:sz w:val="22"/>
          <w:szCs w:val="22"/>
        </w:rPr>
        <w:t xml:space="preserve">A workflow is the reusable operating path applied to engagements created with the selected Engagement Type. Administrators define the stages, the order in which work moves, the controls for advancing, and the task templates that should be created as an engagement reaches each stage.</w:t>
      </w:r>
    </w:p>
    <w:p>
      <w:pPr>
        <w:spacing w:after="90"/>
        <w:ind w:left="403"/>
      </w:pPr>
      <w:r>
        <w:rPr>
          <w:b/>
          <w:bCs/>
          <w:color w:val="4735BE"/>
          <w:sz w:val="18"/>
          <w:szCs w:val="18"/>
        </w:rPr>
        <w:t xml:space="preserve">More   </w:t>
      </w:r>
      <w:r>
        <w:rPr>
          <w:sz w:val="22"/>
          <w:szCs w:val="22"/>
        </w:rPr>
        <w:t xml:space="preserve">A strict stage can require its gates before work advances, while a flexible stage allows the team to move work with fewer constraints. Pair required task templates and relative due dates with the appropriate firm role so a new engagement receives a usable plan instead of only a set of empty stage names.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Workflow, then open an existing workflow or select New Workflow.</w:t>
      </w:r>
    </w:p>
    <w:p>
      <w:pPr>
        <w:pStyle w:val="ListParagraph"/>
        <w:numPr>
          <w:ilvl w:val="0"/>
          <w:numId w:val="2"/>
        </w:numPr>
        <w:spacing w:after="40"/>
        <w:ind w:left="892"/>
      </w:pPr>
      <w:r>
        <w:rPr>
          <w:sz w:val="21"/>
          <w:szCs w:val="21"/>
        </w:rPr>
        <w:t xml:space="preserve">Name the workflow and add the stages that represent the firm's delivery process, such as Intake, Document Collection, Preparation, Review, Client Approval, and Complete.</w:t>
      </w:r>
    </w:p>
    <w:p>
      <w:pPr>
        <w:pStyle w:val="ListParagraph"/>
        <w:numPr>
          <w:ilvl w:val="0"/>
          <w:numId w:val="2"/>
        </w:numPr>
        <w:spacing w:after="40"/>
        <w:ind w:left="892"/>
      </w:pPr>
      <w:r>
        <w:rPr>
          <w:sz w:val="21"/>
          <w:szCs w:val="21"/>
        </w:rPr>
        <w:t xml:space="preserve">Drag the stages into the order firm users should follow.</w:t>
      </w:r>
    </w:p>
    <w:p>
      <w:pPr>
        <w:pStyle w:val="ListParagraph"/>
        <w:numPr>
          <w:ilvl w:val="0"/>
          <w:numId w:val="2"/>
        </w:numPr>
        <w:spacing w:after="40"/>
        <w:ind w:left="892"/>
      </w:pPr>
      <w:r>
        <w:rPr>
          <w:sz w:val="21"/>
          <w:szCs w:val="21"/>
        </w:rPr>
        <w:t xml:space="preserve">Choose strict stage behavior when required gates must be satisfied before an engagement advances; choose flexible behavior when firm users may move work without every gate being mandatory.</w:t>
      </w:r>
    </w:p>
    <w:p>
      <w:pPr>
        <w:pStyle w:val="ListParagraph"/>
        <w:numPr>
          <w:ilvl w:val="0"/>
          <w:numId w:val="2"/>
        </w:numPr>
        <w:spacing w:after="40"/>
        <w:ind w:left="892"/>
      </w:pPr>
      <w:r>
        <w:rPr>
          <w:sz w:val="21"/>
          <w:szCs w:val="21"/>
        </w:rPr>
        <w:t xml:space="preserve">Configure each stage's gates and add reusable task templates.</w:t>
      </w:r>
    </w:p>
    <w:p>
      <w:pPr>
        <w:pStyle w:val="ListParagraph"/>
        <w:numPr>
          <w:ilvl w:val="0"/>
          <w:numId w:val="2"/>
        </w:numPr>
        <w:spacing w:after="40"/>
        <w:ind w:left="892"/>
      </w:pPr>
      <w:r>
        <w:rPr>
          <w:sz w:val="21"/>
          <w:szCs w:val="21"/>
        </w:rPr>
        <w:t xml:space="preserve">For every task template, enter a clear task name, assign the responsible role, set its relative due-date offset from the date the engagement enters the stage, and mark the task Required when it must be completed before progression.</w:t>
      </w:r>
    </w:p>
    <w:p>
      <w:pPr>
        <w:pStyle w:val="ListParagraph"/>
        <w:numPr>
          <w:ilvl w:val="0"/>
          <w:numId w:val="2"/>
        </w:numPr>
        <w:spacing w:after="40"/>
        <w:ind w:left="892"/>
      </w:pPr>
      <w:r>
        <w:rPr>
          <w:sz w:val="21"/>
          <w:szCs w:val="21"/>
        </w:rPr>
        <w:t xml:space="preserve">Reorder the task templates so the generated engagement plan is easy for firm users to follow.</w:t>
      </w:r>
    </w:p>
    <w:p>
      <w:pPr>
        <w:pStyle w:val="ListParagraph"/>
        <w:numPr>
          <w:ilvl w:val="0"/>
          <w:numId w:val="2"/>
        </w:numPr>
        <w:spacing w:after="40"/>
        <w:ind w:left="892"/>
      </w:pPr>
      <w:r>
        <w:rPr>
          <w:sz w:val="21"/>
          <w:szCs w:val="21"/>
        </w:rPr>
        <w:t xml:space="preserve">Save the workflow, create or open a matching engagement, and confirm that its stages, generated tasks, assignee roles, due dates, and required controls behave as intended.</w:t>
      </w:r>
    </w:p>
    <w:p>
      <w:pPr>
        <w:pStyle w:val="ListParagraph"/>
        <w:numPr>
          <w:ilvl w:val="0"/>
          <w:numId w:val="2"/>
        </w:numPr>
        <w:spacing w:after="40"/>
        <w:ind w:left="892"/>
      </w:pPr>
      <w:r>
        <w:rPr>
          <w:sz w:val="21"/>
          <w:szCs w:val="21"/>
        </w:rPr>
        <w:t xml:space="preserve">Use the active and overdue counts shown for each stage to maintain the workflow after rollout and correct recurring bottlenecks.</w:t>
      </w:r>
    </w:p>
    <w:p>
      <w:pPr>
        <w:spacing w:after="40" w:before="70"/>
        <w:ind w:left="403"/>
      </w:pPr>
      <w:r>
        <w:rPr>
          <w:color w:val="8B8FA3"/>
          <w:sz w:val="17"/>
          <w:szCs w:val="17"/>
        </w:rPr>
        <w:t xml:space="preserve">Ref: pro-how-are-engagement-workflows-configured-66</w:t>
      </w:r>
    </w:p>
    <w:p>
      <w:pPr>
        <w:keepNext/>
        <w:spacing w:after="90" w:before="220"/>
      </w:pPr>
      <w:r>
        <w:rPr>
          <w:b/>
          <w:bCs/>
          <w:color w:val="1A1C2E"/>
          <w:sz w:val="24"/>
          <w:szCs w:val="24"/>
        </w:rPr>
        <w:t xml:space="preserve">4.   How do I create a workflow?</w:t>
      </w:r>
    </w:p>
    <w:p>
      <w:pPr>
        <w:spacing w:after="90"/>
        <w:ind w:left="403"/>
      </w:pPr>
      <w:r>
        <w:rPr>
          <w:sz w:val="22"/>
          <w:szCs w:val="22"/>
        </w:rPr>
        <w:t xml:space="preserve">Open Settings, choose Workflow, and select New Workflow. Add and order the required stages, then add task templates to each stage with the appropriate role, relative due date, and required status. The configured workflow becomes available when new engagements are created.</w:t>
      </w:r>
    </w:p>
    <w:p>
      <w:pPr>
        <w:spacing w:after="90"/>
        <w:ind w:left="403"/>
      </w:pPr>
      <w:r>
        <w:rPr>
          <w:b/>
          <w:bCs/>
          <w:color w:val="4735BE"/>
          <w:sz w:val="18"/>
          <w:szCs w:val="18"/>
        </w:rPr>
        <w:t xml:space="preserve">More   </w:t>
      </w:r>
      <w:r>
        <w:rPr>
          <w:sz w:val="22"/>
          <w:szCs w:val="22"/>
        </w:rPr>
        <w:t xml:space="preserve">After saving the stages, test the workflow by creating a demo engagement of the intended type. Confirm that stage order, gates, tasks, assignees, and relative due dates appear as expected before the workflow is selected for live clients.</w:t>
      </w:r>
    </w:p>
    <w:p>
      <w:pPr>
        <w:spacing w:after="40" w:before="70"/>
        <w:ind w:left="403"/>
      </w:pPr>
      <w:r>
        <w:rPr>
          <w:color w:val="8B8FA3"/>
          <w:sz w:val="17"/>
          <w:szCs w:val="17"/>
        </w:rPr>
        <w:t xml:space="preserve">Ref: pro-how-do-i-create-a-workflow-67</w:t>
      </w:r>
    </w:p>
    <w:p>
      <w:pPr>
        <w:keepNext/>
        <w:spacing w:after="90" w:before="220"/>
      </w:pPr>
      <w:r>
        <w:rPr>
          <w:b/>
          <w:bCs/>
          <w:color w:val="1A1C2E"/>
          <w:sz w:val="24"/>
          <w:szCs w:val="24"/>
        </w:rPr>
        <w:t xml:space="preserve">5.   What can be configured on workflow task templates?</w:t>
      </w:r>
    </w:p>
    <w:p>
      <w:pPr>
        <w:spacing w:after="90"/>
        <w:ind w:left="403"/>
      </w:pPr>
      <w:r>
        <w:rPr>
          <w:sz w:val="22"/>
          <w:szCs w:val="22"/>
        </w:rPr>
        <w:t xml:space="preserve">A task template has a task name, responsible role, relative due-date offset from the time the engagement enters the stage, and an optional Required designation. Administrators can add, edit, delete, and drag task templates into the required order inside each stage.</w:t>
      </w:r>
    </w:p>
    <w:p>
      <w:pPr>
        <w:spacing w:after="90"/>
        <w:ind w:left="403"/>
      </w:pPr>
      <w:r>
        <w:rPr>
          <w:b/>
          <w:bCs/>
          <w:color w:val="4735BE"/>
          <w:sz w:val="18"/>
          <w:szCs w:val="18"/>
        </w:rPr>
        <w:t xml:space="preserve">More   </w:t>
      </w:r>
      <w:r>
        <w:rPr>
          <w:sz w:val="22"/>
          <w:szCs w:val="22"/>
        </w:rPr>
        <w:t xml:space="preserve">Use the task name to describe the deliverable, the role to identify who should own it, the relative due date to anchor timing to the engagement, and Required when the stage must not be completed without it. For example, an Intake stage can require “Confirm signed engagement letter” before Document Collection begins.</w:t>
      </w:r>
    </w:p>
    <w:p>
      <w:pPr>
        <w:spacing w:after="40" w:before="70"/>
        <w:ind w:left="403"/>
      </w:pPr>
      <w:r>
        <w:rPr>
          <w:color w:val="8B8FA3"/>
          <w:sz w:val="17"/>
          <w:szCs w:val="17"/>
        </w:rPr>
        <w:t xml:space="preserve">Ref: pro-what-can-be-configured-on-workflow-task-templates-68</w:t>
      </w:r>
    </w:p>
    <w:p>
      <w:pPr>
        <w:keepNext/>
        <w:spacing w:after="90" w:before="220"/>
      </w:pPr>
      <w:r>
        <w:rPr>
          <w:b/>
          <w:bCs/>
          <w:color w:val="1A1C2E"/>
          <w:sz w:val="24"/>
          <w:szCs w:val="24"/>
        </w:rPr>
        <w:t xml:space="preserve">6.   What is Firm SOP and how is it managed?</w:t>
      </w:r>
    </w:p>
    <w:p>
      <w:pPr>
        <w:spacing w:after="90"/>
        <w:ind w:left="403"/>
      </w:pPr>
      <w:r>
        <w:rPr>
          <w:sz w:val="22"/>
          <w:szCs w:val="22"/>
        </w:rPr>
        <w:t xml:space="preserve">Firm SOP stores firm-wide procedures so preparers can follow one documented method. The page separates All, Pending, Active, Draft, and Rejected items and provides New SOP to start a procedure; client-specific procedures remain in the client's AI SOP tab.</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Firm SOP.</w:t>
      </w:r>
    </w:p>
    <w:p>
      <w:pPr>
        <w:pStyle w:val="ListParagraph"/>
        <w:numPr>
          <w:ilvl w:val="0"/>
          <w:numId w:val="2"/>
        </w:numPr>
        <w:spacing w:after="40"/>
        <w:ind w:left="892"/>
      </w:pPr>
      <w:r>
        <w:rPr>
          <w:sz w:val="21"/>
          <w:szCs w:val="21"/>
        </w:rPr>
        <w:t xml:space="preserve">Select New SOP and document the procedure.</w:t>
      </w:r>
    </w:p>
    <w:p>
      <w:pPr>
        <w:pStyle w:val="ListParagraph"/>
        <w:numPr>
          <w:ilvl w:val="0"/>
          <w:numId w:val="2"/>
        </w:numPr>
        <w:spacing w:after="40"/>
        <w:ind w:left="892"/>
      </w:pPr>
      <w:r>
        <w:rPr>
          <w:sz w:val="21"/>
          <w:szCs w:val="21"/>
        </w:rPr>
        <w:t xml:space="preserve">Save a new procedure as Draft while it is being written, move it to Pending for review, use Active for an approved procedure, or Rejected when it should not be used.</w:t>
      </w:r>
    </w:p>
    <w:p>
      <w:pPr>
        <w:pStyle w:val="ListParagraph"/>
        <w:numPr>
          <w:ilvl w:val="0"/>
          <w:numId w:val="2"/>
        </w:numPr>
        <w:spacing w:after="40"/>
        <w:ind w:left="892"/>
      </w:pPr>
      <w:r>
        <w:rPr>
          <w:sz w:val="21"/>
          <w:szCs w:val="21"/>
        </w:rPr>
        <w:t xml:space="preserve">Keep client-specific instructions in that client's AI SOP rather than in the firm-wide library.</w:t>
      </w:r>
    </w:p>
    <w:p>
      <w:pPr>
        <w:spacing w:after="40" w:before="70"/>
        <w:ind w:left="403"/>
      </w:pPr>
      <w:r>
        <w:rPr>
          <w:color w:val="8B8FA3"/>
          <w:sz w:val="17"/>
          <w:szCs w:val="17"/>
        </w:rPr>
        <w:t xml:space="preserve">Ref: pro-what-is-firm-sop-and-how-is-it-managed-69</w:t>
      </w:r>
    </w:p>
    <w:p>
      <w:pPr>
        <w:keepNext/>
        <w:spacing w:after="90" w:before="220"/>
      </w:pPr>
      <w:r>
        <w:rPr>
          <w:b/>
          <w:bCs/>
          <w:color w:val="1A1C2E"/>
          <w:sz w:val="24"/>
          <w:szCs w:val="24"/>
        </w:rPr>
        <w:t xml:space="preserve">7.   How is a new engagement created?</w:t>
      </w:r>
    </w:p>
    <w:p>
      <w:pPr>
        <w:spacing w:after="90"/>
        <w:ind w:left="403"/>
      </w:pPr>
      <w:r>
        <w:rPr>
          <w:sz w:val="22"/>
          <w:szCs w:val="22"/>
        </w:rPr>
        <w:t xml:space="preserve">Select New Engagement from Workflow to choose the client and Engagement Type, or open the client's Engagements tab to begin with that client already selected. AssurePro uses the Engagement Type to apply the configured workflow, tasks, roles, and dates.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Select New Engagement.</w:t>
      </w:r>
    </w:p>
    <w:p>
      <w:pPr>
        <w:pStyle w:val="ListParagraph"/>
        <w:numPr>
          <w:ilvl w:val="0"/>
          <w:numId w:val="2"/>
        </w:numPr>
        <w:spacing w:after="40"/>
        <w:ind w:left="892"/>
      </w:pPr>
      <w:r>
        <w:rPr>
          <w:sz w:val="21"/>
          <w:szCs w:val="21"/>
        </w:rPr>
        <w:t xml:space="preserve">Search for and select the client; if the client is missing, choose Create new client.</w:t>
      </w:r>
    </w:p>
    <w:p>
      <w:pPr>
        <w:pStyle w:val="ListParagraph"/>
        <w:numPr>
          <w:ilvl w:val="0"/>
          <w:numId w:val="2"/>
        </w:numPr>
        <w:spacing w:after="40"/>
        <w:ind w:left="892"/>
      </w:pPr>
      <w:r>
        <w:rPr>
          <w:sz w:val="21"/>
          <w:szCs w:val="21"/>
        </w:rPr>
        <w:t xml:space="preserve">Search for and select the Engagement type. AssurePro uses that selection to set up the rest of the engagement.</w:t>
      </w:r>
    </w:p>
    <w:p>
      <w:pPr>
        <w:pStyle w:val="ListParagraph"/>
        <w:numPr>
          <w:ilvl w:val="0"/>
          <w:numId w:val="2"/>
        </w:numPr>
        <w:spacing w:after="40"/>
        <w:ind w:left="892"/>
      </w:pPr>
      <w:r>
        <w:rPr>
          <w:sz w:val="21"/>
          <w:szCs w:val="21"/>
        </w:rPr>
        <w:t xml:space="preserve">Enter the engagement name, dates, priority, assigned roles, recurrence, and other fields displayed for the selected Engagement Type, then select Create Engagement.</w:t>
      </w:r>
    </w:p>
    <w:p>
      <w:pPr>
        <w:pStyle w:val="ListParagraph"/>
        <w:numPr>
          <w:ilvl w:val="0"/>
          <w:numId w:val="2"/>
        </w:numPr>
        <w:spacing w:after="40"/>
        <w:ind w:left="892"/>
      </w:pPr>
      <w:r>
        <w:rPr>
          <w:sz w:val="21"/>
          <w:szCs w:val="21"/>
        </w:rPr>
        <w:t xml:space="preserve">Open the new engagement to review its configured workflow stages, tasks, roles, and dates.</w:t>
      </w:r>
    </w:p>
    <w:p>
      <w:pPr>
        <w:spacing w:after="40" w:before="70"/>
        <w:ind w:left="403"/>
      </w:pPr>
      <w:r>
        <w:rPr>
          <w:color w:val="8B8FA3"/>
          <w:sz w:val="17"/>
          <w:szCs w:val="17"/>
        </w:rPr>
        <w:t xml:space="preserve">Search terms: create an engagement add engagement new engagement   ·   Ref: pro-how-is-a-new-engagement-created-70</w:t>
      </w:r>
    </w:p>
    <w:p>
      <w:pPr>
        <w:keepNext/>
        <w:spacing w:after="90" w:before="220"/>
      </w:pPr>
      <w:r>
        <w:rPr>
          <w:b/>
          <w:bCs/>
          <w:color w:val="1A1C2E"/>
          <w:sz w:val="24"/>
          <w:szCs w:val="24"/>
        </w:rPr>
        <w:t xml:space="preserve">8.   How should firm users use Board, List, and Tasks views?</w:t>
      </w:r>
    </w:p>
    <w:p>
      <w:pPr>
        <w:spacing w:after="90"/>
        <w:ind w:left="403"/>
      </w:pPr>
      <w:r>
        <w:rPr>
          <w:sz w:val="22"/>
          <w:szCs w:val="22"/>
        </w:rPr>
        <w:t xml:space="preserve">Board shows engagements by workflow stage, List presents engagement records in rows for searching and comparison, and Tasks brings together the individual work items assigned within engagements. Changing the view does not change the underlying engagement or its status.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Workflow and select the workflow you want to review.</w:t>
      </w:r>
    </w:p>
    <w:p>
      <w:pPr>
        <w:pStyle w:val="ListParagraph"/>
        <w:numPr>
          <w:ilvl w:val="0"/>
          <w:numId w:val="2"/>
        </w:numPr>
        <w:spacing w:after="40"/>
        <w:ind w:left="892"/>
      </w:pPr>
      <w:r>
        <w:rPr>
          <w:sz w:val="21"/>
          <w:szCs w:val="21"/>
        </w:rPr>
        <w:t xml:space="preserve">Use Board to identify stage volume, overdue work, role assignments, due dates, days in stage, and task progress.</w:t>
      </w:r>
    </w:p>
    <w:p>
      <w:pPr>
        <w:pStyle w:val="ListParagraph"/>
        <w:numPr>
          <w:ilvl w:val="0"/>
          <w:numId w:val="2"/>
        </w:numPr>
        <w:spacing w:after="40"/>
        <w:ind w:left="892"/>
      </w:pPr>
      <w:r>
        <w:rPr>
          <w:sz w:val="21"/>
          <w:szCs w:val="21"/>
        </w:rPr>
        <w:t xml:space="preserve">Use List when you need a compact record-level view and search.</w:t>
      </w:r>
    </w:p>
    <w:p>
      <w:pPr>
        <w:pStyle w:val="ListParagraph"/>
        <w:numPr>
          <w:ilvl w:val="0"/>
          <w:numId w:val="2"/>
        </w:numPr>
        <w:spacing w:after="40"/>
        <w:ind w:left="892"/>
      </w:pPr>
      <w:r>
        <w:rPr>
          <w:sz w:val="21"/>
          <w:szCs w:val="21"/>
        </w:rPr>
        <w:t xml:space="preserve">Use Tasks to focus on the individual work items and their status.</w:t>
      </w:r>
    </w:p>
    <w:p>
      <w:pPr>
        <w:spacing w:after="40" w:before="70"/>
        <w:ind w:left="403"/>
      </w:pPr>
      <w:r>
        <w:rPr>
          <w:color w:val="8B8FA3"/>
          <w:sz w:val="17"/>
          <w:szCs w:val="17"/>
        </w:rPr>
        <w:t xml:space="preserve">Ref: pro-how-should-staff-use-board-list-and-tasks-views-71</w:t>
      </w:r>
    </w:p>
    <w:p>
      <w:pPr>
        <w:keepNext/>
        <w:spacing w:after="90" w:before="220"/>
      </w:pPr>
      <w:r>
        <w:rPr>
          <w:b/>
          <w:bCs/>
          <w:color w:val="1A1C2E"/>
          <w:sz w:val="24"/>
          <w:szCs w:val="24"/>
        </w:rPr>
        <w:t xml:space="preserve">9.   Can an engagement repeat?</w:t>
      </w:r>
    </w:p>
    <w:p>
      <w:pPr>
        <w:spacing w:after="90"/>
        <w:ind w:left="403"/>
      </w:pPr>
      <w:r>
        <w:rPr>
          <w:sz w:val="22"/>
          <w:szCs w:val="22"/>
        </w:rPr>
        <w:t xml:space="preserve">Yes. Workflow includes recurring engagements and shows recurrence badges such as monthly and semesterly, occurrence counts, and a Finished repeating state. Recurrence availability and options are determined during the selected engagement setup.</w:t>
      </w:r>
    </w:p>
    <w:p>
      <w:pPr>
        <w:spacing w:after="90"/>
        <w:ind w:left="403"/>
      </w:pPr>
      <w:r>
        <w:rPr>
          <w:b/>
          <w:bCs/>
          <w:color w:val="4735BE"/>
          <w:sz w:val="18"/>
          <w:szCs w:val="18"/>
        </w:rPr>
        <w:t xml:space="preserve">More   </w:t>
      </w:r>
      <w:r>
        <w:rPr>
          <w:sz w:val="22"/>
          <w:szCs w:val="22"/>
        </w:rPr>
        <w:t xml:space="preserve">Use recurrence for work such as monthly bookkeeping or quarterly advisory where the same engagement structure should be created on a regular cadence. Confirm the recurrence pattern, the starting period, and the expected workflow so each generated occurrence has the right client, type, dates, assignments, and tasks.</w:t>
      </w:r>
    </w:p>
    <w:p>
      <w:pPr>
        <w:spacing w:after="40" w:before="70"/>
        <w:ind w:left="403"/>
      </w:pPr>
      <w:r>
        <w:rPr>
          <w:color w:val="8B8FA3"/>
          <w:sz w:val="17"/>
          <w:szCs w:val="17"/>
        </w:rPr>
        <w:t xml:space="preserve">Ref: pro-can-an-engagement-repeat-72</w:t>
      </w:r>
    </w:p>
    <w:p>
      <w:pPr>
        <w:keepNext/>
        <w:spacing w:after="90" w:before="220"/>
      </w:pPr>
      <w:r>
        <w:rPr>
          <w:b/>
          <w:bCs/>
          <w:color w:val="1A1C2E"/>
          <w:sz w:val="24"/>
          <w:szCs w:val="24"/>
        </w:rPr>
        <w:t xml:space="preserve">10.   How are tasks tracked?</w:t>
      </w:r>
    </w:p>
    <w:p>
      <w:pPr>
        <w:spacing w:after="90"/>
        <w:ind w:left="403"/>
      </w:pPr>
      <w:r>
        <w:rPr>
          <w:sz w:val="22"/>
          <w:szCs w:val="22"/>
        </w:rPr>
        <w:t xml:space="preserve">Tasks can carry a priority, due date, assignee, completion state, and engagement context. They appear in Workflow, on the client Overview, and in dashboard task and review widgets, with overdue work called out separately.</w:t>
      </w:r>
    </w:p>
    <w:p>
      <w:pPr>
        <w:spacing w:after="90"/>
        <w:ind w:left="403"/>
      </w:pPr>
      <w:r>
        <w:rPr>
          <w:b/>
          <w:bCs/>
          <w:color w:val="4735BE"/>
          <w:sz w:val="18"/>
          <w:szCs w:val="18"/>
        </w:rPr>
        <w:t xml:space="preserve">More   </w:t>
      </w:r>
      <w:r>
        <w:rPr>
          <w:sz w:val="22"/>
          <w:szCs w:val="22"/>
        </w:rPr>
        <w:t xml:space="preserve">A task should identify one actionable result, one owner or role, and a meaningful due date. For example, “Review uploaded W-2s” belongs to the client's tax engagement, can be marked high priority, appears in the engagement and Tasks view, and is surfaced as overdue on dashboards if the due date passes.</w:t>
      </w:r>
    </w:p>
    <w:p>
      <w:pPr>
        <w:spacing w:after="40" w:before="70"/>
        <w:ind w:left="403"/>
      </w:pPr>
      <w:r>
        <w:rPr>
          <w:color w:val="8B8FA3"/>
          <w:sz w:val="17"/>
          <w:szCs w:val="17"/>
        </w:rPr>
        <w:t xml:space="preserve">Ref: pro-how-are-tasks-tracked-73</w:t>
      </w:r>
    </w:p>
    <w:p>
      <w:pPr>
        <w:keepNext/>
        <w:spacing w:after="90" w:before="220"/>
      </w:pPr>
      <w:r>
        <w:rPr>
          <w:b/>
          <w:bCs/>
          <w:color w:val="1A1C2E"/>
          <w:sz w:val="24"/>
          <w:szCs w:val="24"/>
        </w:rPr>
        <w:t xml:space="preserve">11.   Can standard operating procedures be managed in AssurePro?</w:t>
      </w:r>
    </w:p>
    <w:p>
      <w:pPr>
        <w:spacing w:after="90"/>
        <w:ind w:left="403"/>
      </w:pPr>
      <w:r>
        <w:rPr>
          <w:sz w:val="22"/>
          <w:szCs w:val="22"/>
        </w:rPr>
        <w:t xml:space="preserve">Yes. Firm SOP stores firm-wide procedures with Pending, Active, Draft, and Rejected states. A client's AI SOP tab stores client-specific procedures so the work can follow the same documented steps across preparers.</w:t>
      </w:r>
    </w:p>
    <w:p>
      <w:pPr>
        <w:spacing w:after="90"/>
        <w:ind w:left="403"/>
      </w:pPr>
      <w:r>
        <w:rPr>
          <w:b/>
          <w:bCs/>
          <w:color w:val="4735BE"/>
          <w:sz w:val="18"/>
          <w:szCs w:val="18"/>
        </w:rPr>
        <w:t xml:space="preserve">More   </w:t>
      </w:r>
      <w:r>
        <w:rPr>
          <w:sz w:val="22"/>
          <w:szCs w:val="22"/>
        </w:rPr>
        <w:t xml:space="preserve">Use Firm SOP for procedures that apply across clients, a service's SOP for how that catalog service is delivered, and the client's AI SOP tab for client-specific instructions. Statuses such as Draft, Pending, Active, and Rejected help distinguish work being written or reviewed from procedures firm users should actively follow.</w:t>
      </w:r>
    </w:p>
    <w:p>
      <w:pPr>
        <w:spacing w:after="40" w:before="70"/>
        <w:ind w:left="403"/>
      </w:pPr>
      <w:r>
        <w:rPr>
          <w:color w:val="8B8FA3"/>
          <w:sz w:val="17"/>
          <w:szCs w:val="17"/>
        </w:rPr>
        <w:t xml:space="preserve">Ref: pro-can-standard-operating-procedures-be-managed-in-assurepro-78</w:t>
      </w:r>
    </w:p>
    <w:p>
      <w:r>
        <w:br w:type="page"/>
      </w:r>
    </w:p>
    <w:p>
      <w:pPr>
        <w:pStyle w:val="Heading1"/>
        <w:spacing w:after="40" w:before="60"/>
      </w:pPr>
      <w:r>
        <w:rPr>
          <w:b/>
          <w:bCs/>
          <w:color w:val="1A1C2E"/>
          <w:sz w:val="32"/>
          <w:szCs w:val="32"/>
        </w:rPr>
        <w:t xml:space="preserve">Time Sheet</w:t>
      </w:r>
    </w:p>
    <w:p>
      <w:pPr>
        <w:pBdr>
          <w:bottom w:val="single" w:color="E4E2F0" w:sz="4"/>
        </w:pBdr>
        <w:spacing w:after="200"/>
      </w:pPr>
      <w:r>
        <w:rPr>
          <w:color w:val="8B8FA3"/>
          <w:sz w:val="20"/>
          <w:szCs w:val="20"/>
        </w:rPr>
        <w:t xml:space="preserve">4 questions</w:t>
      </w:r>
    </w:p>
    <w:p>
      <w:pPr>
        <w:keepNext/>
        <w:spacing w:after="90" w:before="220"/>
      </w:pPr>
      <w:r>
        <w:rPr>
          <w:b/>
          <w:bCs/>
          <w:color w:val="1A1C2E"/>
          <w:sz w:val="24"/>
          <w:szCs w:val="24"/>
        </w:rPr>
        <w:t xml:space="preserve">1.   How does the time tracker work?</w:t>
      </w:r>
    </w:p>
    <w:p>
      <w:pPr>
        <w:spacing w:after="90"/>
        <w:ind w:left="403"/>
      </w:pPr>
      <w:r>
        <w:rPr>
          <w:sz w:val="22"/>
          <w:szCs w:val="22"/>
        </w:rPr>
        <w:t xml:space="preserve">The header timer records work while it is being performed and keeps the entry connected to the correct client, engagement, task, billing treatment, and firm user.</w:t>
      </w:r>
    </w:p>
    <w:p>
      <w:pPr>
        <w:spacing w:after="90"/>
        <w:ind w:left="403"/>
      </w:pPr>
      <w:r>
        <w:rPr>
          <w:b/>
          <w:bCs/>
          <w:color w:val="4735BE"/>
          <w:sz w:val="18"/>
          <w:szCs w:val="18"/>
        </w:rPr>
        <w:t xml:space="preserve">More   </w:t>
      </w:r>
      <w:r>
        <w:rPr>
          <w:sz w:val="22"/>
          <w:szCs w:val="22"/>
        </w:rPr>
        <w:t xml:space="preserve">Use Start when work is beginning now and the firm user wants AssurePro to calculate elapsed time; use the manual hours and minutes controls when the duration is already known. Selecting the client, engagement or task, billable state, date, and note at entry time reduces cleanup before invoicing and reporting.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timer from the application header.</w:t>
      </w:r>
    </w:p>
    <w:p>
      <w:pPr>
        <w:pStyle w:val="ListParagraph"/>
        <w:numPr>
          <w:ilvl w:val="0"/>
          <w:numId w:val="2"/>
        </w:numPr>
        <w:spacing w:after="40"/>
        <w:ind w:left="892"/>
      </w:pPr>
      <w:r>
        <w:rPr>
          <w:sz w:val="21"/>
          <w:szCs w:val="21"/>
        </w:rPr>
        <w:t xml:space="preserve">Choose Client work or Internal work, then select the client and engagement for client work.</w:t>
      </w:r>
    </w:p>
    <w:p>
      <w:pPr>
        <w:pStyle w:val="ListParagraph"/>
        <w:numPr>
          <w:ilvl w:val="0"/>
          <w:numId w:val="2"/>
        </w:numPr>
        <w:spacing w:after="40"/>
        <w:ind w:left="892"/>
      </w:pPr>
      <w:r>
        <w:rPr>
          <w:sz w:val="21"/>
          <w:szCs w:val="21"/>
        </w:rPr>
        <w:t xml:space="preserve">Select an existing task or create the task needed for the entry.</w:t>
      </w:r>
    </w:p>
    <w:p>
      <w:pPr>
        <w:pStyle w:val="ListParagraph"/>
        <w:numPr>
          <w:ilvl w:val="0"/>
          <w:numId w:val="2"/>
        </w:numPr>
        <w:spacing w:after="40"/>
        <w:ind w:left="892"/>
      </w:pPr>
      <w:r>
        <w:rPr>
          <w:sz w:val="21"/>
          <w:szCs w:val="21"/>
        </w:rPr>
        <w:t xml:space="preserve">Start the timer for live tracking, or enter the hours and minutes manually.</w:t>
      </w:r>
    </w:p>
    <w:p>
      <w:pPr>
        <w:pStyle w:val="ListParagraph"/>
        <w:numPr>
          <w:ilvl w:val="0"/>
          <w:numId w:val="2"/>
        </w:numPr>
        <w:spacing w:after="40"/>
        <w:ind w:left="892"/>
      </w:pPr>
      <w:r>
        <w:rPr>
          <w:sz w:val="21"/>
          <w:szCs w:val="21"/>
        </w:rPr>
        <w:t xml:space="preserve">Confirm the work date, add a useful description, and mark the time billable or non-billable.</w:t>
      </w:r>
    </w:p>
    <w:p>
      <w:pPr>
        <w:pStyle w:val="ListParagraph"/>
        <w:numPr>
          <w:ilvl w:val="0"/>
          <w:numId w:val="2"/>
        </w:numPr>
        <w:spacing w:after="40"/>
        <w:ind w:left="892"/>
      </w:pPr>
      <w:r>
        <w:rPr>
          <w:sz w:val="21"/>
          <w:szCs w:val="21"/>
        </w:rPr>
        <w:t xml:space="preserve">Save the entry and review it in Time Sheet, where the duration, rate, amount, billable status, and invoice status are visible.</w:t>
      </w:r>
    </w:p>
    <w:p>
      <w:pPr>
        <w:spacing w:after="40" w:before="70"/>
        <w:ind w:left="403"/>
      </w:pPr>
      <w:r>
        <w:rPr>
          <w:color w:val="8B8FA3"/>
          <w:sz w:val="17"/>
          <w:szCs w:val="17"/>
        </w:rPr>
        <w:t xml:space="preserve">Ref: pro-how-does-the-time-tracker-work-74</w:t>
      </w:r>
    </w:p>
    <w:p>
      <w:pPr>
        <w:keepNext/>
        <w:spacing w:after="90" w:before="220"/>
      </w:pPr>
      <w:r>
        <w:rPr>
          <w:b/>
          <w:bCs/>
          <w:color w:val="1A1C2E"/>
          <w:sz w:val="24"/>
          <w:szCs w:val="24"/>
        </w:rPr>
        <w:t xml:space="preserve">2.   Can time be entered manually instead of using the timer?</w:t>
      </w:r>
    </w:p>
    <w:p>
      <w:pPr>
        <w:spacing w:after="90"/>
        <w:ind w:left="403"/>
      </w:pPr>
      <w:r>
        <w:rPr>
          <w:sz w:val="22"/>
          <w:szCs w:val="22"/>
        </w:rPr>
        <w:t xml:space="preserve">Yes. Manual entry is useful for work completed away from the live timer, corrections, or time reconstructed from another reliable work record.</w:t>
      </w:r>
    </w:p>
    <w:p>
      <w:pPr>
        <w:spacing w:after="90"/>
        <w:ind w:left="403"/>
      </w:pPr>
      <w:r>
        <w:rPr>
          <w:b/>
          <w:bCs/>
          <w:color w:val="4735BE"/>
          <w:sz w:val="18"/>
          <w:szCs w:val="18"/>
        </w:rPr>
        <w:t xml:space="preserve">More   </w:t>
      </w:r>
      <w:r>
        <w:rPr>
          <w:sz w:val="22"/>
          <w:szCs w:val="22"/>
        </w:rPr>
        <w:t xml:space="preserve">Manual entry is appropriate for work performed away from the timer, corrections, or time reconstructed from another record. Enter the actual date and duration, select the correct client, engagement, and task, add a useful description, choose billable or non-billable, and review the resulting rate and amount in Time Sheet.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time tracker and select the correct client or internal-work option.</w:t>
      </w:r>
    </w:p>
    <w:p>
      <w:pPr>
        <w:pStyle w:val="ListParagraph"/>
        <w:numPr>
          <w:ilvl w:val="0"/>
          <w:numId w:val="2"/>
        </w:numPr>
        <w:spacing w:after="40"/>
        <w:ind w:left="892"/>
      </w:pPr>
      <w:r>
        <w:rPr>
          <w:sz w:val="21"/>
          <w:szCs w:val="21"/>
        </w:rPr>
        <w:t xml:space="preserve">Choose the engagement and task when the time relates to client work.</w:t>
      </w:r>
    </w:p>
    <w:p>
      <w:pPr>
        <w:pStyle w:val="ListParagraph"/>
        <w:numPr>
          <w:ilvl w:val="0"/>
          <w:numId w:val="2"/>
        </w:numPr>
        <w:spacing w:after="40"/>
        <w:ind w:left="892"/>
      </w:pPr>
      <w:r>
        <w:rPr>
          <w:sz w:val="21"/>
          <w:szCs w:val="21"/>
        </w:rPr>
        <w:t xml:space="preserve">Enter the actual hours and minutes and select the date on which the work occurred.</w:t>
      </w:r>
    </w:p>
    <w:p>
      <w:pPr>
        <w:pStyle w:val="ListParagraph"/>
        <w:numPr>
          <w:ilvl w:val="0"/>
          <w:numId w:val="2"/>
        </w:numPr>
        <w:spacing w:after="40"/>
        <w:ind w:left="892"/>
      </w:pPr>
      <w:r>
        <w:rPr>
          <w:sz w:val="21"/>
          <w:szCs w:val="21"/>
        </w:rPr>
        <w:t xml:space="preserve">Add a description that lets a reviewer understand what was completed.</w:t>
      </w:r>
    </w:p>
    <w:p>
      <w:pPr>
        <w:pStyle w:val="ListParagraph"/>
        <w:numPr>
          <w:ilvl w:val="0"/>
          <w:numId w:val="2"/>
        </w:numPr>
        <w:spacing w:after="40"/>
        <w:ind w:left="892"/>
      </w:pPr>
      <w:r>
        <w:rPr>
          <w:sz w:val="21"/>
          <w:szCs w:val="21"/>
        </w:rPr>
        <w:t xml:space="preserve">Choose billable or non-billable and verify the rate when one applies.</w:t>
      </w:r>
    </w:p>
    <w:p>
      <w:pPr>
        <w:pStyle w:val="ListParagraph"/>
        <w:numPr>
          <w:ilvl w:val="0"/>
          <w:numId w:val="2"/>
        </w:numPr>
        <w:spacing w:after="40"/>
        <w:ind w:left="892"/>
      </w:pPr>
      <w:r>
        <w:rPr>
          <w:sz w:val="21"/>
          <w:szCs w:val="21"/>
        </w:rPr>
        <w:t xml:space="preserve">Save the entry, then confirm its duration, amount, assignee, and invoice status in Time Sheet before it is included in billing.</w:t>
      </w:r>
    </w:p>
    <w:p>
      <w:pPr>
        <w:spacing w:after="40" w:before="70"/>
        <w:ind w:left="403"/>
      </w:pPr>
      <w:r>
        <w:rPr>
          <w:color w:val="8B8FA3"/>
          <w:sz w:val="17"/>
          <w:szCs w:val="17"/>
        </w:rPr>
        <w:t xml:space="preserve">Ref: pro-can-time-be-entered-manually-instead-of-using-the-timer-75</w:t>
      </w:r>
    </w:p>
    <w:p>
      <w:pPr>
        <w:keepNext/>
        <w:spacing w:after="90" w:before="220"/>
      </w:pPr>
      <w:r>
        <w:rPr>
          <w:b/>
          <w:bCs/>
          <w:color w:val="1A1C2E"/>
          <w:sz w:val="24"/>
          <w:szCs w:val="24"/>
        </w:rPr>
        <w:t xml:space="preserve">3.   How does AssurePro support workload, capacity, and budget oversight?</w:t>
      </w:r>
    </w:p>
    <w:p>
      <w:pPr>
        <w:spacing w:after="90"/>
        <w:ind w:left="403"/>
      </w:pPr>
      <w:r>
        <w:rPr>
          <w:sz w:val="22"/>
          <w:szCs w:val="22"/>
        </w:rPr>
        <w:t xml:space="preserve">AssurePro brings workload, progress, actual time, and financial reporting together so managers can decide where attention or reassignment is needed.</w:t>
      </w:r>
    </w:p>
    <w:p>
      <w:pPr>
        <w:spacing w:after="90"/>
        <w:ind w:left="403"/>
      </w:pPr>
      <w:r>
        <w:rPr>
          <w:b/>
          <w:bCs/>
          <w:color w:val="4735BE"/>
          <w:sz w:val="18"/>
          <w:szCs w:val="18"/>
        </w:rPr>
        <w:t xml:space="preserve">More   </w:t>
      </w:r>
      <w:r>
        <w:rPr>
          <w:sz w:val="22"/>
          <w:szCs w:val="22"/>
        </w:rPr>
        <w:t xml:space="preserve">Managers get the clearest picture by reading the views together: Team load explains who is carrying the work, Workflow explains where the work is held up, Time Sheet explains the actual effort already spent, and Reports explains the operational or financial trend. This makes the follow-up actionable rather than relying on a single capacity number without its client and workflow context.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Use Team load to compare active team members, assigned task volume, overdue work, and members whose workload is marked as overloaded.</w:t>
      </w:r>
    </w:p>
    <w:p>
      <w:pPr>
        <w:pStyle w:val="ListParagraph"/>
        <w:numPr>
          <w:ilvl w:val="0"/>
          <w:numId w:val="2"/>
        </w:numPr>
        <w:spacing w:after="40"/>
        <w:ind w:left="892"/>
      </w:pPr>
      <w:r>
        <w:rPr>
          <w:sz w:val="21"/>
          <w:szCs w:val="21"/>
        </w:rPr>
        <w:t xml:space="preserve">Use Workflow to review how many engagements sit in each stage, how long work has remained there, task completion, due dates, and bottlenecks that are affecting delivery.</w:t>
      </w:r>
    </w:p>
    <w:p>
      <w:pPr>
        <w:pStyle w:val="ListParagraph"/>
        <w:numPr>
          <w:ilvl w:val="0"/>
          <w:numId w:val="2"/>
        </w:numPr>
        <w:spacing w:after="40"/>
        <w:ind w:left="892"/>
      </w:pPr>
      <w:r>
        <w:rPr>
          <w:sz w:val="21"/>
          <w:szCs w:val="21"/>
        </w:rPr>
        <w:t xml:space="preserve">Use Time Sheet to compare the actual hours recorded by client, engagement, task, or assignee and to distinguish billable, non-billable, invoiced, and uninvoiced time.</w:t>
      </w:r>
    </w:p>
    <w:p>
      <w:pPr>
        <w:pStyle w:val="ListParagraph"/>
        <w:numPr>
          <w:ilvl w:val="0"/>
          <w:numId w:val="2"/>
        </w:numPr>
        <w:spacing w:after="40"/>
        <w:ind w:left="892"/>
      </w:pPr>
      <w:r>
        <w:rPr>
          <w:sz w:val="21"/>
          <w:szCs w:val="21"/>
        </w:rPr>
        <w:t xml:space="preserve">Open the Time &amp; Utilization or Workflow &amp; Capacity dashboard to review hours, utilization, stage ageing, assignments, and workload; add a budget-versus-actual widget to a custom dashboard when the firm tracks engagement budgets.</w:t>
      </w:r>
    </w:p>
    <w:p>
      <w:pPr>
        <w:pStyle w:val="ListParagraph"/>
        <w:numPr>
          <w:ilvl w:val="0"/>
          <w:numId w:val="2"/>
        </w:numPr>
        <w:spacing w:after="40"/>
        <w:ind w:left="892"/>
      </w:pPr>
      <w:r>
        <w:rPr>
          <w:sz w:val="21"/>
          <w:szCs w:val="21"/>
        </w:rPr>
        <w:t xml:space="preserve">Example: if Team load shows one reviewer as overloaded, Workflow shows several files waiting in Review, and Time Sheet shows higher-than-expected actual hours, a manager can redistribute review tasks, update due dates, and investigate the source of the overrun.</w:t>
      </w:r>
    </w:p>
    <w:p>
      <w:pPr>
        <w:pStyle w:val="ListParagraph"/>
        <w:numPr>
          <w:ilvl w:val="0"/>
          <w:numId w:val="2"/>
        </w:numPr>
        <w:spacing w:after="40"/>
        <w:ind w:left="892"/>
      </w:pPr>
      <w:r>
        <w:rPr>
          <w:sz w:val="21"/>
          <w:szCs w:val="21"/>
        </w:rPr>
        <w:t xml:space="preserve">Apply the same review on a regular cadence so capacity decisions use current assignments, deadlines, progress, and actual time rather than one isolated figure.</w:t>
      </w:r>
    </w:p>
    <w:p>
      <w:pPr>
        <w:spacing w:after="40" w:before="70"/>
        <w:ind w:left="403"/>
      </w:pPr>
      <w:r>
        <w:rPr>
          <w:color w:val="8B8FA3"/>
          <w:sz w:val="17"/>
          <w:szCs w:val="17"/>
        </w:rPr>
        <w:t xml:space="preserve">Ref: pro-how-does-assurepro-support-workload-capacity-and-budget-oversight-76</w:t>
      </w:r>
    </w:p>
    <w:p>
      <w:pPr>
        <w:keepNext/>
        <w:spacing w:after="90" w:before="220"/>
      </w:pPr>
      <w:r>
        <w:rPr>
          <w:b/>
          <w:bCs/>
          <w:color w:val="1A1C2E"/>
          <w:sz w:val="24"/>
          <w:szCs w:val="24"/>
        </w:rPr>
        <w:t xml:space="preserve">4.   What can we do in Time Sheet?</w:t>
      </w:r>
    </w:p>
    <w:p>
      <w:pPr>
        <w:spacing w:after="90"/>
        <w:ind w:left="403"/>
      </w:pPr>
      <w:r>
        <w:rPr>
          <w:sz w:val="22"/>
          <w:szCs w:val="22"/>
        </w:rPr>
        <w:t xml:space="preserve">Time Sheet is the detailed register for reviewing recorded time and moving eligible billable entries into invoicing.</w:t>
      </w:r>
    </w:p>
    <w:p>
      <w:pPr>
        <w:spacing w:after="90"/>
        <w:ind w:left="403"/>
      </w:pPr>
      <w:r>
        <w:rPr>
          <w:b/>
          <w:bCs/>
          <w:color w:val="4735BE"/>
          <w:sz w:val="18"/>
          <w:szCs w:val="18"/>
        </w:rPr>
        <w:t xml:space="preserve">More   </w:t>
      </w:r>
      <w:r>
        <w:rPr>
          <w:sz w:val="22"/>
          <w:szCs w:val="22"/>
        </w:rPr>
        <w:t xml:space="preserve">A manager can, for example, filter to one client, group by engagement or assignee, show billable time only, identify entries that remain uninvoiced, and select those entries for Generate invoice. Export supports analysis outside AssurePro, while invoice status prevents the same time from being billed again inadvertently.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Review the date, start and end time, client, engagement, task, assignee, description, rate, duration, amount, billable status, and invoice status for each entry.</w:t>
      </w:r>
    </w:p>
    <w:p>
      <w:pPr>
        <w:pStyle w:val="ListParagraph"/>
        <w:numPr>
          <w:ilvl w:val="0"/>
          <w:numId w:val="2"/>
        </w:numPr>
        <w:spacing w:after="40"/>
        <w:ind w:left="892"/>
      </w:pPr>
      <w:r>
        <w:rPr>
          <w:sz w:val="21"/>
          <w:szCs w:val="21"/>
        </w:rPr>
        <w:t xml:space="preserve">Search and filter the register to the client, engagement, task, assignee, date range, or status that needs review.</w:t>
      </w:r>
    </w:p>
    <w:p>
      <w:pPr>
        <w:pStyle w:val="ListParagraph"/>
        <w:numPr>
          <w:ilvl w:val="0"/>
          <w:numId w:val="2"/>
        </w:numPr>
        <w:spacing w:after="40"/>
        <w:ind w:left="892"/>
      </w:pPr>
      <w:r>
        <w:rPr>
          <w:sz w:val="21"/>
          <w:szCs w:val="21"/>
        </w:rPr>
        <w:t xml:space="preserve">Group entries to compare time by client, engagement, task, or team member, and use the billable-only option when preparing billing.</w:t>
      </w:r>
    </w:p>
    <w:p>
      <w:pPr>
        <w:pStyle w:val="ListParagraph"/>
        <w:numPr>
          <w:ilvl w:val="0"/>
          <w:numId w:val="2"/>
        </w:numPr>
        <w:spacing w:after="40"/>
        <w:ind w:left="892"/>
      </w:pPr>
      <w:r>
        <w:rPr>
          <w:sz w:val="21"/>
          <w:szCs w:val="21"/>
        </w:rPr>
        <w:t xml:space="preserve">Correct incomplete or inaccurate entries before they are invoiced, subject to the firm user's permissions.</w:t>
      </w:r>
    </w:p>
    <w:p>
      <w:pPr>
        <w:pStyle w:val="ListParagraph"/>
        <w:numPr>
          <w:ilvl w:val="0"/>
          <w:numId w:val="2"/>
        </w:numPr>
        <w:spacing w:after="40"/>
        <w:ind w:left="892"/>
      </w:pPr>
      <w:r>
        <w:rPr>
          <w:sz w:val="21"/>
          <w:szCs w:val="21"/>
        </w:rPr>
        <w:t xml:space="preserve">Select eligible uninvoiced billable entries and choose Generate invoice, or import unbilled time from the invoice builder.</w:t>
      </w:r>
    </w:p>
    <w:p>
      <w:pPr>
        <w:pStyle w:val="ListParagraph"/>
        <w:numPr>
          <w:ilvl w:val="0"/>
          <w:numId w:val="2"/>
        </w:numPr>
        <w:spacing w:after="40"/>
        <w:ind w:left="892"/>
      </w:pPr>
      <w:r>
        <w:rPr>
          <w:sz w:val="21"/>
          <w:szCs w:val="21"/>
        </w:rPr>
        <w:t xml:space="preserve">Export the filtered time data when the firm needs an external analysis or reconciliation.</w:t>
      </w:r>
    </w:p>
    <w:p>
      <w:pPr>
        <w:pStyle w:val="ListParagraph"/>
        <w:numPr>
          <w:ilvl w:val="0"/>
          <w:numId w:val="2"/>
        </w:numPr>
        <w:spacing w:after="40"/>
        <w:ind w:left="892"/>
      </w:pPr>
      <w:r>
        <w:rPr>
          <w:sz w:val="21"/>
          <w:szCs w:val="21"/>
        </w:rPr>
        <w:t xml:space="preserve">Confirm invoice status after billing so the same time is not charged twice.</w:t>
      </w:r>
    </w:p>
    <w:p>
      <w:pPr>
        <w:spacing w:after="40" w:before="70"/>
        <w:ind w:left="403"/>
      </w:pPr>
      <w:r>
        <w:rPr>
          <w:color w:val="8B8FA3"/>
          <w:sz w:val="17"/>
          <w:szCs w:val="17"/>
        </w:rPr>
        <w:t xml:space="preserve">Ref: pro-what-can-we-do-in-time-sheet-77</w:t>
      </w:r>
    </w:p>
    <w:p>
      <w:r>
        <w:br w:type="page"/>
      </w:r>
    </w:p>
    <w:p>
      <w:pPr>
        <w:pStyle w:val="Heading1"/>
        <w:spacing w:after="40" w:before="60"/>
      </w:pPr>
      <w:r>
        <w:rPr>
          <w:b/>
          <w:bCs/>
          <w:color w:val="1A1C2E"/>
          <w:sz w:val="32"/>
          <w:szCs w:val="32"/>
        </w:rPr>
        <w:t xml:space="preserve">Engagement letters</w:t>
      </w:r>
    </w:p>
    <w:p>
      <w:pPr>
        <w:pBdr>
          <w:bottom w:val="single" w:color="E4E2F0" w:sz="4"/>
        </w:pBdr>
        <w:spacing w:after="200"/>
      </w:pPr>
      <w:r>
        <w:rPr>
          <w:color w:val="8B8FA3"/>
          <w:sz w:val="20"/>
          <w:szCs w:val="20"/>
        </w:rPr>
        <w:t xml:space="preserve">13 questions</w:t>
      </w:r>
    </w:p>
    <w:p>
      <w:pPr>
        <w:keepNext/>
        <w:spacing w:after="90" w:before="220"/>
      </w:pPr>
      <w:r>
        <w:rPr>
          <w:b/>
          <w:bCs/>
          <w:color w:val="1A1C2E"/>
          <w:sz w:val="24"/>
          <w:szCs w:val="24"/>
        </w:rPr>
        <w:t xml:space="preserve">1.   How can a new signing package be started?</w:t>
      </w:r>
    </w:p>
    <w:p>
      <w:pPr>
        <w:spacing w:after="90"/>
        <w:ind w:left="403"/>
      </w:pPr>
      <w:r>
        <w:rPr>
          <w:sz w:val="22"/>
          <w:szCs w:val="22"/>
        </w:rPr>
        <w:t xml:space="preserve">A signing package can start from scratch or from a saved or curated template. Import from agreement is displayed as Coming soon and is not currently available as a starting method.</w:t>
      </w:r>
    </w:p>
    <w:p>
      <w:pPr>
        <w:spacing w:after="90"/>
        <w:ind w:left="403"/>
      </w:pPr>
      <w:r>
        <w:rPr>
          <w:b/>
          <w:bCs/>
          <w:color w:val="4735BE"/>
          <w:sz w:val="18"/>
          <w:szCs w:val="18"/>
        </w:rPr>
        <w:t xml:space="preserve">More   </w:t>
      </w:r>
      <w:r>
        <w:rPr>
          <w:sz w:val="22"/>
          <w:szCs w:val="22"/>
        </w:rPr>
        <w:t xml:space="preserve">Start from scratch when the client or commercial terms are unique; use a saved firm template for a repeatable service; and use a curated template as a reviewed starting point before adapting it to the firm. Import from agreement is marked Coming soon, so it should not be presented as an available production path yet.</w:t>
      </w:r>
    </w:p>
    <w:p>
      <w:pPr>
        <w:spacing w:after="40" w:before="70"/>
        <w:ind w:left="403"/>
      </w:pPr>
      <w:r>
        <w:rPr>
          <w:color w:val="8B8FA3"/>
          <w:sz w:val="17"/>
          <w:szCs w:val="17"/>
        </w:rPr>
        <w:t xml:space="preserve">Ref: pro-how-can-a-new-signing-package-be-started-80</w:t>
      </w:r>
    </w:p>
    <w:p>
      <w:pPr>
        <w:keepNext/>
        <w:spacing w:after="90" w:before="220"/>
      </w:pPr>
      <w:r>
        <w:rPr>
          <w:b/>
          <w:bCs/>
          <w:color w:val="1A1C2E"/>
          <w:sz w:val="24"/>
          <w:szCs w:val="24"/>
        </w:rPr>
        <w:t xml:space="preserve">2.   What are the main steps in the engagement-letter builder?</w:t>
      </w:r>
    </w:p>
    <w:p>
      <w:pPr>
        <w:spacing w:after="90"/>
        <w:ind w:left="403"/>
      </w:pPr>
      <w:r>
        <w:rPr>
          <w:sz w:val="22"/>
          <w:szCs w:val="22"/>
        </w:rPr>
        <w:t xml:space="preserve">The engagement-letter builder separates the package into four connected sections so the firm can validate the client, commercial terms, agreement content, and delivery settings before sending.</w:t>
      </w:r>
    </w:p>
    <w:p>
      <w:pPr>
        <w:spacing w:after="90"/>
        <w:ind w:left="403"/>
      </w:pPr>
      <w:r>
        <w:rPr>
          <w:b/>
          <w:bCs/>
          <w:color w:val="4735BE"/>
          <w:sz w:val="18"/>
          <w:szCs w:val="18"/>
        </w:rPr>
        <w:t xml:space="preserve">More   </w:t>
      </w:r>
      <w:r>
        <w:rPr>
          <w:sz w:val="22"/>
          <w:szCs w:val="22"/>
        </w:rPr>
        <w:t xml:space="preserve">Setup answers who the client and signers are; Services &amp; Pricing defines what is being offered and how choices work; Agreement &amp; Terms contains the legal and supporting content; Review &amp; Send confirms dates, reminders, billing, approvals, and unresolved requirements. The progress indicator lets firm users return to an earlier section without losing the overall package context.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Setup: select the client, name the signing package, and confirm the primary and any additional recipients.</w:t>
      </w:r>
    </w:p>
    <w:p>
      <w:pPr>
        <w:pStyle w:val="ListParagraph"/>
        <w:numPr>
          <w:ilvl w:val="0"/>
          <w:numId w:val="2"/>
        </w:numPr>
        <w:spacing w:after="40"/>
        <w:ind w:left="892"/>
      </w:pPr>
      <w:r>
        <w:rPr>
          <w:sz w:val="21"/>
          <w:szCs w:val="21"/>
        </w:rPr>
        <w:t xml:space="preserve">Services &amp; Pricing: add the services, packages, add-ons, prices, discounts, billing method, and any client choices.</w:t>
      </w:r>
    </w:p>
    <w:p>
      <w:pPr>
        <w:pStyle w:val="ListParagraph"/>
        <w:numPr>
          <w:ilvl w:val="0"/>
          <w:numId w:val="2"/>
        </w:numPr>
        <w:spacing w:after="40"/>
        <w:ind w:left="892"/>
      </w:pPr>
      <w:r>
        <w:rPr>
          <w:sz w:val="21"/>
          <w:szCs w:val="21"/>
        </w:rPr>
        <w:t xml:space="preserve">Agreement &amp; Terms: select or edit the agreement wording, decide whether explicit approval is required, and add the supporting text, PDFs, additional terms, firm notes, payment-capture step, or approval automation included in the package.</w:t>
      </w:r>
    </w:p>
    <w:p>
      <w:pPr>
        <w:pStyle w:val="ListParagraph"/>
        <w:numPr>
          <w:ilvl w:val="0"/>
          <w:numId w:val="2"/>
        </w:numPr>
        <w:spacing w:after="40"/>
        <w:ind w:left="892"/>
      </w:pPr>
      <w:r>
        <w:rPr>
          <w:sz w:val="21"/>
          <w:szCs w:val="21"/>
        </w:rPr>
        <w:t xml:space="preserve">Review &amp; Send: confirm the recipients, sign-by and validity dates, reminder cadence, selected services, total, billing arrangement, terms, and approval requirements.</w:t>
      </w:r>
    </w:p>
    <w:p>
      <w:pPr>
        <w:pStyle w:val="ListParagraph"/>
        <w:numPr>
          <w:ilvl w:val="0"/>
          <w:numId w:val="2"/>
        </w:numPr>
        <w:spacing w:after="40"/>
        <w:ind w:left="892"/>
      </w:pPr>
      <w:r>
        <w:rPr>
          <w:sz w:val="21"/>
          <w:szCs w:val="21"/>
        </w:rPr>
        <w:t xml:space="preserve">Use Preview to read the package as the client will see it and correct any unclear wording or choices.</w:t>
      </w:r>
    </w:p>
    <w:p>
      <w:pPr>
        <w:pStyle w:val="ListParagraph"/>
        <w:numPr>
          <w:ilvl w:val="0"/>
          <w:numId w:val="2"/>
        </w:numPr>
        <w:spacing w:after="40"/>
        <w:ind w:left="892"/>
      </w:pPr>
      <w:r>
        <w:rPr>
          <w:sz w:val="21"/>
          <w:szCs w:val="21"/>
        </w:rPr>
        <w:t xml:space="preserve">Resolve every item in the missing-requirements list; Send remains unavailable until the required client, package, recipient, service, and agreement information is complete.</w:t>
      </w:r>
    </w:p>
    <w:p>
      <w:pPr>
        <w:spacing w:after="40" w:before="70"/>
        <w:ind w:left="403"/>
      </w:pPr>
      <w:r>
        <w:rPr>
          <w:color w:val="8B8FA3"/>
          <w:sz w:val="17"/>
          <w:szCs w:val="17"/>
        </w:rPr>
        <w:t xml:space="preserve">Ref: pro-what-are-the-main-steps-in-the-engagement-letter-builder-81</w:t>
      </w:r>
    </w:p>
    <w:p>
      <w:pPr>
        <w:keepNext/>
        <w:spacing w:after="90" w:before="220"/>
      </w:pPr>
      <w:r>
        <w:rPr>
          <w:b/>
          <w:bCs/>
          <w:color w:val="1A1C2E"/>
          <w:sz w:val="24"/>
          <w:szCs w:val="24"/>
        </w:rPr>
        <w:t xml:space="preserve">3.   How do I create and send an engagement letter?</w:t>
      </w:r>
    </w:p>
    <w:p>
      <w:pPr>
        <w:spacing w:after="90"/>
        <w:ind w:left="403"/>
      </w:pPr>
      <w:r>
        <w:rPr>
          <w:sz w:val="22"/>
          <w:szCs w:val="22"/>
        </w:rPr>
        <w:t xml:space="preserve">Create an engagement letter from Engagement Letters by starting a new signing package. You can build the package from scratch or use a saved or curated template, then tailor the recipients, services, pricing, terms, and delivery settings for the client.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Letters and select New signing package.</w:t>
      </w:r>
    </w:p>
    <w:p>
      <w:pPr>
        <w:pStyle w:val="ListParagraph"/>
        <w:numPr>
          <w:ilvl w:val="0"/>
          <w:numId w:val="2"/>
        </w:numPr>
        <w:spacing w:after="40"/>
        <w:ind w:left="892"/>
      </w:pPr>
      <w:r>
        <w:rPr>
          <w:sz w:val="21"/>
          <w:szCs w:val="21"/>
        </w:rPr>
        <w:t xml:space="preserve">Start from scratch, or choose a saved or curated template.</w:t>
      </w:r>
    </w:p>
    <w:p>
      <w:pPr>
        <w:pStyle w:val="ListParagraph"/>
        <w:numPr>
          <w:ilvl w:val="0"/>
          <w:numId w:val="2"/>
        </w:numPr>
        <w:spacing w:after="40"/>
        <w:ind w:left="892"/>
      </w:pPr>
      <w:r>
        <w:rPr>
          <w:sz w:val="21"/>
          <w:szCs w:val="21"/>
        </w:rPr>
        <w:t xml:space="preserve">In Setup, select the client, name the package, and confirm the primary and any additional recipients.</w:t>
      </w:r>
    </w:p>
    <w:p>
      <w:pPr>
        <w:pStyle w:val="ListParagraph"/>
        <w:numPr>
          <w:ilvl w:val="0"/>
          <w:numId w:val="2"/>
        </w:numPr>
        <w:spacing w:after="40"/>
        <w:ind w:left="892"/>
      </w:pPr>
      <w:r>
        <w:rPr>
          <w:sz w:val="21"/>
          <w:szCs w:val="21"/>
        </w:rPr>
        <w:t xml:space="preserve">In Services &amp; Pricing, add the services and decide which choices, if any, the client can make.</w:t>
      </w:r>
    </w:p>
    <w:p>
      <w:pPr>
        <w:pStyle w:val="ListParagraph"/>
        <w:numPr>
          <w:ilvl w:val="0"/>
          <w:numId w:val="2"/>
        </w:numPr>
        <w:spacing w:after="40"/>
        <w:ind w:left="892"/>
      </w:pPr>
      <w:r>
        <w:rPr>
          <w:sz w:val="21"/>
          <w:szCs w:val="21"/>
        </w:rPr>
        <w:t xml:space="preserve">In Agreement &amp; Terms, review the agreement wording, approval requirements, and supporting content.</w:t>
      </w:r>
    </w:p>
    <w:p>
      <w:pPr>
        <w:pStyle w:val="ListParagraph"/>
        <w:numPr>
          <w:ilvl w:val="0"/>
          <w:numId w:val="2"/>
        </w:numPr>
        <w:spacing w:after="40"/>
        <w:ind w:left="892"/>
      </w:pPr>
      <w:r>
        <w:rPr>
          <w:sz w:val="21"/>
          <w:szCs w:val="21"/>
        </w:rPr>
        <w:t xml:space="preserve">Select Preview to review the package as the client will see it.</w:t>
      </w:r>
    </w:p>
    <w:p>
      <w:pPr>
        <w:pStyle w:val="ListParagraph"/>
        <w:numPr>
          <w:ilvl w:val="0"/>
          <w:numId w:val="2"/>
        </w:numPr>
        <w:spacing w:after="40"/>
        <w:ind w:left="892"/>
      </w:pPr>
      <w:r>
        <w:rPr>
          <w:sz w:val="21"/>
          <w:szCs w:val="21"/>
        </w:rPr>
        <w:t xml:space="preserve">In Review &amp; Send, confirm the sign-by date, validity date, reminder schedule, billing arrangement, and recipients.</w:t>
      </w:r>
    </w:p>
    <w:p>
      <w:pPr>
        <w:pStyle w:val="ListParagraph"/>
        <w:numPr>
          <w:ilvl w:val="0"/>
          <w:numId w:val="2"/>
        </w:numPr>
        <w:spacing w:after="40"/>
        <w:ind w:left="892"/>
      </w:pPr>
      <w:r>
        <w:rPr>
          <w:sz w:val="21"/>
          <w:szCs w:val="21"/>
        </w:rPr>
        <w:t xml:space="preserve">Resolve every item shown under missing requirements. Send package remains unavailable until the client, package name, recipients, services, pricing, agreement terms, and required dates are complete.</w:t>
      </w:r>
    </w:p>
    <w:p>
      <w:pPr>
        <w:spacing w:after="40" w:before="70"/>
        <w:ind w:left="403"/>
      </w:pPr>
      <w:r>
        <w:rPr>
          <w:color w:val="8B8FA3"/>
          <w:sz w:val="17"/>
          <w:szCs w:val="17"/>
        </w:rPr>
        <w:t xml:space="preserve">Ref: pro-how-do-i-create-and-send-an-engagement-letter-82</w:t>
      </w:r>
    </w:p>
    <w:p>
      <w:pPr>
        <w:keepNext/>
        <w:spacing w:after="90" w:before="220"/>
      </w:pPr>
      <w:r>
        <w:rPr>
          <w:b/>
          <w:bCs/>
          <w:color w:val="1A1C2E"/>
          <w:sz w:val="24"/>
          <w:szCs w:val="24"/>
        </w:rPr>
        <w:t xml:space="preserve">4.   Can engagement letters be created and sent in bulk?</w:t>
      </w:r>
    </w:p>
    <w:p>
      <w:pPr>
        <w:spacing w:after="90"/>
        <w:ind w:left="403"/>
      </w:pPr>
      <w:r>
        <w:rPr>
          <w:sz w:val="22"/>
          <w:szCs w:val="22"/>
        </w:rPr>
        <w:t xml:space="preserve">No. AssurePro currently creates and sends each engagement letter as a client-specific signing package. This ensures that the client, recipients, services, pricing, billing schedule, terms, and signature requirements are reviewed for the correct engagement before the package is sent.</w:t>
      </w:r>
    </w:p>
    <w:p>
      <w:pPr>
        <w:spacing w:after="90"/>
        <w:ind w:left="403"/>
      </w:pPr>
      <w:r>
        <w:rPr>
          <w:b/>
          <w:bCs/>
          <w:color w:val="4735BE"/>
          <w:sz w:val="18"/>
          <w:szCs w:val="18"/>
        </w:rPr>
        <w:t xml:space="preserve">More   </w:t>
      </w:r>
      <w:r>
        <w:rPr>
          <w:sz w:val="22"/>
          <w:szCs w:val="22"/>
        </w:rPr>
        <w:t xml:space="preserve">To reduce repeated setup, save an approved firm template and use it as the starting point for each client's package. The wording and structure can remain consistent while your firm reviews the client-specific recipients, services, pricing, dates, and billing terms before sending.</w:t>
      </w:r>
    </w:p>
    <w:p>
      <w:pPr>
        <w:spacing w:after="40" w:before="70"/>
        <w:ind w:left="403"/>
      </w:pPr>
      <w:r>
        <w:rPr>
          <w:color w:val="8B8FA3"/>
          <w:sz w:val="17"/>
          <w:szCs w:val="17"/>
        </w:rPr>
        <w:t xml:space="preserve">Ref: pro-can-engagement-letters-be-created-and-sent-in-bulk-83</w:t>
      </w:r>
    </w:p>
    <w:p>
      <w:pPr>
        <w:keepNext/>
        <w:spacing w:after="90" w:before="220"/>
      </w:pPr>
      <w:r>
        <w:rPr>
          <w:b/>
          <w:bCs/>
          <w:color w:val="1A1C2E"/>
          <w:sz w:val="24"/>
          <w:szCs w:val="24"/>
        </w:rPr>
        <w:t xml:space="preserve">5.   How can services be presented to a client in a signing package?</w:t>
      </w:r>
    </w:p>
    <w:p>
      <w:pPr>
        <w:spacing w:after="90"/>
        <w:ind w:left="403"/>
      </w:pPr>
      <w:r>
        <w:rPr>
          <w:sz w:val="22"/>
          <w:szCs w:val="22"/>
        </w:rPr>
        <w:t xml:space="preserve">Services &amp; Pricing supports three presentation choices: Client picks one for mutually exclusive options, Client can add it for optional services, and No client choice for services that are included automatically. The selected services, prices, and billing terms remain part of the same client-facing package.</w:t>
      </w:r>
    </w:p>
    <w:p>
      <w:pPr>
        <w:spacing w:after="90"/>
        <w:ind w:left="403"/>
      </w:pPr>
      <w:r>
        <w:rPr>
          <w:b/>
          <w:bCs/>
          <w:color w:val="4735BE"/>
          <w:sz w:val="18"/>
          <w:szCs w:val="18"/>
        </w:rPr>
        <w:t xml:space="preserve">More   </w:t>
      </w:r>
      <w:r>
        <w:rPr>
          <w:sz w:val="22"/>
          <w:szCs w:val="22"/>
        </w:rPr>
        <w:t xml:space="preserve">Use Client picks one when packages are mutually exclusive, such as Basic, Standard, and Premium; Client can add it for optional items such as audit protection or an advisory consultation; and No client choice for a service that must always be included. Preview the package to confirm the client's choices and total are understandable before sending.</w:t>
      </w:r>
    </w:p>
    <w:p>
      <w:pPr>
        <w:spacing w:after="40" w:before="70"/>
        <w:ind w:left="403"/>
      </w:pPr>
      <w:r>
        <w:rPr>
          <w:color w:val="8B8FA3"/>
          <w:sz w:val="17"/>
          <w:szCs w:val="17"/>
        </w:rPr>
        <w:t xml:space="preserve">Ref: pro-how-can-services-be-presented-to-a-client-in-a-signing-package-84</w:t>
      </w:r>
    </w:p>
    <w:p>
      <w:pPr>
        <w:keepNext/>
        <w:spacing w:after="90" w:before="220"/>
      </w:pPr>
      <w:r>
        <w:rPr>
          <w:b/>
          <w:bCs/>
          <w:color w:val="1A1C2E"/>
          <w:sz w:val="24"/>
          <w:szCs w:val="24"/>
        </w:rPr>
        <w:t xml:space="preserve">6.   Can a package include more than one recipient?</w:t>
      </w:r>
    </w:p>
    <w:p>
      <w:pPr>
        <w:spacing w:after="90"/>
        <w:ind w:left="403"/>
      </w:pPr>
      <w:r>
        <w:rPr>
          <w:sz w:val="22"/>
          <w:szCs w:val="22"/>
        </w:rPr>
        <w:t xml:space="preserve">Yes. After selecting the client in Setup, confirm the primary recipient and use Add additional recipient for every other required signer. Review each recipient's name and email before sending, then confirm the package's signing mode and recipient summary in Review &amp; Send. After delivery, the package status can distinguish a partially signed package from one completed by all required recipients.</w:t>
      </w:r>
    </w:p>
    <w:p>
      <w:pPr>
        <w:spacing w:after="90"/>
        <w:ind w:left="403"/>
      </w:pPr>
      <w:r>
        <w:rPr>
          <w:b/>
          <w:bCs/>
          <w:color w:val="4735BE"/>
          <w:sz w:val="18"/>
          <w:szCs w:val="18"/>
        </w:rPr>
        <w:t xml:space="preserve">More   </w:t>
      </w:r>
      <w:r>
        <w:rPr>
          <w:sz w:val="22"/>
          <w:szCs w:val="22"/>
        </w:rPr>
        <w:t xml:space="preserve">For example, a business package can include an owner as primary recipient and a second authorized signer. If only one signer completes their part, the package remains Partial; firm users can use the status and recipient detail to follow up with the outstanding signer rather than resending the entire package blindly.</w:t>
      </w:r>
    </w:p>
    <w:p>
      <w:pPr>
        <w:spacing w:after="40" w:before="70"/>
        <w:ind w:left="403"/>
      </w:pPr>
      <w:r>
        <w:rPr>
          <w:color w:val="8B8FA3"/>
          <w:sz w:val="17"/>
          <w:szCs w:val="17"/>
        </w:rPr>
        <w:t xml:space="preserve">Ref: pro-can-a-package-include-more-than-one-recipient-85</w:t>
      </w:r>
    </w:p>
    <w:p>
      <w:pPr>
        <w:keepNext/>
        <w:spacing w:after="90" w:before="220"/>
      </w:pPr>
      <w:r>
        <w:rPr>
          <w:b/>
          <w:bCs/>
          <w:color w:val="1A1C2E"/>
          <w:sz w:val="24"/>
          <w:szCs w:val="24"/>
        </w:rPr>
        <w:t xml:space="preserve">7.   Can the firm customize the introduction and agreement terms?</w:t>
      </w:r>
    </w:p>
    <w:p>
      <w:pPr>
        <w:spacing w:after="90"/>
        <w:ind w:left="403"/>
      </w:pPr>
      <w:r>
        <w:rPr>
          <w:sz w:val="22"/>
          <w:szCs w:val="22"/>
        </w:rPr>
        <w:t xml:space="preserve">Yes. A package can include an introduction with a selected or custom message. Agreement &amp; Terms uses a terms template, can require explicit approval before signing, and can add supporting material such as text pages, PDFs, extra terms, notes, payment capture, or approval automation.</w:t>
      </w:r>
    </w:p>
    <w:p>
      <w:pPr>
        <w:spacing w:after="90"/>
        <w:ind w:left="403"/>
      </w:pPr>
      <w:r>
        <w:rPr>
          <w:b/>
          <w:bCs/>
          <w:color w:val="4735BE"/>
          <w:sz w:val="18"/>
          <w:szCs w:val="18"/>
        </w:rPr>
        <w:t xml:space="preserve">More   </w:t>
      </w:r>
      <w:r>
        <w:rPr>
          <w:sz w:val="22"/>
          <w:szCs w:val="22"/>
        </w:rPr>
        <w:t xml:space="preserve">Use the introduction to explain the relationship in plain language and the terms template for the formal agreement. Supporting pages can add a PDF, extra terms, firm notes, payment capture, or approval automation; preview the combined package so optional content does not contradict the selected services, pricing, dates, or approval rule.</w:t>
      </w:r>
    </w:p>
    <w:p>
      <w:pPr>
        <w:spacing w:after="40" w:before="70"/>
        <w:ind w:left="403"/>
      </w:pPr>
      <w:r>
        <w:rPr>
          <w:color w:val="8B8FA3"/>
          <w:sz w:val="17"/>
          <w:szCs w:val="17"/>
        </w:rPr>
        <w:t xml:space="preserve">Ref: pro-can-the-firm-customize-the-introduction-and-agreement-terms-86</w:t>
      </w:r>
    </w:p>
    <w:p>
      <w:pPr>
        <w:keepNext/>
        <w:spacing w:after="90" w:before="220"/>
      </w:pPr>
      <w:r>
        <w:rPr>
          <w:b/>
          <w:bCs/>
          <w:color w:val="1A1C2E"/>
          <w:sz w:val="24"/>
          <w:szCs w:val="24"/>
        </w:rPr>
        <w:t xml:space="preserve">8.   What is checked before a package is sent?</w:t>
      </w:r>
    </w:p>
    <w:p>
      <w:pPr>
        <w:spacing w:after="90"/>
        <w:ind w:left="403"/>
      </w:pPr>
      <w:r>
        <w:rPr>
          <w:sz w:val="22"/>
          <w:szCs w:val="22"/>
        </w:rPr>
        <w:t xml:space="preserve">Review &amp; Send summarizes the client, package name, recipients, sign-by date, validity date, reminder cadence, billing, terms, and approval requirement. The builder lists each unresolved requirement and keeps Send disabled until required items are resolved.</w:t>
      </w:r>
    </w:p>
    <w:p>
      <w:pPr>
        <w:spacing w:after="90"/>
        <w:ind w:left="403"/>
      </w:pPr>
      <w:r>
        <w:rPr>
          <w:b/>
          <w:bCs/>
          <w:color w:val="4735BE"/>
          <w:sz w:val="18"/>
          <w:szCs w:val="18"/>
        </w:rPr>
        <w:t xml:space="preserve">More   </w:t>
      </w:r>
      <w:r>
        <w:rPr>
          <w:sz w:val="22"/>
          <w:szCs w:val="22"/>
        </w:rPr>
        <w:t xml:space="preserve">Treat the unresolved-requirements list as a preflight check. A package should not be sent until the client, package name, every recipient, service choice, price, terms, required approval, sign-by date, validity period, reminder cadence, and billing behavior all match what the firm intends to offer.</w:t>
      </w:r>
    </w:p>
    <w:p>
      <w:pPr>
        <w:spacing w:after="40" w:before="70"/>
        <w:ind w:left="403"/>
      </w:pPr>
      <w:r>
        <w:rPr>
          <w:color w:val="8B8FA3"/>
          <w:sz w:val="17"/>
          <w:szCs w:val="17"/>
        </w:rPr>
        <w:t xml:space="preserve">Ref: pro-what-is-checked-before-a-package-is-sent-87</w:t>
      </w:r>
    </w:p>
    <w:p>
      <w:pPr>
        <w:keepNext/>
        <w:spacing w:after="90" w:before="220"/>
      </w:pPr>
      <w:r>
        <w:rPr>
          <w:b/>
          <w:bCs/>
          <w:color w:val="1A1C2E"/>
          <w:sz w:val="24"/>
          <w:szCs w:val="24"/>
        </w:rPr>
        <w:t xml:space="preserve">9.   Can AssurePro remind a client to sign an engagement letter?</w:t>
      </w:r>
    </w:p>
    <w:p>
      <w:pPr>
        <w:spacing w:after="90"/>
        <w:ind w:left="403"/>
      </w:pPr>
      <w:r>
        <w:rPr>
          <w:sz w:val="22"/>
          <w:szCs w:val="22"/>
        </w:rPr>
        <w:t xml:space="preserve">Yes. Review &amp; Send includes a reminder cadence for the signing package. Set the sign-by date and the date on which the package should expire, choose the reminder schedule, and confirm the reminder details before sending.</w:t>
      </w:r>
    </w:p>
    <w:p>
      <w:pPr>
        <w:spacing w:after="90"/>
        <w:ind w:left="403"/>
      </w:pPr>
      <w:r>
        <w:rPr>
          <w:b/>
          <w:bCs/>
          <w:color w:val="4735BE"/>
          <w:sz w:val="18"/>
          <w:szCs w:val="18"/>
        </w:rPr>
        <w:t xml:space="preserve">More   </w:t>
      </w:r>
      <w:r>
        <w:rPr>
          <w:sz w:val="22"/>
          <w:szCs w:val="22"/>
        </w:rPr>
        <w:t xml:space="preserve">For example, set a sign-by date that reflects the onboarding deadline, choose a reminder cadence that gives the client time to respond, and make sure the validity date does not expire before the final reminder. After sending, monitor Viewed, Partial, and Signed rather than assuming each reminder means no activity occurred.</w:t>
      </w:r>
    </w:p>
    <w:p>
      <w:pPr>
        <w:spacing w:after="40" w:before="70"/>
        <w:ind w:left="403"/>
      </w:pPr>
      <w:r>
        <w:rPr>
          <w:color w:val="8B8FA3"/>
          <w:sz w:val="17"/>
          <w:szCs w:val="17"/>
        </w:rPr>
        <w:t xml:space="preserve">Ref: pro-can-assurepro-remind-a-client-to-sign-an-engagement-letter-88</w:t>
      </w:r>
    </w:p>
    <w:p>
      <w:pPr>
        <w:keepNext/>
        <w:spacing w:after="90" w:before="220"/>
      </w:pPr>
      <w:r>
        <w:rPr>
          <w:b/>
          <w:bCs/>
          <w:color w:val="1A1C2E"/>
          <w:sz w:val="24"/>
          <w:szCs w:val="24"/>
        </w:rPr>
        <w:t xml:space="preserve">10.   Which signing statuses can firm users track?</w:t>
      </w:r>
    </w:p>
    <w:p>
      <w:pPr>
        <w:spacing w:after="90"/>
        <w:ind w:left="403"/>
      </w:pPr>
      <w:r>
        <w:rPr>
          <w:sz w:val="22"/>
          <w:szCs w:val="22"/>
        </w:rPr>
        <w:t xml:space="preserve">The package list shows states including Draft, Sent, Viewed, Partial, Signed, Declined, and Archived. Rows also show events such as sent, completed, partially signed, backdated, and the recorded consent status when the package includes consent.</w:t>
      </w:r>
    </w:p>
    <w:p>
      <w:pPr>
        <w:spacing w:after="90"/>
        <w:ind w:left="403"/>
      </w:pPr>
      <w:r>
        <w:rPr>
          <w:b/>
          <w:bCs/>
          <w:color w:val="4735BE"/>
          <w:sz w:val="18"/>
          <w:szCs w:val="18"/>
        </w:rPr>
        <w:t xml:space="preserve">More   </w:t>
      </w:r>
      <w:r>
        <w:rPr>
          <w:sz w:val="22"/>
          <w:szCs w:val="22"/>
        </w:rPr>
        <w:t xml:space="preserve">Draft means the package has not been sent; Sent confirms delivery was initiated; Viewed shows client access; Partial means at least one required signer remains; Signed marks completion; Declined records refusal; and Archived removes the package from the active list. Event dates and consent information provide additional context for follow-up.</w:t>
      </w:r>
    </w:p>
    <w:p>
      <w:pPr>
        <w:spacing w:after="40" w:before="70"/>
        <w:ind w:left="403"/>
      </w:pPr>
      <w:r>
        <w:rPr>
          <w:color w:val="8B8FA3"/>
          <w:sz w:val="17"/>
          <w:szCs w:val="17"/>
        </w:rPr>
        <w:t xml:space="preserve">Ref: pro-which-signing-statuses-can-staff-track-89</w:t>
      </w:r>
    </w:p>
    <w:p>
      <w:pPr>
        <w:keepNext/>
        <w:spacing w:after="90" w:before="220"/>
      </w:pPr>
      <w:r>
        <w:rPr>
          <w:b/>
          <w:bCs/>
          <w:color w:val="1A1C2E"/>
          <w:sz w:val="24"/>
          <w:szCs w:val="24"/>
        </w:rPr>
        <w:t xml:space="preserve">11.   How does the engagement-letter signature process work?</w:t>
      </w:r>
    </w:p>
    <w:p>
      <w:pPr>
        <w:spacing w:after="90"/>
        <w:ind w:left="403"/>
      </w:pPr>
      <w:r>
        <w:rPr>
          <w:sz w:val="22"/>
          <w:szCs w:val="22"/>
        </w:rPr>
        <w:t xml:space="preserve">The signer opens the client-facing engagement package, reviews the offered services, pricing, agreement terms, and supporting content, and then completes the required signature step by drawing a signature or typing the signer's name.</w:t>
      </w:r>
    </w:p>
    <w:p>
      <w:pPr>
        <w:spacing w:after="90"/>
        <w:ind w:left="403"/>
      </w:pPr>
      <w:r>
        <w:rPr>
          <w:b/>
          <w:bCs/>
          <w:color w:val="4735BE"/>
          <w:sz w:val="18"/>
          <w:szCs w:val="18"/>
        </w:rPr>
        <w:t xml:space="preserve">More   </w:t>
      </w:r>
      <w:r>
        <w:rPr>
          <w:sz w:val="22"/>
          <w:szCs w:val="22"/>
        </w:rPr>
        <w:t xml:space="preserve">The completed package keeps the agreed services, pricing, terms, recipients, consent, signature result, and related audit activity with the client record. The firm should select the authorized signer and finish its internal review before sending so the signed package accurately represents the engagement the client accepted.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Confirm the correct client, recipients, services, price, terms, sign-by date, and approval requirements before sending.</w:t>
      </w:r>
    </w:p>
    <w:p>
      <w:pPr>
        <w:pStyle w:val="ListParagraph"/>
        <w:numPr>
          <w:ilvl w:val="0"/>
          <w:numId w:val="2"/>
        </w:numPr>
        <w:spacing w:after="40"/>
        <w:ind w:left="892"/>
      </w:pPr>
      <w:r>
        <w:rPr>
          <w:sz w:val="21"/>
          <w:szCs w:val="21"/>
        </w:rPr>
        <w:t xml:space="preserve">The recipient opens the engagement package from the delivered client link and completes any required selections or approvals.</w:t>
      </w:r>
    </w:p>
    <w:p>
      <w:pPr>
        <w:pStyle w:val="ListParagraph"/>
        <w:numPr>
          <w:ilvl w:val="0"/>
          <w:numId w:val="2"/>
        </w:numPr>
        <w:spacing w:after="40"/>
        <w:ind w:left="892"/>
      </w:pPr>
      <w:r>
        <w:rPr>
          <w:sz w:val="21"/>
          <w:szCs w:val="21"/>
        </w:rPr>
        <w:t xml:space="preserve">The recipient draws a signature or types the signer's name and submits the package.</w:t>
      </w:r>
    </w:p>
    <w:p>
      <w:pPr>
        <w:pStyle w:val="ListParagraph"/>
        <w:numPr>
          <w:ilvl w:val="0"/>
          <w:numId w:val="2"/>
        </w:numPr>
        <w:spacing w:after="40"/>
        <w:ind w:left="892"/>
      </w:pPr>
      <w:r>
        <w:rPr>
          <w:sz w:val="21"/>
          <w:szCs w:val="21"/>
        </w:rPr>
        <w:t xml:space="preserve">AssurePro updates the package through statuses such as Sent, Viewed, Partial, Signed, or Declined so the firm can follow up with the correct recipient.</w:t>
      </w:r>
    </w:p>
    <w:p>
      <w:pPr>
        <w:pStyle w:val="ListParagraph"/>
        <w:numPr>
          <w:ilvl w:val="0"/>
          <w:numId w:val="2"/>
        </w:numPr>
        <w:spacing w:after="40"/>
        <w:ind w:left="892"/>
      </w:pPr>
      <w:r>
        <w:rPr>
          <w:sz w:val="21"/>
          <w:szCs w:val="21"/>
        </w:rPr>
        <w:t xml:space="preserve">When more than one signature is required, Partial indicates that at least one required signer still needs to complete the package.</w:t>
      </w:r>
    </w:p>
    <w:p>
      <w:pPr>
        <w:pStyle w:val="ListParagraph"/>
        <w:numPr>
          <w:ilvl w:val="0"/>
          <w:numId w:val="2"/>
        </w:numPr>
        <w:spacing w:after="40"/>
        <w:ind w:left="892"/>
      </w:pPr>
      <w:r>
        <w:rPr>
          <w:sz w:val="21"/>
          <w:szCs w:val="21"/>
        </w:rPr>
        <w:t xml:space="preserve">Open the completed package from the client or Engagement Letter record to retain and review the accepted services, pricing, terms, recipients, consent, signature result, and audit history.</w:t>
      </w:r>
    </w:p>
    <w:p>
      <w:pPr>
        <w:spacing w:after="40" w:before="70"/>
        <w:ind w:left="403"/>
      </w:pPr>
      <w:r>
        <w:rPr>
          <w:color w:val="8B8FA3"/>
          <w:sz w:val="17"/>
          <w:szCs w:val="17"/>
        </w:rPr>
        <w:t xml:space="preserve">Ref: pro-how-does-the-engagement-letter-signature-process-work-90</w:t>
      </w:r>
    </w:p>
    <w:p>
      <w:pPr>
        <w:keepNext/>
        <w:spacing w:after="90" w:before="220"/>
      </w:pPr>
      <w:r>
        <w:rPr>
          <w:b/>
          <w:bCs/>
          <w:color w:val="1A1C2E"/>
          <w:sz w:val="24"/>
          <w:szCs w:val="24"/>
        </w:rPr>
        <w:t xml:space="preserve">12.   What are the magic link and audit log for a sent engagement letter?</w:t>
      </w:r>
    </w:p>
    <w:p>
      <w:pPr>
        <w:spacing w:after="90"/>
        <w:ind w:left="403"/>
      </w:pPr>
      <w:r>
        <w:rPr>
          <w:sz w:val="22"/>
          <w:szCs w:val="22"/>
        </w:rPr>
        <w:t xml:space="preserve">The magic link is the client-facing route for one specific sent engagement package. The audit log records the delivery and signing activity associated with that package, helping firm users distinguish access or delivery issues from a package that has been viewed, partially signed, completed, or declined.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Engagement Letter and select the package from Sent.</w:t>
      </w:r>
    </w:p>
    <w:p>
      <w:pPr>
        <w:pStyle w:val="ListParagraph"/>
        <w:numPr>
          <w:ilvl w:val="0"/>
          <w:numId w:val="2"/>
        </w:numPr>
        <w:spacing w:after="40"/>
        <w:ind w:left="892"/>
      </w:pPr>
      <w:r>
        <w:rPr>
          <w:sz w:val="21"/>
          <w:szCs w:val="21"/>
        </w:rPr>
        <w:t xml:space="preserve">Preview the sent engagement letter rather than reopening the draft builder.</w:t>
      </w:r>
    </w:p>
    <w:p>
      <w:pPr>
        <w:pStyle w:val="ListParagraph"/>
        <w:numPr>
          <w:ilvl w:val="0"/>
          <w:numId w:val="2"/>
        </w:numPr>
        <w:spacing w:after="40"/>
        <w:ind w:left="892"/>
      </w:pPr>
      <w:r>
        <w:rPr>
          <w:sz w:val="21"/>
          <w:szCs w:val="21"/>
        </w:rPr>
        <w:t xml:space="preserve">Use the magic-link option to open or copy the client-facing route for that specific sent package when the recipient needs help accessing it.</w:t>
      </w:r>
    </w:p>
    <w:p>
      <w:pPr>
        <w:pStyle w:val="ListParagraph"/>
        <w:numPr>
          <w:ilvl w:val="0"/>
          <w:numId w:val="2"/>
        </w:numPr>
        <w:spacing w:after="40"/>
        <w:ind w:left="892"/>
      </w:pPr>
      <w:r>
        <w:rPr>
          <w:sz w:val="21"/>
          <w:szCs w:val="21"/>
        </w:rPr>
        <w:t xml:space="preserve">Confirm the package and intended recipient before sharing the link; the link belongs to that engagement-letter delivery and should not be reused for a different client.</w:t>
      </w:r>
    </w:p>
    <w:p>
      <w:pPr>
        <w:pStyle w:val="ListParagraph"/>
        <w:numPr>
          <w:ilvl w:val="0"/>
          <w:numId w:val="2"/>
        </w:numPr>
        <w:spacing w:after="40"/>
        <w:ind w:left="892"/>
      </w:pPr>
      <w:r>
        <w:rPr>
          <w:sz w:val="21"/>
          <w:szCs w:val="21"/>
        </w:rPr>
        <w:t xml:space="preserve">Open the audit log to review the package's recorded delivery and signing activity, such as when it was sent, opened or viewed, and signed or otherwise acted on.</w:t>
      </w:r>
    </w:p>
    <w:p>
      <w:pPr>
        <w:pStyle w:val="ListParagraph"/>
        <w:numPr>
          <w:ilvl w:val="0"/>
          <w:numId w:val="2"/>
        </w:numPr>
        <w:spacing w:after="40"/>
        <w:ind w:left="892"/>
      </w:pPr>
      <w:r>
        <w:rPr>
          <w:sz w:val="21"/>
          <w:szCs w:val="21"/>
        </w:rPr>
        <w:t xml:space="preserve">Use the recipient status and audit events together when following up—for example, distinguish a delivery problem from a package that was viewed but is still awaiting a signature.</w:t>
      </w:r>
    </w:p>
    <w:p>
      <w:pPr>
        <w:spacing w:after="40" w:before="70"/>
        <w:ind w:left="403"/>
      </w:pPr>
      <w:r>
        <w:rPr>
          <w:color w:val="8B8FA3"/>
          <w:sz w:val="17"/>
          <w:szCs w:val="17"/>
        </w:rPr>
        <w:t xml:space="preserve">Ref: pro-what-are-the-magic-link-and-audit-log-for-a-sent-engagement-letter-91</w:t>
      </w:r>
    </w:p>
    <w:p>
      <w:pPr>
        <w:keepNext/>
        <w:spacing w:after="90" w:before="220"/>
      </w:pPr>
      <w:r>
        <w:rPr>
          <w:b/>
          <w:bCs/>
          <w:color w:val="1A1C2E"/>
          <w:sz w:val="24"/>
          <w:szCs w:val="24"/>
        </w:rPr>
        <w:t xml:space="preserve">13.   Can a client sign an engagement letter from a mobile device?</w:t>
      </w:r>
    </w:p>
    <w:p>
      <w:pPr>
        <w:spacing w:after="90"/>
        <w:ind w:left="403"/>
      </w:pPr>
      <w:r>
        <w:rPr>
          <w:sz w:val="22"/>
          <w:szCs w:val="22"/>
        </w:rPr>
        <w:t xml:space="preserve">Yes. A client user can open the engagement-package link on a phone or tablet, review the services, pricing, terms, and supporting documents, and complete the signature from the mobile screen.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the engagement-package link from the firm's invitation or client experience.</w:t>
      </w:r>
    </w:p>
    <w:p>
      <w:pPr>
        <w:pStyle w:val="ListParagraph"/>
        <w:numPr>
          <w:ilvl w:val="0"/>
          <w:numId w:val="2"/>
        </w:numPr>
        <w:spacing w:after="40"/>
        <w:ind w:left="892"/>
      </w:pPr>
      <w:r>
        <w:rPr>
          <w:sz w:val="21"/>
          <w:szCs w:val="21"/>
        </w:rPr>
        <w:t xml:space="preserve">Review the introduction, selected services and pricing, agreement terms, and any supporting pages or PDFs.</w:t>
      </w:r>
    </w:p>
    <w:p>
      <w:pPr>
        <w:pStyle w:val="ListParagraph"/>
        <w:numPr>
          <w:ilvl w:val="0"/>
          <w:numId w:val="2"/>
        </w:numPr>
        <w:spacing w:after="40"/>
        <w:ind w:left="892"/>
      </w:pPr>
      <w:r>
        <w:rPr>
          <w:sz w:val="21"/>
          <w:szCs w:val="21"/>
        </w:rPr>
        <w:t xml:space="preserve">Complete any required service selections, approvals, or payment-capture step included by the firm.</w:t>
      </w:r>
    </w:p>
    <w:p>
      <w:pPr>
        <w:pStyle w:val="ListParagraph"/>
        <w:numPr>
          <w:ilvl w:val="0"/>
          <w:numId w:val="2"/>
        </w:numPr>
        <w:spacing w:after="40"/>
        <w:ind w:left="892"/>
      </w:pPr>
      <w:r>
        <w:rPr>
          <w:sz w:val="21"/>
          <w:szCs w:val="21"/>
        </w:rPr>
        <w:t xml:space="preserve">Draw the signature or type the signer's name and submit the signed package.</w:t>
      </w:r>
    </w:p>
    <w:p>
      <w:pPr>
        <w:pStyle w:val="ListParagraph"/>
        <w:numPr>
          <w:ilvl w:val="0"/>
          <w:numId w:val="2"/>
        </w:numPr>
        <w:spacing w:after="40"/>
        <w:ind w:left="892"/>
      </w:pPr>
      <w:r>
        <w:rPr>
          <w:sz w:val="21"/>
          <w:szCs w:val="21"/>
        </w:rPr>
        <w:t xml:space="preserve">The firm can then track the package as Viewed, Partial, or Signed and open the completed agreement from the client record.</w:t>
      </w:r>
    </w:p>
    <w:p>
      <w:pPr>
        <w:spacing w:after="40" w:before="70"/>
        <w:ind w:left="403"/>
      </w:pPr>
      <w:r>
        <w:rPr>
          <w:color w:val="8B8FA3"/>
          <w:sz w:val="17"/>
          <w:szCs w:val="17"/>
        </w:rPr>
        <w:t xml:space="preserve">Ref: pro-can-a-client-sign-an-engagement-letter-from-a-mobile-device-92</w:t>
      </w:r>
    </w:p>
    <w:p>
      <w:r>
        <w:br w:type="page"/>
      </w:r>
    </w:p>
    <w:p>
      <w:pPr>
        <w:pStyle w:val="Heading1"/>
        <w:spacing w:after="40" w:before="60"/>
      </w:pPr>
      <w:r>
        <w:rPr>
          <w:b/>
          <w:bCs/>
          <w:color w:val="1A1C2E"/>
          <w:sz w:val="32"/>
          <w:szCs w:val="32"/>
        </w:rPr>
        <w:t xml:space="preserve">Billing &amp; services</w:t>
      </w:r>
    </w:p>
    <w:p>
      <w:pPr>
        <w:pBdr>
          <w:bottom w:val="single" w:color="E4E2F0" w:sz="4"/>
        </w:pBdr>
        <w:spacing w:after="200"/>
      </w:pPr>
      <w:r>
        <w:rPr>
          <w:color w:val="8B8FA3"/>
          <w:sz w:val="20"/>
          <w:szCs w:val="20"/>
        </w:rPr>
        <w:t xml:space="preserve">22 questions</w:t>
      </w:r>
    </w:p>
    <w:p>
      <w:pPr>
        <w:keepNext/>
        <w:spacing w:after="90" w:before="220"/>
      </w:pPr>
      <w:r>
        <w:rPr>
          <w:b/>
          <w:bCs/>
          <w:color w:val="1A1C2E"/>
          <w:sz w:val="24"/>
          <w:szCs w:val="24"/>
        </w:rPr>
        <w:t xml:space="preserve">1.   How is the Billing area organized?</w:t>
      </w:r>
    </w:p>
    <w:p>
      <w:pPr>
        <w:spacing w:after="90"/>
        <w:ind w:left="403"/>
      </w:pPr>
      <w:r>
        <w:rPr>
          <w:sz w:val="22"/>
          <w:szCs w:val="22"/>
        </w:rPr>
        <w:t xml:space="preserve">Billing has three tabs. Invoices combines receivable summaries, agreement-generated drafts, search, filters, and the invoice register. Recurring manages automated billing schedules. Referrals tracks MyCPEOne referrals and commissions.</w:t>
      </w:r>
    </w:p>
    <w:p>
      <w:pPr>
        <w:spacing w:after="90"/>
        <w:ind w:left="403"/>
      </w:pPr>
      <w:r>
        <w:rPr>
          <w:b/>
          <w:bCs/>
          <w:color w:val="4735BE"/>
          <w:sz w:val="18"/>
          <w:szCs w:val="18"/>
        </w:rPr>
        <w:t xml:space="preserve">More   </w:t>
      </w:r>
      <w:r>
        <w:rPr>
          <w:sz w:val="22"/>
          <w:szCs w:val="22"/>
        </w:rPr>
        <w:t xml:space="preserve">Use Invoices for one-time and generated receivables, Recurring for schedules that create invoices on a cadence, and Referrals for MyCPEOne introductions and commissions. The signed-agreements banner bridges Engagement Letter and Billing by gathering new drafts and schedules that need review before activation or delivery.</w:t>
      </w:r>
    </w:p>
    <w:p>
      <w:pPr>
        <w:spacing w:after="40" w:before="70"/>
        <w:ind w:left="403"/>
      </w:pPr>
      <w:r>
        <w:rPr>
          <w:color w:val="8B8FA3"/>
          <w:sz w:val="17"/>
          <w:szCs w:val="17"/>
        </w:rPr>
        <w:t xml:space="preserve">Ref: pro-how-is-the-billing-area-organized-93</w:t>
      </w:r>
    </w:p>
    <w:p>
      <w:pPr>
        <w:keepNext/>
        <w:spacing w:after="90" w:before="220"/>
      </w:pPr>
      <w:r>
        <w:rPr>
          <w:b/>
          <w:bCs/>
          <w:color w:val="1A1C2E"/>
          <w:sz w:val="24"/>
          <w:szCs w:val="24"/>
        </w:rPr>
        <w:t xml:space="preserve">2.   What does the Invoices overview show?</w:t>
      </w:r>
    </w:p>
    <w:p>
      <w:pPr>
        <w:spacing w:after="90"/>
        <w:ind w:left="403"/>
      </w:pPr>
      <w:r>
        <w:rPr>
          <w:sz w:val="22"/>
          <w:szCs w:val="22"/>
        </w:rPr>
        <w:t xml:space="preserve">The overview summarizes Outstanding, Overdue, Awaiting payment, Collected in the last 30 days, and Drafts. Selecting a summary card filters the register to that group. The register can also be searched by invoice number or client and filtered by status, client, source, and date; Columns controls which fields are visible.</w:t>
      </w:r>
    </w:p>
    <w:p>
      <w:pPr>
        <w:spacing w:after="90"/>
        <w:ind w:left="403"/>
      </w:pPr>
      <w:r>
        <w:rPr>
          <w:b/>
          <w:bCs/>
          <w:color w:val="4735BE"/>
          <w:sz w:val="18"/>
          <w:szCs w:val="18"/>
        </w:rPr>
        <w:t xml:space="preserve">More   </w:t>
      </w:r>
      <w:r>
        <w:rPr>
          <w:sz w:val="22"/>
          <w:szCs w:val="22"/>
        </w:rPr>
        <w:t xml:space="preserve">For example, select Overdue to isolate invoices that need collection follow-up, Awaiting payment for sent invoices not yet paid, Drafts for items that still need review, or Collected to confirm recent cash activity. Search and filters can then narrow the selected group to one client, source, status, or date range.</w:t>
      </w:r>
    </w:p>
    <w:p>
      <w:pPr>
        <w:spacing w:after="40" w:before="70"/>
        <w:ind w:left="403"/>
      </w:pPr>
      <w:r>
        <w:rPr>
          <w:color w:val="8B8FA3"/>
          <w:sz w:val="17"/>
          <w:szCs w:val="17"/>
        </w:rPr>
        <w:t xml:space="preserve">Ref: pro-what-does-the-invoices-overview-show-94</w:t>
      </w:r>
    </w:p>
    <w:p>
      <w:pPr>
        <w:keepNext/>
        <w:spacing w:after="90" w:before="220"/>
      </w:pPr>
      <w:r>
        <w:rPr>
          <w:b/>
          <w:bCs/>
          <w:color w:val="1A1C2E"/>
          <w:sz w:val="24"/>
          <w:szCs w:val="24"/>
        </w:rPr>
        <w:t xml:space="preserve">3.   Which invoice sources and statuses are tracked?</w:t>
      </w:r>
    </w:p>
    <w:p>
      <w:pPr>
        <w:spacing w:after="90"/>
        <w:ind w:left="403"/>
      </w:pPr>
      <w:r>
        <w:rPr>
          <w:sz w:val="22"/>
          <w:szCs w:val="22"/>
        </w:rPr>
        <w:t xml:space="preserve">The invoice register distinguishes Manual, Agreement, and Time sources. Visible statuses include Draft, Sent, Viewed, Overdue, Paid, and Cancelled. Total, remaining balance, and due date are shown separately so a status does not need to be inferred from the invoice amount.</w:t>
      </w:r>
    </w:p>
    <w:p>
      <w:pPr>
        <w:spacing w:after="90"/>
        <w:ind w:left="403"/>
      </w:pPr>
      <w:r>
        <w:rPr>
          <w:b/>
          <w:bCs/>
          <w:color w:val="4735BE"/>
          <w:sz w:val="18"/>
          <w:szCs w:val="18"/>
        </w:rPr>
        <w:t xml:space="preserve">More   </w:t>
      </w:r>
      <w:r>
        <w:rPr>
          <w:sz w:val="22"/>
          <w:szCs w:val="22"/>
        </w:rPr>
        <w:t xml:space="preserve">Source explains how the invoice began: Manual from the invoice builder, Agreement from signed engagement terms, or Time from billable entries. Status explains its lifecycle; for example, Viewed means the client opened a sent invoice, Overdue means its unpaid balance passed the due date, and Paid means the balance was satisfied.</w:t>
      </w:r>
    </w:p>
    <w:p>
      <w:pPr>
        <w:spacing w:after="40" w:before="70"/>
        <w:ind w:left="403"/>
      </w:pPr>
      <w:r>
        <w:rPr>
          <w:color w:val="8B8FA3"/>
          <w:sz w:val="17"/>
          <w:szCs w:val="17"/>
        </w:rPr>
        <w:t xml:space="preserve">Ref: pro-which-invoice-sources-and-statuses-are-tracked-95</w:t>
      </w:r>
    </w:p>
    <w:p>
      <w:pPr>
        <w:keepNext/>
        <w:spacing w:after="90" w:before="220"/>
      </w:pPr>
      <w:r>
        <w:rPr>
          <w:b/>
          <w:bCs/>
          <w:color w:val="1A1C2E"/>
          <w:sz w:val="24"/>
          <w:szCs w:val="24"/>
        </w:rPr>
        <w:t xml:space="preserve">4.   How is a new invoice created?</w:t>
      </w:r>
    </w:p>
    <w:p>
      <w:pPr>
        <w:spacing w:after="90"/>
        <w:ind w:left="403"/>
      </w:pPr>
      <w:r>
        <w:rPr>
          <w:sz w:val="22"/>
          <w:szCs w:val="22"/>
        </w:rPr>
        <w:t xml:space="preserve">Create an invoice by selecting the client, setting the invoice and due dates, and adding at least one priced line item. AssurePro provides a live preview and keeps the send action unavailable until the required client, due date, and line-item information is complete.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select Create invoice, or choose Invoice from the global + New menu.</w:t>
      </w:r>
    </w:p>
    <w:p>
      <w:pPr>
        <w:pStyle w:val="ListParagraph"/>
        <w:numPr>
          <w:ilvl w:val="0"/>
          <w:numId w:val="2"/>
        </w:numPr>
        <w:spacing w:after="40"/>
        <w:ind w:left="892"/>
      </w:pPr>
      <w:r>
        <w:rPr>
          <w:sz w:val="21"/>
          <w:szCs w:val="21"/>
        </w:rPr>
        <w:t xml:space="preserve">Select the client, then select an engagement when the invoice relates to a specific engagement.</w:t>
      </w:r>
    </w:p>
    <w:p>
      <w:pPr>
        <w:pStyle w:val="ListParagraph"/>
        <w:numPr>
          <w:ilvl w:val="0"/>
          <w:numId w:val="2"/>
        </w:numPr>
        <w:spacing w:after="40"/>
        <w:ind w:left="892"/>
      </w:pPr>
      <w:r>
        <w:rPr>
          <w:sz w:val="21"/>
          <w:szCs w:val="21"/>
        </w:rPr>
        <w:t xml:space="preserve">Confirm the invoice number, issue date, and due date.</w:t>
      </w:r>
    </w:p>
    <w:p>
      <w:pPr>
        <w:pStyle w:val="ListParagraph"/>
        <w:numPr>
          <w:ilvl w:val="0"/>
          <w:numId w:val="2"/>
        </w:numPr>
        <w:spacing w:after="40"/>
        <w:ind w:left="892"/>
      </w:pPr>
      <w:r>
        <w:rPr>
          <w:sz w:val="21"/>
          <w:szCs w:val="21"/>
        </w:rPr>
        <w:t xml:space="preserve">Add a service-catalog item or a custom line, then enter quantity and unit price.</w:t>
      </w:r>
    </w:p>
    <w:p>
      <w:pPr>
        <w:pStyle w:val="ListParagraph"/>
        <w:numPr>
          <w:ilvl w:val="0"/>
          <w:numId w:val="2"/>
        </w:numPr>
        <w:spacing w:after="40"/>
        <w:ind w:left="892"/>
      </w:pPr>
      <w:r>
        <w:rPr>
          <w:sz w:val="21"/>
          <w:szCs w:val="21"/>
        </w:rPr>
        <w:t xml:space="preserve">Import unbilled time when the invoice includes time-based work. Add a dollar or percentage discount and tax only when they apply to the invoice.</w:t>
      </w:r>
    </w:p>
    <w:p>
      <w:pPr>
        <w:pStyle w:val="ListParagraph"/>
        <w:numPr>
          <w:ilvl w:val="0"/>
          <w:numId w:val="2"/>
        </w:numPr>
        <w:spacing w:after="40"/>
        <w:ind w:left="892"/>
      </w:pPr>
      <w:r>
        <w:rPr>
          <w:sz w:val="21"/>
          <w:szCs w:val="21"/>
        </w:rPr>
        <w:t xml:space="preserve">Add the service description, a note visible to the client, or an internal note for firm users when the invoice requires that context.</w:t>
      </w:r>
    </w:p>
    <w:p>
      <w:pPr>
        <w:pStyle w:val="ListParagraph"/>
        <w:numPr>
          <w:ilvl w:val="0"/>
          <w:numId w:val="2"/>
        </w:numPr>
        <w:spacing w:after="40"/>
        <w:ind w:left="892"/>
      </w:pPr>
      <w:r>
        <w:rPr>
          <w:sz w:val="21"/>
          <w:szCs w:val="21"/>
        </w:rPr>
        <w:t xml:space="preserve">Review the live invoice preview.</w:t>
      </w:r>
    </w:p>
    <w:p>
      <w:pPr>
        <w:pStyle w:val="ListParagraph"/>
        <w:numPr>
          <w:ilvl w:val="0"/>
          <w:numId w:val="2"/>
        </w:numPr>
        <w:spacing w:after="40"/>
        <w:ind w:left="892"/>
      </w:pPr>
      <w:r>
        <w:rPr>
          <w:sz w:val="21"/>
          <w:szCs w:val="21"/>
        </w:rPr>
        <w:t xml:space="preserve">Choose Save as draft or Create &amp; send.</w:t>
      </w:r>
    </w:p>
    <w:p>
      <w:pPr>
        <w:spacing w:after="40" w:before="70"/>
        <w:ind w:left="403"/>
      </w:pPr>
      <w:r>
        <w:rPr>
          <w:color w:val="8B8FA3"/>
          <w:sz w:val="17"/>
          <w:szCs w:val="17"/>
        </w:rPr>
        <w:t xml:space="preserve">Search terms: create an invoice add invoice new invoice send invoice   ·   Ref: pro-how-is-a-new-invoice-created-96</w:t>
      </w:r>
    </w:p>
    <w:p>
      <w:pPr>
        <w:keepNext/>
        <w:spacing w:after="90" w:before="220"/>
      </w:pPr>
      <w:r>
        <w:rPr>
          <w:b/>
          <w:bCs/>
          <w:color w:val="1A1C2E"/>
          <w:sz w:val="24"/>
          <w:szCs w:val="24"/>
        </w:rPr>
        <w:t xml:space="preserve">5.   What can firm users review on an individual invoice?</w:t>
      </w:r>
    </w:p>
    <w:p>
      <w:pPr>
        <w:spacing w:after="90"/>
        <w:ind w:left="403"/>
      </w:pPr>
      <w:r>
        <w:rPr>
          <w:sz w:val="22"/>
          <w:szCs w:val="22"/>
        </w:rPr>
        <w:t xml:space="preserve">The invoice record shows its status and source, balance, issue and due dates, subtotal, discount, tax, amount paid, client, the related signed agreement for agreement-generated invoices, description, and line items. Payment history and an audit trail show what happened after creation. The action menu shows Download PDF, Edit, Send invoice, or Cancel only when that action is permitted for the invoice's current status.</w:t>
      </w:r>
    </w:p>
    <w:p>
      <w:pPr>
        <w:spacing w:after="90"/>
        <w:ind w:left="403"/>
      </w:pPr>
      <w:r>
        <w:rPr>
          <w:b/>
          <w:bCs/>
          <w:color w:val="4735BE"/>
          <w:sz w:val="18"/>
          <w:szCs w:val="18"/>
        </w:rPr>
        <w:t xml:space="preserve">More   </w:t>
      </w:r>
      <w:r>
        <w:rPr>
          <w:sz w:val="22"/>
          <w:szCs w:val="22"/>
        </w:rPr>
        <w:t xml:space="preserve">Use the audit trail to confirm creation and later events, Payment history to reconcile receipts, and the signed-agreement link to compare an Agreement invoice with accepted terms. Before editing or cancelling, check the current balance and status so the action does not conflict with a payment already received.</w:t>
      </w:r>
    </w:p>
    <w:p>
      <w:pPr>
        <w:spacing w:after="40" w:before="70"/>
        <w:ind w:left="403"/>
      </w:pPr>
      <w:r>
        <w:rPr>
          <w:color w:val="8B8FA3"/>
          <w:sz w:val="17"/>
          <w:szCs w:val="17"/>
        </w:rPr>
        <w:t xml:space="preserve">Ref: pro-what-can-staff-review-on-an-individual-invoice-97</w:t>
      </w:r>
    </w:p>
    <w:p>
      <w:pPr>
        <w:keepNext/>
        <w:spacing w:after="90" w:before="220"/>
      </w:pPr>
      <w:r>
        <w:rPr>
          <w:b/>
          <w:bCs/>
          <w:color w:val="1A1C2E"/>
          <w:sz w:val="24"/>
          <w:szCs w:val="24"/>
        </w:rPr>
        <w:t xml:space="preserve">6.   How can clients pay an AssurePro invoice?</w:t>
      </w:r>
    </w:p>
    <w:p>
      <w:pPr>
        <w:spacing w:after="90"/>
        <w:ind w:left="403"/>
      </w:pPr>
      <w:r>
        <w:rPr>
          <w:sz w:val="22"/>
          <w:szCs w:val="22"/>
        </w:rPr>
        <w:t xml:space="preserve">Client payment collection uses the payment processor connected in Integrations and the firm's Billing &amp; Payments configuration. An invoice tracks its total, balance, due date, and payment status; the payment methods presented to a client depend on the connected processor and the options enabled for the firm.</w:t>
      </w:r>
    </w:p>
    <w:p>
      <w:pPr>
        <w:spacing w:after="90"/>
        <w:ind w:left="403"/>
      </w:pPr>
      <w:r>
        <w:rPr>
          <w:b/>
          <w:bCs/>
          <w:color w:val="4735BE"/>
          <w:sz w:val="18"/>
          <w:szCs w:val="18"/>
        </w:rPr>
        <w:t xml:space="preserve">More   </w:t>
      </w:r>
      <w:r>
        <w:rPr>
          <w:sz w:val="22"/>
          <w:szCs w:val="22"/>
        </w:rPr>
        <w:t xml:space="preserve">The firm first connects its payment processor in Settings &gt; Integrations and confirms the payout connection under Billing &amp; Payments. After the invoice is sent, the client uses the payment options enabled for the firm; AssurePro updates the invoice's payment history, remaining balance, and status when the processor reports the payment.</w:t>
      </w:r>
    </w:p>
    <w:p>
      <w:pPr>
        <w:spacing w:after="40" w:before="70"/>
        <w:ind w:left="403"/>
      </w:pPr>
      <w:r>
        <w:rPr>
          <w:color w:val="8B8FA3"/>
          <w:sz w:val="17"/>
          <w:szCs w:val="17"/>
        </w:rPr>
        <w:t xml:space="preserve">Ref: pro-how-can-clients-pay-an-assurepro-invoice-98</w:t>
      </w:r>
    </w:p>
    <w:p>
      <w:pPr>
        <w:keepNext/>
        <w:spacing w:after="90" w:before="220"/>
      </w:pPr>
      <w:r>
        <w:rPr>
          <w:b/>
          <w:bCs/>
          <w:color w:val="1A1C2E"/>
          <w:sz w:val="24"/>
          <w:szCs w:val="24"/>
        </w:rPr>
        <w:t xml:space="preserve">7.   Can the firm record a payment received outside AssurePro?</w:t>
      </w:r>
    </w:p>
    <w:p>
      <w:pPr>
        <w:spacing w:after="90"/>
        <w:ind w:left="403"/>
      </w:pPr>
      <w:r>
        <w:rPr>
          <w:sz w:val="22"/>
          <w:szCs w:val="22"/>
        </w:rPr>
        <w:t xml:space="preserve">Yes. Open the invoice and use Add payment to record an off-platform payment. Select the payment method, enter the payment date and required details, and save it so the invoice balance and status reflect the payment received.</w:t>
      </w:r>
    </w:p>
    <w:p>
      <w:pPr>
        <w:spacing w:after="90"/>
        <w:ind w:left="403"/>
      </w:pPr>
      <w:r>
        <w:rPr>
          <w:b/>
          <w:bCs/>
          <w:color w:val="4735BE"/>
          <w:sz w:val="18"/>
          <w:szCs w:val="18"/>
        </w:rPr>
        <w:t xml:space="preserve">More   </w:t>
      </w:r>
      <w:r>
        <w:rPr>
          <w:sz w:val="22"/>
          <w:szCs w:val="22"/>
        </w:rPr>
        <w:t xml:space="preserve">Example: when a client pays by check or another off-platform method, open the invoice, select Add payment, choose the method, enter the actual payment date and reference details, and save. Confirm that the payment appears in Payment history and that the remaining balance and invoice status changed correctly.</w:t>
      </w:r>
    </w:p>
    <w:p>
      <w:pPr>
        <w:spacing w:after="40" w:before="70"/>
        <w:ind w:left="403"/>
      </w:pPr>
      <w:r>
        <w:rPr>
          <w:color w:val="8B8FA3"/>
          <w:sz w:val="17"/>
          <w:szCs w:val="17"/>
        </w:rPr>
        <w:t xml:space="preserve">Ref: pro-can-the-firm-record-a-payment-received-outside-assurepro-99</w:t>
      </w:r>
    </w:p>
    <w:p>
      <w:pPr>
        <w:keepNext/>
        <w:spacing w:after="90" w:before="220"/>
      </w:pPr>
      <w:r>
        <w:rPr>
          <w:b/>
          <w:bCs/>
          <w:color w:val="1A1C2E"/>
          <w:sz w:val="24"/>
          <w:szCs w:val="24"/>
        </w:rPr>
        <w:t xml:space="preserve">8.   Can signed agreements create billing work?</w:t>
      </w:r>
    </w:p>
    <w:p>
      <w:pPr>
        <w:spacing w:after="90"/>
        <w:ind w:left="403"/>
      </w:pPr>
      <w:r>
        <w:rPr>
          <w:sz w:val="22"/>
          <w:szCs w:val="22"/>
        </w:rPr>
        <w:t xml:space="preserve">Yes. A signed engagement package can create invoice drafts or recurring schedules from the billing terms accepted by the client. AssurePro places the generated billing work in Agreements awaiting billing so an authorized firm user can review it before an invoice is sent or a schedule is activated.</w:t>
      </w:r>
    </w:p>
    <w:p>
      <w:pPr>
        <w:spacing w:after="90"/>
        <w:ind w:left="403"/>
      </w:pPr>
      <w:r>
        <w:rPr>
          <w:b/>
          <w:bCs/>
          <w:color w:val="4735BE"/>
          <w:sz w:val="18"/>
          <w:szCs w:val="18"/>
        </w:rPr>
        <w:t xml:space="preserve">More   </w:t>
      </w:r>
      <w:r>
        <w:rPr>
          <w:sz w:val="22"/>
          <w:szCs w:val="22"/>
        </w:rPr>
        <w:t xml:space="preserve">A one-time agreed charge can become an invoice draft, while recurring terms can create a billing schedule. AssurePro does not require firm users to retype the accepted commercial terms; instead, the generated item appears in Agreements awaiting billing for validation before it is sent or activated.</w:t>
      </w:r>
    </w:p>
    <w:p>
      <w:pPr>
        <w:spacing w:after="40" w:before="70"/>
        <w:ind w:left="403"/>
      </w:pPr>
      <w:r>
        <w:rPr>
          <w:color w:val="8B8FA3"/>
          <w:sz w:val="17"/>
          <w:szCs w:val="17"/>
        </w:rPr>
        <w:t xml:space="preserve">Ref: pro-can-signed-agreements-create-billing-work-100</w:t>
      </w:r>
    </w:p>
    <w:p>
      <w:pPr>
        <w:keepNext/>
        <w:spacing w:after="90" w:before="220"/>
      </w:pPr>
      <w:r>
        <w:rPr>
          <w:b/>
          <w:bCs/>
          <w:color w:val="1A1C2E"/>
          <w:sz w:val="24"/>
          <w:szCs w:val="24"/>
        </w:rPr>
        <w:t xml:space="preserve">9.   How do I review billing created by a signed agreement?</w:t>
      </w:r>
    </w:p>
    <w:p>
      <w:pPr>
        <w:spacing w:after="90"/>
        <w:ind w:left="403"/>
      </w:pPr>
      <w:r>
        <w:rPr>
          <w:sz w:val="22"/>
          <w:szCs w:val="22"/>
        </w:rPr>
        <w:t xml:space="preserve">Billing created from a signed agreement appears in a review queue before it is sent or activated. This lets your firm confirm the client, services, amounts, dates, and billing schedule against the accepted agreement.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select the signed-agreements banner.</w:t>
      </w:r>
    </w:p>
    <w:p>
      <w:pPr>
        <w:pStyle w:val="ListParagraph"/>
        <w:numPr>
          <w:ilvl w:val="0"/>
          <w:numId w:val="2"/>
        </w:numPr>
        <w:spacing w:after="40"/>
        <w:ind w:left="892"/>
      </w:pPr>
      <w:r>
        <w:rPr>
          <w:sz w:val="21"/>
          <w:szCs w:val="21"/>
        </w:rPr>
        <w:t xml:space="preserve">Search by client name or agreement name to locate the billing item.</w:t>
      </w:r>
    </w:p>
    <w:p>
      <w:pPr>
        <w:pStyle w:val="ListParagraph"/>
        <w:numPr>
          <w:ilvl w:val="0"/>
          <w:numId w:val="2"/>
        </w:numPr>
        <w:spacing w:after="40"/>
        <w:ind w:left="892"/>
      </w:pPr>
      <w:r>
        <w:rPr>
          <w:sz w:val="21"/>
          <w:szCs w:val="21"/>
        </w:rPr>
        <w:t xml:space="preserve">Under Pending review, check the signed date, number of drafts or schedules, and amount.</w:t>
      </w:r>
    </w:p>
    <w:p>
      <w:pPr>
        <w:pStyle w:val="ListParagraph"/>
        <w:numPr>
          <w:ilvl w:val="0"/>
          <w:numId w:val="2"/>
        </w:numPr>
        <w:spacing w:after="40"/>
        <w:ind w:left="892"/>
      </w:pPr>
      <w:r>
        <w:rPr>
          <w:sz w:val="21"/>
          <w:szCs w:val="21"/>
        </w:rPr>
        <w:t xml:space="preserve">Select Review &amp; send and inspect the generated invoice, line items, dates, and agreement link.</w:t>
      </w:r>
    </w:p>
    <w:p>
      <w:pPr>
        <w:pStyle w:val="ListParagraph"/>
        <w:numPr>
          <w:ilvl w:val="0"/>
          <w:numId w:val="2"/>
        </w:numPr>
        <w:spacing w:after="40"/>
        <w:ind w:left="892"/>
      </w:pPr>
      <w:r>
        <w:rPr>
          <w:sz w:val="21"/>
          <w:szCs w:val="21"/>
        </w:rPr>
        <w:t xml:space="preserve">Edit the draft if the billing details need correction, then send it when ready.</w:t>
      </w:r>
    </w:p>
    <w:p>
      <w:pPr>
        <w:pStyle w:val="ListParagraph"/>
        <w:numPr>
          <w:ilvl w:val="0"/>
          <w:numId w:val="2"/>
        </w:numPr>
        <w:spacing w:after="40"/>
        <w:ind w:left="892"/>
      </w:pPr>
      <w:r>
        <w:rPr>
          <w:sz w:val="21"/>
          <w:szCs w:val="21"/>
        </w:rPr>
        <w:t xml:space="preserve">Use Active for agreements already producing billing; items marked Manual, no priced services have no automatically billable service to create.</w:t>
      </w:r>
    </w:p>
    <w:p>
      <w:pPr>
        <w:spacing w:after="40" w:before="70"/>
        <w:ind w:left="403"/>
      </w:pPr>
      <w:r>
        <w:rPr>
          <w:color w:val="8B8FA3"/>
          <w:sz w:val="17"/>
          <w:szCs w:val="17"/>
        </w:rPr>
        <w:t xml:space="preserve">Ref: pro-how-do-i-review-billing-created-by-a-signed-agreement-101</w:t>
      </w:r>
    </w:p>
    <w:p>
      <w:pPr>
        <w:keepNext/>
        <w:spacing w:after="90" w:before="220"/>
      </w:pPr>
      <w:r>
        <w:rPr>
          <w:b/>
          <w:bCs/>
          <w:color w:val="1A1C2E"/>
          <w:sz w:val="24"/>
          <w:szCs w:val="24"/>
        </w:rPr>
        <w:t xml:space="preserve">10.   How does recurring billing work?</w:t>
      </w:r>
    </w:p>
    <w:p>
      <w:pPr>
        <w:spacing w:after="90"/>
        <w:ind w:left="403"/>
      </w:pPr>
      <w:r>
        <w:rPr>
          <w:sz w:val="22"/>
          <w:szCs w:val="22"/>
        </w:rPr>
        <w:t xml:space="preserve">Recurring contains schedules that generate invoices on a configured cadence. Auto-send generates and sends each scheduled invoice without a separate review step; Manual send creates the invoice for a firm user to review before delivery. The list shows the client, cadence, service, send mode, status, next invoice date, amount, and available actions.</w:t>
      </w:r>
    </w:p>
    <w:p>
      <w:pPr>
        <w:spacing w:after="90"/>
        <w:ind w:left="403"/>
      </w:pPr>
      <w:r>
        <w:rPr>
          <w:b/>
          <w:bCs/>
          <w:color w:val="4735BE"/>
          <w:sz w:val="18"/>
          <w:szCs w:val="18"/>
        </w:rPr>
        <w:t xml:space="preserve">More   </w:t>
      </w:r>
      <w:r>
        <w:rPr>
          <w:sz w:val="22"/>
          <w:szCs w:val="22"/>
        </w:rPr>
        <w:t xml:space="preserve">For example, a monthly bookkeeping agreement can create a Monthly schedule with Auto-send so each generated invoice is delivered automatically, while a quarterly advisory schedule can use Manual send so a firm user reviews it first. Pausing stops scheduled activity; Resume restarts it; Bill now creates an immediate invoice when the schedule is active.</w:t>
      </w:r>
    </w:p>
    <w:p>
      <w:pPr>
        <w:spacing w:after="40" w:before="70"/>
        <w:ind w:left="403"/>
      </w:pPr>
      <w:r>
        <w:rPr>
          <w:color w:val="8B8FA3"/>
          <w:sz w:val="17"/>
          <w:szCs w:val="17"/>
        </w:rPr>
        <w:t xml:space="preserve">Ref: pro-how-does-recurring-billing-work-102</w:t>
      </w:r>
    </w:p>
    <w:p>
      <w:pPr>
        <w:keepNext/>
        <w:spacing w:after="90" w:before="220"/>
      </w:pPr>
      <w:r>
        <w:rPr>
          <w:b/>
          <w:bCs/>
          <w:color w:val="1A1C2E"/>
          <w:sz w:val="24"/>
          <w:szCs w:val="24"/>
        </w:rPr>
        <w:t xml:space="preserve">11.   How do I review or control a recurring schedule?</w:t>
      </w:r>
    </w:p>
    <w:p>
      <w:pPr>
        <w:spacing w:after="90"/>
        <w:ind w:left="403"/>
      </w:pPr>
      <w:r>
        <w:rPr>
          <w:sz w:val="22"/>
          <w:szCs w:val="22"/>
        </w:rPr>
        <w:t xml:space="preserve">Open the recurring schedule from Billing to review its status, cadence, amount, invoice history, and next billing date. From the same view, authorized firm users can pause, resume, or bill the schedule immediately.</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choose Recurring.</w:t>
      </w:r>
    </w:p>
    <w:p>
      <w:pPr>
        <w:pStyle w:val="ListParagraph"/>
        <w:numPr>
          <w:ilvl w:val="0"/>
          <w:numId w:val="2"/>
        </w:numPr>
        <w:spacing w:after="40"/>
        <w:ind w:left="892"/>
      </w:pPr>
      <w:r>
        <w:rPr>
          <w:sz w:val="21"/>
          <w:szCs w:val="21"/>
        </w:rPr>
        <w:t xml:space="preserve">Find the schedule in tile or list view.</w:t>
      </w:r>
    </w:p>
    <w:p>
      <w:pPr>
        <w:pStyle w:val="ListParagraph"/>
        <w:numPr>
          <w:ilvl w:val="0"/>
          <w:numId w:val="2"/>
        </w:numPr>
        <w:spacing w:after="40"/>
        <w:ind w:left="892"/>
      </w:pPr>
      <w:r>
        <w:rPr>
          <w:sz w:val="21"/>
          <w:szCs w:val="21"/>
        </w:rPr>
        <w:t xml:space="preserve">Select View details to review client, email, status, total billed, total received, pending amount, and invoice history.</w:t>
      </w:r>
    </w:p>
    <w:p>
      <w:pPr>
        <w:pStyle w:val="ListParagraph"/>
        <w:numPr>
          <w:ilvl w:val="0"/>
          <w:numId w:val="2"/>
        </w:numPr>
        <w:spacing w:after="40"/>
        <w:ind w:left="892"/>
      </w:pPr>
      <w:r>
        <w:rPr>
          <w:sz w:val="21"/>
          <w:szCs w:val="21"/>
        </w:rPr>
        <w:t xml:space="preserve">Use Pause or Resume schedule when the cadence should stop or restart.</w:t>
      </w:r>
    </w:p>
    <w:p>
      <w:pPr>
        <w:pStyle w:val="ListParagraph"/>
        <w:numPr>
          <w:ilvl w:val="0"/>
          <w:numId w:val="2"/>
        </w:numPr>
        <w:spacing w:after="40"/>
        <w:ind w:left="892"/>
      </w:pPr>
      <w:r>
        <w:rPr>
          <w:sz w:val="21"/>
          <w:szCs w:val="21"/>
        </w:rPr>
        <w:t xml:space="preserve">Use Bill now when an immediate invoice is needed; this action is unavailable while the schedule is paused.</w:t>
      </w:r>
    </w:p>
    <w:p>
      <w:pPr>
        <w:pStyle w:val="ListParagraph"/>
        <w:numPr>
          <w:ilvl w:val="0"/>
          <w:numId w:val="2"/>
        </w:numPr>
        <w:spacing w:after="40"/>
        <w:ind w:left="892"/>
      </w:pPr>
      <w:r>
        <w:rPr>
          <w:sz w:val="21"/>
          <w:szCs w:val="21"/>
        </w:rPr>
        <w:t xml:space="preserve">Review any displayed future price change before the next invoice date.</w:t>
      </w:r>
    </w:p>
    <w:p>
      <w:pPr>
        <w:spacing w:after="40" w:before="70"/>
        <w:ind w:left="403"/>
      </w:pPr>
      <w:r>
        <w:rPr>
          <w:color w:val="8B8FA3"/>
          <w:sz w:val="17"/>
          <w:szCs w:val="17"/>
        </w:rPr>
        <w:t xml:space="preserve">Ref: pro-how-do-i-review-or-control-a-recurring-schedule-103</w:t>
      </w:r>
    </w:p>
    <w:p>
      <w:pPr>
        <w:keepNext/>
        <w:spacing w:after="90" w:before="220"/>
      </w:pPr>
      <w:r>
        <w:rPr>
          <w:b/>
          <w:bCs/>
          <w:color w:val="1A1C2E"/>
          <w:sz w:val="24"/>
          <w:szCs w:val="24"/>
        </w:rPr>
        <w:t xml:space="preserve">12.   What is the Services catalog?</w:t>
      </w:r>
    </w:p>
    <w:p>
      <w:pPr>
        <w:spacing w:after="90"/>
        <w:ind w:left="403"/>
      </w:pPr>
      <w:r>
        <w:rPr>
          <w:sz w:val="22"/>
          <w:szCs w:val="22"/>
        </w:rPr>
        <w:t xml:space="preserve">Services is the reusable catalog behind invoice line items and engagement packages. Search and filters narrow the list by name or description, kind, pricing, and active state. Each row shows the service kind, SOP, category, pricing model, default amount, and active status.</w:t>
      </w:r>
    </w:p>
    <w:p>
      <w:pPr>
        <w:spacing w:after="90"/>
        <w:ind w:left="403"/>
      </w:pPr>
      <w:r>
        <w:rPr>
          <w:b/>
          <w:bCs/>
          <w:color w:val="4735BE"/>
          <w:sz w:val="18"/>
          <w:szCs w:val="18"/>
        </w:rPr>
        <w:t xml:space="preserve">More   </w:t>
      </w:r>
      <w:r>
        <w:rPr>
          <w:sz w:val="22"/>
          <w:szCs w:val="22"/>
        </w:rPr>
        <w:t xml:space="preserve">Treat each item as a reusable billing definition: the name and description explain the work, Kind controls how it is used, Category groups it, Pricing model and default price establish the starting charge, discount and tax fields establish defaults, SOP documents delivery, and Active controls whether firm users can select it in new work.</w:t>
      </w:r>
    </w:p>
    <w:p>
      <w:pPr>
        <w:spacing w:after="40" w:before="70"/>
        <w:ind w:left="403"/>
      </w:pPr>
      <w:r>
        <w:rPr>
          <w:color w:val="8B8FA3"/>
          <w:sz w:val="17"/>
          <w:szCs w:val="17"/>
        </w:rPr>
        <w:t xml:space="preserve">Ref: pro-what-is-the-services-catalog-104</w:t>
      </w:r>
    </w:p>
    <w:p>
      <w:pPr>
        <w:keepNext/>
        <w:spacing w:after="90" w:before="220"/>
      </w:pPr>
      <w:r>
        <w:rPr>
          <w:b/>
          <w:bCs/>
          <w:color w:val="1A1C2E"/>
          <w:sz w:val="24"/>
          <w:szCs w:val="24"/>
        </w:rPr>
        <w:t xml:space="preserve">13.   Which service kinds and pricing models are available?</w:t>
      </w:r>
    </w:p>
    <w:p>
      <w:pPr>
        <w:spacing w:after="90"/>
        <w:ind w:left="403"/>
      </w:pPr>
      <w:r>
        <w:rPr>
          <w:sz w:val="22"/>
          <w:szCs w:val="22"/>
        </w:rPr>
        <w:t xml:space="preserve">The New service form offers Bundle, Add-on, Hourly, Retainer, and Service as kinds. Pricing is configured separately as Fixed, Hourly, or Retainer. Bundles represent packaged items and display the number included; Add-on identifies an optional catalog item.</w:t>
      </w:r>
    </w:p>
    <w:p>
      <w:pPr>
        <w:spacing w:after="90"/>
        <w:ind w:left="403"/>
      </w:pPr>
      <w:r>
        <w:rPr>
          <w:b/>
          <w:bCs/>
          <w:color w:val="4735BE"/>
          <w:sz w:val="18"/>
          <w:szCs w:val="18"/>
        </w:rPr>
        <w:t xml:space="preserve">More   </w:t>
      </w:r>
      <w:r>
        <w:rPr>
          <w:sz w:val="22"/>
          <w:szCs w:val="22"/>
        </w:rPr>
        <w:t xml:space="preserve">Example: create a Fixed Service for an individual return, an Hourly item for advisory time, a Retainer for recurring access, an Add-on for audit protection, or a Bundle that groups included items. Kind describes the commercial role of the item; Fixed, Hourly, and Retainer pricing determine how the amount is calculated.</w:t>
      </w:r>
    </w:p>
    <w:p>
      <w:pPr>
        <w:spacing w:after="40" w:before="70"/>
        <w:ind w:left="403"/>
      </w:pPr>
      <w:r>
        <w:rPr>
          <w:color w:val="8B8FA3"/>
          <w:sz w:val="17"/>
          <w:szCs w:val="17"/>
        </w:rPr>
        <w:t xml:space="preserve">Ref: pro-which-service-kinds-and-pricing-models-are-available-105</w:t>
      </w:r>
    </w:p>
    <w:p>
      <w:pPr>
        <w:keepNext/>
        <w:spacing w:after="90" w:before="220"/>
      </w:pPr>
      <w:r>
        <w:rPr>
          <w:b/>
          <w:bCs/>
          <w:color w:val="1A1C2E"/>
          <w:sz w:val="24"/>
          <w:szCs w:val="24"/>
        </w:rPr>
        <w:t xml:space="preserve">14.   How do I create a service?</w:t>
      </w:r>
    </w:p>
    <w:p>
      <w:pPr>
        <w:spacing w:after="90"/>
        <w:ind w:left="403"/>
      </w:pPr>
      <w:r>
        <w:rPr>
          <w:sz w:val="22"/>
          <w:szCs w:val="22"/>
        </w:rPr>
        <w:t xml:space="preserve">Create a service from Services &gt; New service to save its name, description, kind, category, pricing model, default price, discount, tax treatment, and SOP. Firm users can then reuse those defaults in invoices and engagement packages.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Services and select New service.</w:t>
      </w:r>
    </w:p>
    <w:p>
      <w:pPr>
        <w:pStyle w:val="ListParagraph"/>
        <w:numPr>
          <w:ilvl w:val="0"/>
          <w:numId w:val="2"/>
        </w:numPr>
        <w:spacing w:after="40"/>
        <w:ind w:left="892"/>
      </w:pPr>
      <w:r>
        <w:rPr>
          <w:sz w:val="21"/>
          <w:szCs w:val="21"/>
        </w:rPr>
        <w:t xml:space="preserve">Enter the service name and optional description.</w:t>
      </w:r>
    </w:p>
    <w:p>
      <w:pPr>
        <w:pStyle w:val="ListParagraph"/>
        <w:numPr>
          <w:ilvl w:val="0"/>
          <w:numId w:val="2"/>
        </w:numPr>
        <w:spacing w:after="40"/>
        <w:ind w:left="892"/>
      </w:pPr>
      <w:r>
        <w:rPr>
          <w:sz w:val="21"/>
          <w:szCs w:val="21"/>
        </w:rPr>
        <w:t xml:space="preserve">Choose Bundle, Add-on, Hourly, Retainer, or Service as the kind.</w:t>
      </w:r>
    </w:p>
    <w:p>
      <w:pPr>
        <w:pStyle w:val="ListParagraph"/>
        <w:numPr>
          <w:ilvl w:val="0"/>
          <w:numId w:val="2"/>
        </w:numPr>
        <w:spacing w:after="40"/>
        <w:ind w:left="892"/>
      </w:pPr>
      <w:r>
        <w:rPr>
          <w:sz w:val="21"/>
          <w:szCs w:val="21"/>
        </w:rPr>
        <w:t xml:space="preserve">Choose the category and Fixed, Hourly, or Retainer as the pricing model.</w:t>
      </w:r>
    </w:p>
    <w:p>
      <w:pPr>
        <w:pStyle w:val="ListParagraph"/>
        <w:numPr>
          <w:ilvl w:val="0"/>
          <w:numId w:val="2"/>
        </w:numPr>
        <w:spacing w:after="40"/>
        <w:ind w:left="892"/>
      </w:pPr>
      <w:r>
        <w:rPr>
          <w:sz w:val="21"/>
          <w:szCs w:val="21"/>
        </w:rPr>
        <w:t xml:space="preserve">Set the default price and optional default discount.</w:t>
      </w:r>
    </w:p>
    <w:p>
      <w:pPr>
        <w:pStyle w:val="ListParagraph"/>
        <w:numPr>
          <w:ilvl w:val="0"/>
          <w:numId w:val="2"/>
        </w:numPr>
        <w:spacing w:after="40"/>
        <w:ind w:left="892"/>
      </w:pPr>
      <w:r>
        <w:rPr>
          <w:sz w:val="21"/>
          <w:szCs w:val="21"/>
        </w:rPr>
        <w:t xml:space="preserve">Set the default tax rate and whether the item is taxable by default.</w:t>
      </w:r>
    </w:p>
    <w:p>
      <w:pPr>
        <w:pStyle w:val="ListParagraph"/>
        <w:numPr>
          <w:ilvl w:val="0"/>
          <w:numId w:val="2"/>
        </w:numPr>
        <w:spacing w:after="40"/>
        <w:ind w:left="892"/>
      </w:pPr>
      <w:r>
        <w:rPr>
          <w:sz w:val="21"/>
          <w:szCs w:val="21"/>
        </w:rPr>
        <w:t xml:space="preserve">Select Create service after all required fields are complete.</w:t>
      </w:r>
    </w:p>
    <w:p>
      <w:pPr>
        <w:spacing w:after="40" w:before="70"/>
        <w:ind w:left="403"/>
      </w:pPr>
      <w:r>
        <w:rPr>
          <w:color w:val="8B8FA3"/>
          <w:sz w:val="17"/>
          <w:szCs w:val="17"/>
        </w:rPr>
        <w:t xml:space="preserve">Ref: pro-how-do-i-create-a-service-106</w:t>
      </w:r>
    </w:p>
    <w:p>
      <w:pPr>
        <w:keepNext/>
        <w:spacing w:after="90" w:before="220"/>
      </w:pPr>
      <w:r>
        <w:rPr>
          <w:b/>
          <w:bCs/>
          <w:color w:val="1A1C2E"/>
          <w:sz w:val="24"/>
          <w:szCs w:val="24"/>
        </w:rPr>
        <w:t xml:space="preserve">15.   How do I find, deactivate, or archive a service?</w:t>
      </w:r>
    </w:p>
    <w:p>
      <w:pPr>
        <w:spacing w:after="90"/>
        <w:ind w:left="403"/>
      </w:pPr>
      <w:r>
        <w:rPr>
          <w:sz w:val="22"/>
          <w:szCs w:val="22"/>
        </w:rPr>
        <w:t xml:space="preserve">Search by name or description, or filter the catalog by kind and pricing. Use the Active switch on a row to make an item inactive, and enable Show inactive when it needs to be found again. Archive is available from the row action menu and is distinct from simply switching the item inactive.</w:t>
      </w:r>
    </w:p>
    <w:p>
      <w:pPr>
        <w:spacing w:after="90"/>
        <w:ind w:left="403"/>
      </w:pPr>
      <w:r>
        <w:rPr>
          <w:b/>
          <w:bCs/>
          <w:color w:val="4735BE"/>
          <w:sz w:val="18"/>
          <w:szCs w:val="18"/>
        </w:rPr>
        <w:t xml:space="preserve">More   </w:t>
      </w:r>
      <w:r>
        <w:rPr>
          <w:sz w:val="22"/>
          <w:szCs w:val="22"/>
        </w:rPr>
        <w:t xml:space="preserve">Use inactive when the firm may need to reactivate or reference the item later, and Archive when the catalog item should be removed from normal maintenance. Before either action, check whether the service is used by templates, agreements, recurring schedules, or draft invoices so new work is not left with an unavailable dependency.</w:t>
      </w:r>
    </w:p>
    <w:p>
      <w:pPr>
        <w:spacing w:after="40" w:before="70"/>
        <w:ind w:left="403"/>
      </w:pPr>
      <w:r>
        <w:rPr>
          <w:color w:val="8B8FA3"/>
          <w:sz w:val="17"/>
          <w:szCs w:val="17"/>
        </w:rPr>
        <w:t xml:space="preserve">Ref: pro-how-do-i-find-deactivate-or-archive-a-service-107</w:t>
      </w:r>
    </w:p>
    <w:p>
      <w:pPr>
        <w:keepNext/>
        <w:spacing w:after="90" w:before="220"/>
      </w:pPr>
      <w:r>
        <w:rPr>
          <w:b/>
          <w:bCs/>
          <w:color w:val="1A1C2E"/>
          <w:sz w:val="24"/>
          <w:szCs w:val="24"/>
        </w:rPr>
        <w:t xml:space="preserve">16.   How is a standard operating procedure attached to a service?</w:t>
      </w:r>
    </w:p>
    <w:p>
      <w:pPr>
        <w:spacing w:after="90"/>
        <w:ind w:left="403"/>
      </w:pPr>
      <w:r>
        <w:rPr>
          <w:sz w:val="22"/>
          <w:szCs w:val="22"/>
        </w:rPr>
        <w:t xml:space="preserve">Select the plus control in the service's SOP column or choose SOPs from its action menu. The Standard Operating Procedures dialog is labeled for the selected service and is where the firm records how that service is performed.</w:t>
      </w:r>
    </w:p>
    <w:p>
      <w:pPr>
        <w:spacing w:after="90"/>
        <w:ind w:left="403"/>
      </w:pPr>
      <w:r>
        <w:rPr>
          <w:b/>
          <w:bCs/>
          <w:color w:val="4735BE"/>
          <w:sz w:val="18"/>
          <w:szCs w:val="18"/>
        </w:rPr>
        <w:t xml:space="preserve">More   </w:t>
      </w:r>
      <w:r>
        <w:rPr>
          <w:sz w:val="22"/>
          <w:szCs w:val="22"/>
        </w:rPr>
        <w:t xml:space="preserve">For example, the SOP for Monthly Bookkeeping can describe statement collection, reconciliation, review, delivery, and client follow-up. Open the service's SOP dialog from the plus or Actions menu, add or maintain the procedure, and make sure the active instructions match the service description being sold.</w:t>
      </w:r>
    </w:p>
    <w:p>
      <w:pPr>
        <w:spacing w:after="40" w:before="70"/>
        <w:ind w:left="403"/>
      </w:pPr>
      <w:r>
        <w:rPr>
          <w:color w:val="8B8FA3"/>
          <w:sz w:val="17"/>
          <w:szCs w:val="17"/>
        </w:rPr>
        <w:t xml:space="preserve">Ref: pro-how-is-a-standard-operating-procedure-attached-to-a-service-108</w:t>
      </w:r>
    </w:p>
    <w:p>
      <w:pPr>
        <w:keepNext/>
        <w:spacing w:after="90" w:before="220"/>
      </w:pPr>
      <w:r>
        <w:rPr>
          <w:b/>
          <w:bCs/>
          <w:color w:val="1A1C2E"/>
          <w:sz w:val="24"/>
          <w:szCs w:val="24"/>
        </w:rPr>
        <w:t xml:space="preserve">17.   How are time entries turned into invoices?</w:t>
      </w:r>
    </w:p>
    <w:p>
      <w:pPr>
        <w:spacing w:after="90"/>
        <w:ind w:left="403"/>
      </w:pPr>
      <w:r>
        <w:rPr>
          <w:sz w:val="22"/>
          <w:szCs w:val="22"/>
        </w:rPr>
        <w:t xml:space="preserve">Uninvoiced time entries can be selected in Time Sheet and passed to Generate invoice. The invoice editor also includes Import unbilled time so billable work can be added while drafting an invoice.</w:t>
      </w:r>
    </w:p>
    <w:p>
      <w:pPr>
        <w:spacing w:after="90"/>
        <w:ind w:left="403"/>
      </w:pPr>
      <w:r>
        <w:rPr>
          <w:b/>
          <w:bCs/>
          <w:color w:val="4735BE"/>
          <w:sz w:val="18"/>
          <w:szCs w:val="18"/>
        </w:rPr>
        <w:t xml:space="preserve">More   </w:t>
      </w:r>
      <w:r>
        <w:rPr>
          <w:sz w:val="22"/>
          <w:szCs w:val="22"/>
        </w:rPr>
        <w:t xml:space="preserve">From Time Sheet, filter to the correct client or engagement, select billable entries that are not already invoiced, and choose Generate invoice. Alternatively, start an invoice and use Import unbilled time; review every imported description, quantity, rate, amount, date, and client association before sending.</w:t>
      </w:r>
    </w:p>
    <w:p>
      <w:pPr>
        <w:spacing w:after="40" w:before="70"/>
        <w:ind w:left="403"/>
      </w:pPr>
      <w:r>
        <w:rPr>
          <w:color w:val="8B8FA3"/>
          <w:sz w:val="17"/>
          <w:szCs w:val="17"/>
        </w:rPr>
        <w:t xml:space="preserve">Ref: pro-how-are-time-entries-turned-into-invoices-109</w:t>
      </w:r>
    </w:p>
    <w:p>
      <w:pPr>
        <w:keepNext/>
        <w:spacing w:after="90" w:before="220"/>
      </w:pPr>
      <w:r>
        <w:rPr>
          <w:b/>
          <w:bCs/>
          <w:color w:val="1A1C2E"/>
          <w:sz w:val="24"/>
          <w:szCs w:val="24"/>
        </w:rPr>
        <w:t xml:space="preserve">18.   What is the difference between Billing &amp; Payments and Platform Subscription?</w:t>
      </w:r>
    </w:p>
    <w:p>
      <w:pPr>
        <w:spacing w:after="90"/>
        <w:ind w:left="403"/>
      </w:pPr>
      <w:r>
        <w:rPr>
          <w:sz w:val="22"/>
          <w:szCs w:val="22"/>
        </w:rPr>
        <w:t xml:space="preserve">Billing &amp; Payments covers the firm's configuration for collecting client payments and managing its connected payout account. Platform Subscription is separate: it records purchases the firm makes from AssureOne Technologies LLC and keeps the related invoices and receipts. Client receivables belong in Billing; AssureOne charges to the firm belong in Platform Subscription.</w:t>
      </w:r>
    </w:p>
    <w:p>
      <w:pPr>
        <w:spacing w:after="90"/>
        <w:ind w:left="403"/>
      </w:pPr>
      <w:r>
        <w:rPr>
          <w:b/>
          <w:bCs/>
          <w:color w:val="4735BE"/>
          <w:sz w:val="18"/>
          <w:szCs w:val="18"/>
        </w:rPr>
        <w:t xml:space="preserve">More   </w:t>
      </w:r>
      <w:r>
        <w:rPr>
          <w:sz w:val="22"/>
          <w:szCs w:val="22"/>
        </w:rPr>
        <w:t xml:space="preserve">Example: a client payment processor connection and payout issue belongs under Billing &amp; Payments and Integrations; a receipt for AI Credits purchased by the firm belongs under Platform Subscription. Keep the two separate during reconciliation because one records client receivables and the other records the firm's purchases from AssureOne.</w:t>
      </w:r>
    </w:p>
    <w:p>
      <w:pPr>
        <w:spacing w:after="40" w:before="70"/>
        <w:ind w:left="403"/>
      </w:pPr>
      <w:r>
        <w:rPr>
          <w:color w:val="8B8FA3"/>
          <w:sz w:val="17"/>
          <w:szCs w:val="17"/>
        </w:rPr>
        <w:t xml:space="preserve">Ref: pro-what-is-the-difference-between-billing-payments-and-platform-subscript-110</w:t>
      </w:r>
    </w:p>
    <w:p>
      <w:pPr>
        <w:keepNext/>
        <w:spacing w:after="90" w:before="220"/>
      </w:pPr>
      <w:r>
        <w:rPr>
          <w:b/>
          <w:bCs/>
          <w:color w:val="1A1C2E"/>
          <w:sz w:val="24"/>
          <w:szCs w:val="24"/>
        </w:rPr>
        <w:t xml:space="preserve">19.   How do I review AssureOne platform purchases and receipts?</w:t>
      </w:r>
    </w:p>
    <w:p>
      <w:pPr>
        <w:spacing w:after="90"/>
        <w:ind w:left="403"/>
      </w:pPr>
      <w:r>
        <w:rPr>
          <w:sz w:val="22"/>
          <w:szCs w:val="22"/>
        </w:rPr>
        <w:t xml:space="preserve">Platform Subscription is separate from client billing. It summarizes firm purchases from AssureOne Technologies LLC and lists the purchase, date, status, amount, and payment-card summary for each invoice.</w:t>
      </w:r>
    </w:p>
    <w:p>
      <w:pPr>
        <w:spacing w:after="90"/>
        <w:ind w:left="403"/>
      </w:pPr>
      <w:r>
        <w:rPr>
          <w:b/>
          <w:bCs/>
          <w:color w:val="4735BE"/>
          <w:sz w:val="18"/>
          <w:szCs w:val="18"/>
        </w:rPr>
        <w:t xml:space="preserve">More   </w:t>
      </w:r>
      <w:r>
        <w:rPr>
          <w:sz w:val="22"/>
          <w:szCs w:val="22"/>
        </w:rPr>
        <w:t xml:space="preserve">Use the status and date filters to find the AssureOne purchase being reconciled, then Preview before downloading so the amount, payment method, and purchasing entity are correct. Store the downloaded invoice or receipt according to the firm's accounts-payable process rather than with a client's billing documents.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Platform Subscription.</w:t>
      </w:r>
    </w:p>
    <w:p>
      <w:pPr>
        <w:pStyle w:val="ListParagraph"/>
        <w:numPr>
          <w:ilvl w:val="0"/>
          <w:numId w:val="2"/>
        </w:numPr>
        <w:spacing w:after="40"/>
        <w:ind w:left="892"/>
      </w:pPr>
      <w:r>
        <w:rPr>
          <w:sz w:val="21"/>
          <w:szCs w:val="21"/>
        </w:rPr>
        <w:t xml:space="preserve">Filter the purchase invoices by status or transaction date.</w:t>
      </w:r>
    </w:p>
    <w:p>
      <w:pPr>
        <w:pStyle w:val="ListParagraph"/>
        <w:numPr>
          <w:ilvl w:val="0"/>
          <w:numId w:val="2"/>
        </w:numPr>
        <w:spacing w:after="40"/>
        <w:ind w:left="892"/>
      </w:pPr>
      <w:r>
        <w:rPr>
          <w:sz w:val="21"/>
          <w:szCs w:val="21"/>
        </w:rPr>
        <w:t xml:space="preserve">Select Preview for an on-screen invoice review.</w:t>
      </w:r>
    </w:p>
    <w:p>
      <w:pPr>
        <w:pStyle w:val="ListParagraph"/>
        <w:numPr>
          <w:ilvl w:val="0"/>
          <w:numId w:val="2"/>
        </w:numPr>
        <w:spacing w:after="40"/>
        <w:ind w:left="892"/>
      </w:pPr>
      <w:r>
        <w:rPr>
          <w:sz w:val="21"/>
          <w:szCs w:val="21"/>
        </w:rPr>
        <w:t xml:space="preserve">Select Download to save the invoice or receipt for the firm's records.</w:t>
      </w:r>
    </w:p>
    <w:p>
      <w:pPr>
        <w:spacing w:after="40" w:before="70"/>
        <w:ind w:left="403"/>
      </w:pPr>
      <w:r>
        <w:rPr>
          <w:color w:val="8B8FA3"/>
          <w:sz w:val="17"/>
          <w:szCs w:val="17"/>
        </w:rPr>
        <w:t xml:space="preserve">Ref: pro-how-do-i-review-assureone-platform-purchases-and-receipts-111</w:t>
      </w:r>
    </w:p>
    <w:p>
      <w:pPr>
        <w:keepNext/>
        <w:spacing w:after="90" w:before="220"/>
      </w:pPr>
      <w:r>
        <w:rPr>
          <w:b/>
          <w:bCs/>
          <w:color w:val="1A1C2E"/>
          <w:sz w:val="24"/>
          <w:szCs w:val="24"/>
        </w:rPr>
        <w:t xml:space="preserve">20.   What payment and accounting connections are available?</w:t>
      </w:r>
    </w:p>
    <w:p>
      <w:pPr>
        <w:spacing w:after="90"/>
        <w:ind w:left="403"/>
      </w:pPr>
      <w:r>
        <w:rPr>
          <w:sz w:val="22"/>
          <w:szCs w:val="22"/>
        </w:rPr>
        <w:t xml:space="preserve">The Integrations screen provides a payment-processor connection for client payments and a QuickBooks Online connection so paid AssurePro invoices can sync into accounting. Billing &amp; Payments points administrators to Integrations for payout-account management.</w:t>
      </w:r>
    </w:p>
    <w:p>
      <w:pPr>
        <w:spacing w:after="90"/>
        <w:ind w:left="403"/>
      </w:pPr>
      <w:r>
        <w:rPr>
          <w:b/>
          <w:bCs/>
          <w:color w:val="4735BE"/>
          <w:sz w:val="18"/>
          <w:szCs w:val="18"/>
        </w:rPr>
        <w:t xml:space="preserve">More   </w:t>
      </w:r>
      <w:r>
        <w:rPr>
          <w:sz w:val="22"/>
          <w:szCs w:val="22"/>
        </w:rPr>
        <w:t xml:space="preserve">The payment connection receives client payments and supports payout management; QuickBooks Online receives paid-invoice information for accounting. Test each connection with a controlled transaction or record, then verify both the AssurePro invoice and the external system before relying on the integration for month-end reconciliation.</w:t>
      </w:r>
    </w:p>
    <w:p>
      <w:pPr>
        <w:spacing w:after="40" w:before="70"/>
        <w:ind w:left="403"/>
      </w:pPr>
      <w:r>
        <w:rPr>
          <w:color w:val="8B8FA3"/>
          <w:sz w:val="17"/>
          <w:szCs w:val="17"/>
        </w:rPr>
        <w:t xml:space="preserve">Ref: pro-what-payment-and-accounting-connections-are-available-112</w:t>
      </w:r>
    </w:p>
    <w:p>
      <w:pPr>
        <w:keepNext/>
        <w:spacing w:after="90" w:before="220"/>
      </w:pPr>
      <w:r>
        <w:rPr>
          <w:b/>
          <w:bCs/>
          <w:color w:val="1A1C2E"/>
          <w:sz w:val="24"/>
          <w:szCs w:val="24"/>
        </w:rPr>
        <w:t xml:space="preserve">21.   Does AssurePro include referral tracking?</w:t>
      </w:r>
    </w:p>
    <w:p>
      <w:pPr>
        <w:spacing w:after="90"/>
        <w:ind w:left="403"/>
      </w:pPr>
      <w:r>
        <w:rPr>
          <w:sz w:val="22"/>
          <w:szCs w:val="22"/>
        </w:rPr>
        <w:t xml:space="preserve">Yes. Billing includes a Referrals tab for MyCPEOne referrals. It supports bulk import and individual referral, and tracks referred clients, active or paying referrals, monthly commission, lifetime earnings, engagement, status, total paid, commission rate, accrued commission, and pending payout.</w:t>
      </w:r>
    </w:p>
    <w:p>
      <w:pPr>
        <w:spacing w:after="90"/>
        <w:ind w:left="403"/>
      </w:pPr>
      <w:r>
        <w:rPr>
          <w:b/>
          <w:bCs/>
          <w:color w:val="4735BE"/>
          <w:sz w:val="18"/>
          <w:szCs w:val="18"/>
        </w:rPr>
        <w:t xml:space="preserve">More   </w:t>
      </w:r>
      <w:r>
        <w:rPr>
          <w:sz w:val="22"/>
          <w:szCs w:val="22"/>
        </w:rPr>
        <w:t xml:space="preserve">For example, refer a client to MyCPEOne, associate the client engagement connected to the referral, and monitor whether the referral becomes active or paying. The dashboard then separates monthly commission, lifetime earned, accrued commission, and pending payout so the firm can distinguish performance from cash already received.</w:t>
      </w:r>
    </w:p>
    <w:p>
      <w:pPr>
        <w:spacing w:after="40" w:before="70"/>
        <w:ind w:left="403"/>
      </w:pPr>
      <w:r>
        <w:rPr>
          <w:color w:val="8B8FA3"/>
          <w:sz w:val="17"/>
          <w:szCs w:val="17"/>
        </w:rPr>
        <w:t xml:space="preserve">Ref: pro-does-assurepro-include-referral-tracking-113</w:t>
      </w:r>
    </w:p>
    <w:p>
      <w:pPr>
        <w:keepNext/>
        <w:spacing w:after="90" w:before="220"/>
      </w:pPr>
      <w:r>
        <w:rPr>
          <w:b/>
          <w:bCs/>
          <w:color w:val="1A1C2E"/>
          <w:sz w:val="24"/>
          <w:szCs w:val="24"/>
        </w:rPr>
        <w:t xml:space="preserve">22.   How do I refer a client to MyCPEOne?</w:t>
      </w:r>
    </w:p>
    <w:p>
      <w:pPr>
        <w:spacing w:after="90"/>
        <w:ind w:left="403"/>
      </w:pPr>
      <w:r>
        <w:rPr>
          <w:sz w:val="22"/>
          <w:szCs w:val="22"/>
        </w:rPr>
        <w:t xml:space="preserve">Create a MyCPEOne referral from Billing &gt; Referrals. The referral can use an existing AssurePro client or a new referral contact, and the submitted record remains available for status and commission tracking.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Billing and choose Referrals.</w:t>
      </w:r>
    </w:p>
    <w:p>
      <w:pPr>
        <w:pStyle w:val="ListParagraph"/>
        <w:numPr>
          <w:ilvl w:val="0"/>
          <w:numId w:val="2"/>
        </w:numPr>
        <w:spacing w:after="40"/>
        <w:ind w:left="892"/>
      </w:pPr>
      <w:r>
        <w:rPr>
          <w:sz w:val="21"/>
          <w:szCs w:val="21"/>
        </w:rPr>
        <w:t xml:space="preserve">Select Refer a client.</w:t>
      </w:r>
    </w:p>
    <w:p>
      <w:pPr>
        <w:pStyle w:val="ListParagraph"/>
        <w:numPr>
          <w:ilvl w:val="0"/>
          <w:numId w:val="2"/>
        </w:numPr>
        <w:spacing w:after="40"/>
        <w:ind w:left="892"/>
      </w:pPr>
      <w:r>
        <w:rPr>
          <w:sz w:val="21"/>
          <w:szCs w:val="21"/>
        </w:rPr>
        <w:t xml:space="preserve">Choose New client or From my clients.</w:t>
      </w:r>
    </w:p>
    <w:p>
      <w:pPr>
        <w:pStyle w:val="ListParagraph"/>
        <w:numPr>
          <w:ilvl w:val="0"/>
          <w:numId w:val="2"/>
        </w:numPr>
        <w:spacing w:after="40"/>
        <w:ind w:left="892"/>
      </w:pPr>
      <w:r>
        <w:rPr>
          <w:sz w:val="21"/>
          <w:szCs w:val="21"/>
        </w:rPr>
        <w:t xml:space="preserve">Enter the required client name, entity type, contact email, and service line.</w:t>
      </w:r>
    </w:p>
    <w:p>
      <w:pPr>
        <w:pStyle w:val="ListParagraph"/>
        <w:numPr>
          <w:ilvl w:val="0"/>
          <w:numId w:val="2"/>
        </w:numPr>
        <w:spacing w:after="40"/>
        <w:ind w:left="892"/>
      </w:pPr>
      <w:r>
        <w:rPr>
          <w:sz w:val="21"/>
          <w:szCs w:val="21"/>
        </w:rPr>
        <w:t xml:space="preserve">Add contact name, phone, address, ZIP code, requested services, or notes when useful.</w:t>
      </w:r>
    </w:p>
    <w:p>
      <w:pPr>
        <w:pStyle w:val="ListParagraph"/>
        <w:numPr>
          <w:ilvl w:val="0"/>
          <w:numId w:val="2"/>
        </w:numPr>
        <w:spacing w:after="40"/>
        <w:ind w:left="892"/>
      </w:pPr>
      <w:r>
        <w:rPr>
          <w:sz w:val="21"/>
          <w:szCs w:val="21"/>
        </w:rPr>
        <w:t xml:space="preserve">Review the details and submit the referral. MyCPEOne then sends the portal invitation, and the referral remains visible for commission tracking.</w:t>
      </w:r>
    </w:p>
    <w:p>
      <w:pPr>
        <w:spacing w:after="40" w:before="70"/>
        <w:ind w:left="403"/>
      </w:pPr>
      <w:r>
        <w:rPr>
          <w:color w:val="8B8FA3"/>
          <w:sz w:val="17"/>
          <w:szCs w:val="17"/>
        </w:rPr>
        <w:t xml:space="preserve">Ref: pro-how-do-i-refer-a-client-to-mycpeone-114</w:t>
      </w:r>
    </w:p>
    <w:p>
      <w:r>
        <w:br w:type="page"/>
      </w:r>
    </w:p>
    <w:p>
      <w:pPr>
        <w:pStyle w:val="Heading1"/>
        <w:spacing w:after="40" w:before="60"/>
      </w:pPr>
      <w:r>
        <w:rPr>
          <w:b/>
          <w:bCs/>
          <w:color w:val="1A1C2E"/>
          <w:sz w:val="32"/>
          <w:szCs w:val="32"/>
        </w:rPr>
        <w:t xml:space="preserve">Communications</w:t>
      </w:r>
    </w:p>
    <w:p>
      <w:pPr>
        <w:pBdr>
          <w:bottom w:val="single" w:color="E4E2F0" w:sz="4"/>
        </w:pBdr>
        <w:spacing w:after="200"/>
      </w:pPr>
      <w:r>
        <w:rPr>
          <w:color w:val="8B8FA3"/>
          <w:sz w:val="20"/>
          <w:szCs w:val="20"/>
        </w:rPr>
        <w:t xml:space="preserve">16 questions</w:t>
      </w:r>
    </w:p>
    <w:p>
      <w:pPr>
        <w:keepNext/>
        <w:spacing w:after="90" w:before="220"/>
      </w:pPr>
      <w:r>
        <w:rPr>
          <w:b/>
          <w:bCs/>
          <w:color w:val="1A1C2E"/>
          <w:sz w:val="24"/>
          <w:szCs w:val="24"/>
        </w:rPr>
        <w:t xml:space="preserve">1.   Which communication channels are available?</w:t>
      </w:r>
    </w:p>
    <w:p>
      <w:pPr>
        <w:spacing w:after="60"/>
        <w:ind w:left="403"/>
      </w:pPr>
      <w:r>
        <w:rPr>
          <w:sz w:val="22"/>
          <w:szCs w:val="22"/>
        </w:rPr>
        <w:t xml:space="preserve">Communications brings together client portal chat, email, SMS, calls, and internal team chat. Portal chat stays within the client experience, email uses the firm's connected email service, SMS uses the firm's connected Twilio number, calls can be recorded with the client communication history, and team chat supports internal discussion. Use the shared Communications area for a cross-client inbox or the client's Communications tab when the conversation should begin with that client already selected.</w:t>
      </w:r>
    </w:p>
    <w:p>
      <w:pPr>
        <w:spacing w:after="40" w:before="70"/>
        <w:ind w:left="403"/>
      </w:pPr>
      <w:r>
        <w:rPr>
          <w:color w:val="8B8FA3"/>
          <w:sz w:val="17"/>
          <w:szCs w:val="17"/>
        </w:rPr>
        <w:t xml:space="preserve">Ref: pro-which-communication-channels-are-available-115</w:t>
      </w:r>
    </w:p>
    <w:p>
      <w:pPr>
        <w:keepNext/>
        <w:spacing w:after="90" w:before="220"/>
      </w:pPr>
      <w:r>
        <w:rPr>
          <w:b/>
          <w:bCs/>
          <w:color w:val="1A1C2E"/>
          <w:sz w:val="24"/>
          <w:szCs w:val="24"/>
        </w:rPr>
        <w:t xml:space="preserve">2.   How do I start a client conversation?</w:t>
      </w:r>
    </w:p>
    <w:p>
      <w:pPr>
        <w:spacing w:after="90"/>
        <w:ind w:left="403"/>
      </w:pPr>
      <w:r>
        <w:rPr>
          <w:sz w:val="22"/>
          <w:szCs w:val="22"/>
        </w:rPr>
        <w:t xml:space="preserve">Start a client conversation from Communications to choose the client and channel, or open the client's Communications tab to begin with that client already selected. The conversation remains in the shared inbox and the client workspace for follow-up.</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Communications and choose the required channel, or open the client's Communications tab.</w:t>
      </w:r>
    </w:p>
    <w:p>
      <w:pPr>
        <w:pStyle w:val="ListParagraph"/>
        <w:numPr>
          <w:ilvl w:val="0"/>
          <w:numId w:val="2"/>
        </w:numPr>
        <w:spacing w:after="40"/>
        <w:ind w:left="892"/>
      </w:pPr>
      <w:r>
        <w:rPr>
          <w:sz w:val="21"/>
          <w:szCs w:val="21"/>
        </w:rPr>
        <w:t xml:space="preserve">Select New Conversation.</w:t>
      </w:r>
    </w:p>
    <w:p>
      <w:pPr>
        <w:pStyle w:val="ListParagraph"/>
        <w:numPr>
          <w:ilvl w:val="0"/>
          <w:numId w:val="2"/>
        </w:numPr>
        <w:spacing w:after="40"/>
        <w:ind w:left="892"/>
      </w:pPr>
      <w:r>
        <w:rPr>
          <w:sz w:val="21"/>
          <w:szCs w:val="21"/>
        </w:rPr>
        <w:t xml:space="preserve">Choose the client and channel.</w:t>
      </w:r>
    </w:p>
    <w:p>
      <w:pPr>
        <w:pStyle w:val="ListParagraph"/>
        <w:numPr>
          <w:ilvl w:val="0"/>
          <w:numId w:val="2"/>
        </w:numPr>
        <w:spacing w:after="40"/>
        <w:ind w:left="892"/>
      </w:pPr>
      <w:r>
        <w:rPr>
          <w:sz w:val="21"/>
          <w:szCs w:val="21"/>
        </w:rPr>
        <w:t xml:space="preserve">For email, enter the recipients, subject, and message. For portal chat or SMS, confirm the client contact and enter the message.</w:t>
      </w:r>
    </w:p>
    <w:p>
      <w:pPr>
        <w:pStyle w:val="ListParagraph"/>
        <w:numPr>
          <w:ilvl w:val="0"/>
          <w:numId w:val="2"/>
        </w:numPr>
        <w:spacing w:after="40"/>
        <w:ind w:left="892"/>
      </w:pPr>
      <w:r>
        <w:rPr>
          <w:sz w:val="21"/>
          <w:szCs w:val="21"/>
        </w:rPr>
        <w:t xml:space="preserve">Review and send the conversation.</w:t>
      </w:r>
    </w:p>
    <w:p>
      <w:pPr>
        <w:pStyle w:val="ListParagraph"/>
        <w:numPr>
          <w:ilvl w:val="0"/>
          <w:numId w:val="2"/>
        </w:numPr>
        <w:spacing w:after="40"/>
        <w:ind w:left="892"/>
      </w:pPr>
      <w:r>
        <w:rPr>
          <w:sz w:val="21"/>
          <w:szCs w:val="21"/>
        </w:rPr>
        <w:t xml:space="preserve">Use the shared inbox to monitor its response and handling status.</w:t>
      </w:r>
    </w:p>
    <w:p>
      <w:pPr>
        <w:spacing w:after="40" w:before="70"/>
        <w:ind w:left="403"/>
      </w:pPr>
      <w:r>
        <w:rPr>
          <w:color w:val="8B8FA3"/>
          <w:sz w:val="17"/>
          <w:szCs w:val="17"/>
        </w:rPr>
        <w:t xml:space="preserve">Ref: pro-how-do-i-start-a-client-conversation-116</w:t>
      </w:r>
    </w:p>
    <w:p>
      <w:pPr>
        <w:keepNext/>
        <w:spacing w:after="90" w:before="220"/>
      </w:pPr>
      <w:r>
        <w:rPr>
          <w:b/>
          <w:bCs/>
          <w:color w:val="1A1C2E"/>
          <w:sz w:val="24"/>
          <w:szCs w:val="24"/>
        </w:rPr>
        <w:t xml:space="preserve">3.   What is the difference between portal chat and SMS?</w:t>
      </w:r>
    </w:p>
    <w:p>
      <w:pPr>
        <w:spacing w:after="90"/>
        <w:ind w:left="403"/>
      </w:pPr>
      <w:r>
        <w:rPr>
          <w:sz w:val="22"/>
          <w:szCs w:val="22"/>
        </w:rPr>
        <w:t xml:space="preserve">Portal chat is read and answered by the client user inside the client experience. SMS is delivered to the client's mobile number from the firm's connected Twilio number. Authorized firm users can review both channels in Communications and from the client workspace, but the client receives and responds through a different channel in each case.</w:t>
      </w:r>
    </w:p>
    <w:p>
      <w:pPr>
        <w:spacing w:after="90"/>
        <w:ind w:left="403"/>
      </w:pPr>
      <w:r>
        <w:rPr>
          <w:b/>
          <w:bCs/>
          <w:color w:val="4735BE"/>
          <w:sz w:val="18"/>
          <w:szCs w:val="18"/>
        </w:rPr>
        <w:t xml:space="preserve">More   </w:t>
      </w:r>
      <w:r>
        <w:rPr>
          <w:sz w:val="22"/>
          <w:szCs w:val="22"/>
        </w:rPr>
        <w:t xml:space="preserve">Use portal chat for secure ongoing conversation with a client who has activated portal access; use SMS for short, time-sensitive outreach to the client's mobile number. SMS requires Twilio, an enabled firm number, and applicable A2P registration, while portal chat depends on the client's AssurePro access rather than a carrier network.</w:t>
      </w:r>
    </w:p>
    <w:p>
      <w:pPr>
        <w:spacing w:after="40" w:before="70"/>
        <w:ind w:left="403"/>
      </w:pPr>
      <w:r>
        <w:rPr>
          <w:color w:val="8B8FA3"/>
          <w:sz w:val="17"/>
          <w:szCs w:val="17"/>
        </w:rPr>
        <w:t xml:space="preserve">Ref: pro-what-is-the-difference-between-portal-chat-and-sms-117</w:t>
      </w:r>
    </w:p>
    <w:p>
      <w:pPr>
        <w:keepNext/>
        <w:spacing w:after="90" w:before="220"/>
      </w:pPr>
      <w:r>
        <w:rPr>
          <w:b/>
          <w:bCs/>
          <w:color w:val="1A1C2E"/>
          <w:sz w:val="24"/>
          <w:szCs w:val="24"/>
        </w:rPr>
        <w:t xml:space="preserve">4.   How can the communications inbox be organized?</w:t>
      </w:r>
    </w:p>
    <w:p>
      <w:pPr>
        <w:spacing w:after="90"/>
        <w:ind w:left="403"/>
      </w:pPr>
      <w:r>
        <w:rPr>
          <w:sz w:val="22"/>
          <w:szCs w:val="22"/>
        </w:rPr>
        <w:t xml:space="preserve">Choose the required channel, then narrow the inbox to All, Unread, Assigned to me, or Resolved. Use Unread for new activity, Assigned to me for the signed-in firm user's queue, and Resolved for completed threads. Labels such as Awaiting Reply, Needs Action, and FYI identify the expected next step so firm users can separate required client follow-up from informational messages.</w:t>
      </w:r>
    </w:p>
    <w:p>
      <w:pPr>
        <w:spacing w:after="90"/>
        <w:ind w:left="403"/>
      </w:pPr>
      <w:r>
        <w:rPr>
          <w:b/>
          <w:bCs/>
          <w:color w:val="4735BE"/>
          <w:sz w:val="18"/>
          <w:szCs w:val="18"/>
        </w:rPr>
        <w:t xml:space="preserve">More   </w:t>
      </w:r>
      <w:r>
        <w:rPr>
          <w:sz w:val="22"/>
          <w:szCs w:val="22"/>
        </w:rPr>
        <w:t xml:space="preserve">A useful routine is to start with Assigned to me, handle Needs Action, send any required reply, and resolve the thread when no further work remains. Use Awaiting Reply for conversations where the next move belongs to the client and FYI for messages that should be read but do not require a response.</w:t>
      </w:r>
    </w:p>
    <w:p>
      <w:pPr>
        <w:spacing w:after="40" w:before="70"/>
        <w:ind w:left="403"/>
      </w:pPr>
      <w:r>
        <w:rPr>
          <w:color w:val="8B8FA3"/>
          <w:sz w:val="17"/>
          <w:szCs w:val="17"/>
        </w:rPr>
        <w:t xml:space="preserve">Ref: pro-how-can-the-communications-inbox-be-organized-118</w:t>
      </w:r>
    </w:p>
    <w:p>
      <w:pPr>
        <w:keepNext/>
        <w:spacing w:after="90" w:before="220"/>
      </w:pPr>
      <w:r>
        <w:rPr>
          <w:b/>
          <w:bCs/>
          <w:color w:val="1A1C2E"/>
          <w:sz w:val="24"/>
          <w:szCs w:val="24"/>
        </w:rPr>
        <w:t xml:space="preserve">5.   Can client-facing emails be standardized?</w:t>
      </w:r>
    </w:p>
    <w:p>
      <w:pPr>
        <w:spacing w:after="90"/>
        <w:ind w:left="403"/>
      </w:pPr>
      <w:r>
        <w:rPr>
          <w:sz w:val="22"/>
          <w:szCs w:val="22"/>
        </w:rPr>
        <w:t xml:space="preserve">Yes. Email Templates centralizes the automated messages AssurePro sends on the firm's behalf. Templates are grouped by Billing, Tax &amp; intake, Documents, E-sign, Client portal, and Internal alerts. Each template identifies its trigger and provides the content fields that the firm can edit, such as the subject, heading, introduction, body, button label, or footer.</w:t>
      </w:r>
    </w:p>
    <w:p>
      <w:pPr>
        <w:spacing w:after="90"/>
        <w:ind w:left="403"/>
      </w:pPr>
      <w:r>
        <w:rPr>
          <w:b/>
          <w:bCs/>
          <w:color w:val="4735BE"/>
          <w:sz w:val="18"/>
          <w:szCs w:val="18"/>
        </w:rPr>
        <w:t xml:space="preserve">More   </w:t>
      </w:r>
      <w:r>
        <w:rPr>
          <w:sz w:val="22"/>
          <w:szCs w:val="22"/>
        </w:rPr>
        <w:t xml:space="preserve">For example, a billing template can explain that an invoice is ready, a document template can request an upload, and an e-sign template can prompt review. Each automated template shows its trigger; administrators can edit the available subject, heading, body, call-to-action label, and footer without changing unrelated template groups.</w:t>
      </w:r>
    </w:p>
    <w:p>
      <w:pPr>
        <w:spacing w:after="40" w:before="70"/>
        <w:ind w:left="403"/>
      </w:pPr>
      <w:r>
        <w:rPr>
          <w:color w:val="8B8FA3"/>
          <w:sz w:val="17"/>
          <w:szCs w:val="17"/>
        </w:rPr>
        <w:t xml:space="preserve">Ref: pro-can-client-facing-emails-be-standardized-119</w:t>
      </w:r>
    </w:p>
    <w:p>
      <w:pPr>
        <w:keepNext/>
        <w:spacing w:after="90" w:before="220"/>
      </w:pPr>
      <w:r>
        <w:rPr>
          <w:b/>
          <w:bCs/>
          <w:color w:val="1A1C2E"/>
          <w:sz w:val="24"/>
          <w:szCs w:val="24"/>
        </w:rPr>
        <w:t xml:space="preserve">6.   How do I edit and test an automated email template?</w:t>
      </w:r>
    </w:p>
    <w:p>
      <w:pPr>
        <w:spacing w:after="90"/>
        <w:ind w:left="403"/>
      </w:pPr>
      <w:r>
        <w:rPr>
          <w:sz w:val="22"/>
          <w:szCs w:val="22"/>
        </w:rPr>
        <w:t xml:space="preserve">The editor supports placeholders, rich-text controls, desktop and mobile preview widths, and a test-send action. Edited templates are marked so administrators can find customized wording.</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Email Templates.</w:t>
      </w:r>
    </w:p>
    <w:p>
      <w:pPr>
        <w:pStyle w:val="ListParagraph"/>
        <w:numPr>
          <w:ilvl w:val="0"/>
          <w:numId w:val="2"/>
        </w:numPr>
        <w:spacing w:after="40"/>
        <w:ind w:left="892"/>
      </w:pPr>
      <w:r>
        <w:rPr>
          <w:sz w:val="21"/>
          <w:szCs w:val="21"/>
        </w:rPr>
        <w:t xml:space="preserve">Search for the email or select it from its functional group.</w:t>
      </w:r>
    </w:p>
    <w:p>
      <w:pPr>
        <w:pStyle w:val="ListParagraph"/>
        <w:numPr>
          <w:ilvl w:val="0"/>
          <w:numId w:val="2"/>
        </w:numPr>
        <w:spacing w:after="40"/>
        <w:ind w:left="892"/>
      </w:pPr>
      <w:r>
        <w:rPr>
          <w:sz w:val="21"/>
          <w:szCs w:val="21"/>
        </w:rPr>
        <w:t xml:space="preserve">Edit the subject and the available message sections, inserting supported placeholders with the { } control.</w:t>
      </w:r>
    </w:p>
    <w:p>
      <w:pPr>
        <w:pStyle w:val="ListParagraph"/>
        <w:numPr>
          <w:ilvl w:val="0"/>
          <w:numId w:val="2"/>
        </w:numPr>
        <w:spacing w:after="40"/>
        <w:ind w:left="892"/>
      </w:pPr>
      <w:r>
        <w:rPr>
          <w:sz w:val="21"/>
          <w:szCs w:val="21"/>
        </w:rPr>
        <w:t xml:space="preserve">Review the desktop and mobile previews.</w:t>
      </w:r>
    </w:p>
    <w:p>
      <w:pPr>
        <w:pStyle w:val="ListParagraph"/>
        <w:numPr>
          <w:ilvl w:val="0"/>
          <w:numId w:val="2"/>
        </w:numPr>
        <w:spacing w:after="40"/>
        <w:ind w:left="892"/>
      </w:pPr>
      <w:r>
        <w:rPr>
          <w:sz w:val="21"/>
          <w:szCs w:val="21"/>
        </w:rPr>
        <w:t xml:space="preserve">Use Send test to me to inspect the current on-screen wording.</w:t>
      </w:r>
    </w:p>
    <w:p>
      <w:pPr>
        <w:pStyle w:val="ListParagraph"/>
        <w:numPr>
          <w:ilvl w:val="0"/>
          <w:numId w:val="2"/>
        </w:numPr>
        <w:spacing w:after="40"/>
        <w:ind w:left="892"/>
      </w:pPr>
      <w:r>
        <w:rPr>
          <w:sz w:val="21"/>
          <w:szCs w:val="21"/>
        </w:rPr>
        <w:t xml:space="preserve">Save the final version and confirm it appears under the Edited filter.</w:t>
      </w:r>
    </w:p>
    <w:p>
      <w:pPr>
        <w:spacing w:after="40" w:before="70"/>
        <w:ind w:left="403"/>
      </w:pPr>
      <w:r>
        <w:rPr>
          <w:color w:val="8B8FA3"/>
          <w:sz w:val="17"/>
          <w:szCs w:val="17"/>
        </w:rPr>
        <w:t xml:space="preserve">Ref: pro-how-do-i-edit-and-test-an-automated-email-template-120</w:t>
      </w:r>
    </w:p>
    <w:p>
      <w:pPr>
        <w:keepNext/>
        <w:spacing w:after="90" w:before="220"/>
      </w:pPr>
      <w:r>
        <w:rPr>
          <w:b/>
          <w:bCs/>
          <w:color w:val="1A1C2E"/>
          <w:sz w:val="24"/>
          <w:szCs w:val="24"/>
        </w:rPr>
        <w:t xml:space="preserve">7.   Can administrators audit automated email delivery?</w:t>
      </w:r>
    </w:p>
    <w:p>
      <w:pPr>
        <w:spacing w:after="90"/>
        <w:ind w:left="403"/>
      </w:pPr>
      <w:r>
        <w:rPr>
          <w:sz w:val="22"/>
          <w:szCs w:val="22"/>
        </w:rPr>
        <w:t xml:space="preserve">Yes. Email Log records sent time, status, recipient, client, subject, type, and a delivery error when one is returned. It can be searched by recipient or subject and filtered by All, Sent, Failed, or Not sent. Verification codes and temporary-password emails are intentionally excluded.</w:t>
      </w:r>
    </w:p>
    <w:p>
      <w:pPr>
        <w:spacing w:after="90"/>
        <w:ind w:left="403"/>
      </w:pPr>
      <w:r>
        <w:rPr>
          <w:b/>
          <w:bCs/>
          <w:color w:val="4735BE"/>
          <w:sz w:val="18"/>
          <w:szCs w:val="18"/>
        </w:rPr>
        <w:t xml:space="preserve">More   </w:t>
      </w:r>
      <w:r>
        <w:rPr>
          <w:sz w:val="22"/>
          <w:szCs w:val="22"/>
        </w:rPr>
        <w:t xml:space="preserve">Use Sent to confirm successful delivery attempts and Failed or Not sent to find exceptions. Search by recipient or subject, then review the timestamp, client, template type, and returned error; this is more reliable for automated notices than relying on a firm user's sent-mail folder.</w:t>
      </w:r>
    </w:p>
    <w:p>
      <w:pPr>
        <w:spacing w:after="40" w:before="70"/>
        <w:ind w:left="403"/>
      </w:pPr>
      <w:r>
        <w:rPr>
          <w:color w:val="8B8FA3"/>
          <w:sz w:val="17"/>
          <w:szCs w:val="17"/>
        </w:rPr>
        <w:t xml:space="preserve">Ref: pro-can-administrators-audit-automated-email-delivery-121</w:t>
      </w:r>
    </w:p>
    <w:p>
      <w:pPr>
        <w:keepNext/>
        <w:spacing w:after="90" w:before="220"/>
      </w:pPr>
      <w:r>
        <w:rPr>
          <w:b/>
          <w:bCs/>
          <w:color w:val="1A1C2E"/>
          <w:sz w:val="24"/>
          <w:szCs w:val="24"/>
        </w:rPr>
        <w:t xml:space="preserve">8.   How do I investigate an email that was not delivered?</w:t>
      </w:r>
    </w:p>
    <w:p>
      <w:pPr>
        <w:spacing w:after="90"/>
        <w:ind w:left="403"/>
      </w:pPr>
      <w:r>
        <w:rPr>
          <w:sz w:val="22"/>
          <w:szCs w:val="22"/>
        </w:rPr>
        <w:t xml:space="preserve">Open Settings &gt; Email Log to check an automated AssurePro email. Search by recipient or subject, filter by Sent, Failed, or Not sent, and open the record to review the delivery status and any error returned.</w:t>
      </w:r>
    </w:p>
    <w:p>
      <w:pPr>
        <w:spacing w:after="90"/>
        <w:ind w:left="403"/>
      </w:pPr>
      <w:r>
        <w:rPr>
          <w:b/>
          <w:bCs/>
          <w:color w:val="4735BE"/>
          <w:sz w:val="18"/>
          <w:szCs w:val="18"/>
        </w:rPr>
        <w:t xml:space="preserve">More   </w:t>
      </w:r>
      <w:r>
        <w:rPr>
          <w:sz w:val="22"/>
          <w:szCs w:val="22"/>
        </w:rPr>
        <w:t xml:space="preserve">After correcting an address, connection, or template issue, return to the originating workflow—such as the portal invitation, invoice, document request, or signature request—and retry from there. Confirm the new attempt in Email Log instead of assuming the workflow succeeded because its button was selected.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Email Log.</w:t>
      </w:r>
    </w:p>
    <w:p>
      <w:pPr>
        <w:pStyle w:val="ListParagraph"/>
        <w:numPr>
          <w:ilvl w:val="0"/>
          <w:numId w:val="2"/>
        </w:numPr>
        <w:spacing w:after="40"/>
        <w:ind w:left="892"/>
      </w:pPr>
      <w:r>
        <w:rPr>
          <w:sz w:val="21"/>
          <w:szCs w:val="21"/>
        </w:rPr>
        <w:t xml:space="preserve">Search by recipient or subject.</w:t>
      </w:r>
    </w:p>
    <w:p>
      <w:pPr>
        <w:pStyle w:val="ListParagraph"/>
        <w:numPr>
          <w:ilvl w:val="0"/>
          <w:numId w:val="2"/>
        </w:numPr>
        <w:spacing w:after="40"/>
        <w:ind w:left="892"/>
      </w:pPr>
      <w:r>
        <w:rPr>
          <w:sz w:val="21"/>
          <w:szCs w:val="21"/>
        </w:rPr>
        <w:t xml:space="preserve">Filter to Failed or Not sent.</w:t>
      </w:r>
    </w:p>
    <w:p>
      <w:pPr>
        <w:pStyle w:val="ListParagraph"/>
        <w:numPr>
          <w:ilvl w:val="0"/>
          <w:numId w:val="2"/>
        </w:numPr>
        <w:spacing w:after="40"/>
        <w:ind w:left="892"/>
      </w:pPr>
      <w:r>
        <w:rPr>
          <w:sz w:val="21"/>
          <w:szCs w:val="21"/>
        </w:rPr>
        <w:t xml:space="preserve">Review the sent time, client, subject, message type, and any error text shown on the row.</w:t>
      </w:r>
    </w:p>
    <w:p>
      <w:pPr>
        <w:pStyle w:val="ListParagraph"/>
        <w:numPr>
          <w:ilvl w:val="0"/>
          <w:numId w:val="2"/>
        </w:numPr>
        <w:spacing w:after="40"/>
        <w:ind w:left="892"/>
      </w:pPr>
      <w:r>
        <w:rPr>
          <w:sz w:val="21"/>
          <w:szCs w:val="21"/>
        </w:rPr>
        <w:t xml:space="preserve">Correct the underlying address, connection, or template issue before retrying the associated workflow.</w:t>
      </w:r>
    </w:p>
    <w:p>
      <w:pPr>
        <w:spacing w:after="40" w:before="70"/>
        <w:ind w:left="403"/>
      </w:pPr>
      <w:r>
        <w:rPr>
          <w:color w:val="8B8FA3"/>
          <w:sz w:val="17"/>
          <w:szCs w:val="17"/>
        </w:rPr>
        <w:t xml:space="preserve">Ref: pro-how-do-i-investigate-an-email-that-was-not-delivered-122</w:t>
      </w:r>
    </w:p>
    <w:p>
      <w:pPr>
        <w:keepNext/>
        <w:spacing w:after="90" w:before="220"/>
      </w:pPr>
      <w:r>
        <w:rPr>
          <w:b/>
          <w:bCs/>
          <w:color w:val="1A1C2E"/>
          <w:sz w:val="24"/>
          <w:szCs w:val="24"/>
        </w:rPr>
        <w:t xml:space="preserve">9.   What reminders can be automated?</w:t>
      </w:r>
    </w:p>
    <w:p>
      <w:pPr>
        <w:spacing w:after="90"/>
        <w:ind w:left="403"/>
      </w:pPr>
      <w:r>
        <w:rPr>
          <w:sz w:val="22"/>
          <w:szCs w:val="22"/>
        </w:rPr>
        <w:t xml:space="preserve">Reminders can send automated follow-up messages for outstanding document requests, unanswered messages, tax organizers, and signature requests. Each reminder type has its own on/off control and schedule for the initial delay, repeat interval, and total number of reminders.</w:t>
      </w:r>
    </w:p>
    <w:p>
      <w:pPr>
        <w:spacing w:after="90"/>
        <w:ind w:left="403"/>
      </w:pPr>
      <w:r>
        <w:rPr>
          <w:b/>
          <w:bCs/>
          <w:color w:val="4735BE"/>
          <w:sz w:val="18"/>
          <w:szCs w:val="18"/>
        </w:rPr>
        <w:t xml:space="preserve">More   </w:t>
      </w:r>
      <w:r>
        <w:rPr>
          <w:sz w:val="22"/>
          <w:szCs w:val="22"/>
        </w:rPr>
        <w:t xml:space="preserve">Document requests nudge clients for missing files, Unanswered messages follow up on communications, Tax organizers prompt intake completion, and Signature requests follow up on unsigned packages. Each schedule has its own switch, initial delay, repeat cadence, and total reminders so a firm can avoid using one aggressive pattern for every client action.</w:t>
      </w:r>
    </w:p>
    <w:p>
      <w:pPr>
        <w:spacing w:after="40" w:before="70"/>
        <w:ind w:left="403"/>
      </w:pPr>
      <w:r>
        <w:rPr>
          <w:color w:val="8B8FA3"/>
          <w:sz w:val="17"/>
          <w:szCs w:val="17"/>
        </w:rPr>
        <w:t xml:space="preserve">Ref: pro-what-reminders-can-be-automated-123</w:t>
      </w:r>
    </w:p>
    <w:p>
      <w:pPr>
        <w:keepNext/>
        <w:spacing w:after="90" w:before="220"/>
      </w:pPr>
      <w:r>
        <w:rPr>
          <w:b/>
          <w:bCs/>
          <w:color w:val="1A1C2E"/>
          <w:sz w:val="24"/>
          <w:szCs w:val="24"/>
        </w:rPr>
        <w:t xml:space="preserve">10.   How do I change an automatic reminder schedule?</w:t>
      </w:r>
    </w:p>
    <w:p>
      <w:pPr>
        <w:spacing w:after="90"/>
        <w:ind w:left="403"/>
      </w:pPr>
      <w:r>
        <w:rPr>
          <w:sz w:val="22"/>
          <w:szCs w:val="22"/>
        </w:rPr>
        <w:t xml:space="preserve">Open Settings &gt; Reminders to configure document-request, unanswered-message, tax-organizer, and signature-request reminders separately. For each type, the firm can enable or disable reminders and set the first delay, repeat interval, and maximum number of reminders.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Reminders.</w:t>
      </w:r>
    </w:p>
    <w:p>
      <w:pPr>
        <w:pStyle w:val="ListParagraph"/>
        <w:numPr>
          <w:ilvl w:val="0"/>
          <w:numId w:val="2"/>
        </w:numPr>
        <w:spacing w:after="40"/>
        <w:ind w:left="892"/>
      </w:pPr>
      <w:r>
        <w:rPr>
          <w:sz w:val="21"/>
          <w:szCs w:val="21"/>
        </w:rPr>
        <w:t xml:space="preserve">Find Document requests, Unanswered messages, Tax organizers, or Signature requests.</w:t>
      </w:r>
    </w:p>
    <w:p>
      <w:pPr>
        <w:pStyle w:val="ListParagraph"/>
        <w:numPr>
          <w:ilvl w:val="0"/>
          <w:numId w:val="2"/>
        </w:numPr>
        <w:spacing w:after="40"/>
        <w:ind w:left="892"/>
      </w:pPr>
      <w:r>
        <w:rPr>
          <w:sz w:val="21"/>
          <w:szCs w:val="21"/>
        </w:rPr>
        <w:t xml:space="preserve">Use the switch to enable or disable that reminder type.</w:t>
      </w:r>
    </w:p>
    <w:p>
      <w:pPr>
        <w:pStyle w:val="ListParagraph"/>
        <w:numPr>
          <w:ilvl w:val="0"/>
          <w:numId w:val="2"/>
        </w:numPr>
        <w:spacing w:after="40"/>
        <w:ind w:left="892"/>
      </w:pPr>
      <w:r>
        <w:rPr>
          <w:sz w:val="21"/>
          <w:szCs w:val="21"/>
        </w:rPr>
        <w:t xml:space="preserve">Select Edit schedule and set the number of days before the first reminder, the number of days between later reminders, and the maximum number of reminders to send.</w:t>
      </w:r>
    </w:p>
    <w:p>
      <w:pPr>
        <w:pStyle w:val="ListParagraph"/>
        <w:numPr>
          <w:ilvl w:val="0"/>
          <w:numId w:val="2"/>
        </w:numPr>
        <w:spacing w:after="40"/>
        <w:ind w:left="892"/>
      </w:pPr>
      <w:r>
        <w:rPr>
          <w:sz w:val="21"/>
          <w:szCs w:val="21"/>
        </w:rPr>
        <w:t xml:space="preserve">Review the schedule summary shown on the reminder card.</w:t>
      </w:r>
    </w:p>
    <w:p>
      <w:pPr>
        <w:spacing w:after="40" w:before="70"/>
        <w:ind w:left="403"/>
      </w:pPr>
      <w:r>
        <w:rPr>
          <w:color w:val="8B8FA3"/>
          <w:sz w:val="17"/>
          <w:szCs w:val="17"/>
        </w:rPr>
        <w:t xml:space="preserve">Ref: pro-how-do-i-change-an-automatic-reminder-schedule-124</w:t>
      </w:r>
    </w:p>
    <w:p>
      <w:pPr>
        <w:keepNext/>
        <w:spacing w:after="90" w:before="220"/>
      </w:pPr>
      <w:r>
        <w:rPr>
          <w:b/>
          <w:bCs/>
          <w:color w:val="1A1C2E"/>
          <w:sz w:val="24"/>
          <w:szCs w:val="24"/>
        </w:rPr>
        <w:t xml:space="preserve">11.   Can AssurePro follow up when a client has not responded?</w:t>
      </w:r>
    </w:p>
    <w:p>
      <w:pPr>
        <w:spacing w:after="90"/>
        <w:ind w:left="403"/>
      </w:pPr>
      <w:r>
        <w:rPr>
          <w:sz w:val="22"/>
          <w:szCs w:val="22"/>
        </w:rPr>
        <w:t xml:space="preserve">Yes. AssurePro can send automated follow-up messages for outstanding document requests, unanswered messages, tax organizers, and signature requests. Firm administrators configure each reminder type separately so the timing and number of reminders match the firm's process.</w:t>
      </w:r>
    </w:p>
    <w:p>
      <w:pPr>
        <w:spacing w:after="90"/>
        <w:ind w:left="403"/>
      </w:pPr>
      <w:r>
        <w:rPr>
          <w:b/>
          <w:bCs/>
          <w:color w:val="4735BE"/>
          <w:sz w:val="18"/>
          <w:szCs w:val="18"/>
        </w:rPr>
        <w:t xml:space="preserve">More   </w:t>
      </w:r>
      <w:r>
        <w:rPr>
          <w:sz w:val="22"/>
          <w:szCs w:val="22"/>
        </w:rPr>
        <w:t xml:space="preserve">For example, enable document reminders for an outstanding upload and unanswered-message reminders for a conversation waiting on the client. Monitor the underlying request or thread as well: automated reminders reduce manual work, but a firm user should intervene when the sequence ends or the client explains a blocker.</w:t>
      </w:r>
    </w:p>
    <w:p>
      <w:pPr>
        <w:spacing w:after="40" w:before="70"/>
        <w:ind w:left="403"/>
      </w:pPr>
      <w:r>
        <w:rPr>
          <w:color w:val="8B8FA3"/>
          <w:sz w:val="17"/>
          <w:szCs w:val="17"/>
        </w:rPr>
        <w:t xml:space="preserve">Ref: pro-can-assurepro-follow-up-when-a-client-has-not-responded-125</w:t>
      </w:r>
    </w:p>
    <w:p>
      <w:pPr>
        <w:keepNext/>
        <w:spacing w:after="90" w:before="220"/>
      </w:pPr>
      <w:r>
        <w:rPr>
          <w:b/>
          <w:bCs/>
          <w:color w:val="1A1C2E"/>
          <w:sz w:val="24"/>
          <w:szCs w:val="24"/>
        </w:rPr>
        <w:t xml:space="preserve">12.   Can AssurePro send and receive client text messages?</w:t>
      </w:r>
    </w:p>
    <w:p>
      <w:pPr>
        <w:spacing w:after="90"/>
        <w:ind w:left="403"/>
      </w:pPr>
      <w:r>
        <w:rPr>
          <w:sz w:val="22"/>
          <w:szCs w:val="22"/>
        </w:rPr>
        <w:t xml:space="preserve">Yes, through a connected Twilio account. Phone Numbers lets the firm link an owned number or add a new one and shows whether it supports SMS, MMS, and Voice. It also exposes A2P 10DLC registration status because unregistered US carrier traffic may be filtered or blocked.</w:t>
      </w:r>
    </w:p>
    <w:p>
      <w:pPr>
        <w:spacing w:after="90"/>
        <w:ind w:left="403"/>
      </w:pPr>
      <w:r>
        <w:rPr>
          <w:b/>
          <w:bCs/>
          <w:color w:val="4735BE"/>
          <w:sz w:val="18"/>
          <w:szCs w:val="18"/>
        </w:rPr>
        <w:t xml:space="preserve">More   </w:t>
      </w:r>
      <w:r>
        <w:rPr>
          <w:sz w:val="22"/>
          <w:szCs w:val="22"/>
        </w:rPr>
        <w:t xml:space="preserve">After Twilio is connected, link or add the intended firm number in Phone Numbers and confirm its SMS, MMS, and Voice capabilities. Complete A2P 10DLC registration for US carrier traffic, send a controlled test, and then use SMS from Communications or the client workspace so replies remain visible to authorized firm users.</w:t>
      </w:r>
    </w:p>
    <w:p>
      <w:pPr>
        <w:spacing w:after="40" w:before="70"/>
        <w:ind w:left="403"/>
      </w:pPr>
      <w:r>
        <w:rPr>
          <w:color w:val="8B8FA3"/>
          <w:sz w:val="17"/>
          <w:szCs w:val="17"/>
        </w:rPr>
        <w:t xml:space="preserve">Ref: pro-can-assurepro-send-and-receive-client-text-messages-126</w:t>
      </w:r>
    </w:p>
    <w:p>
      <w:pPr>
        <w:keepNext/>
        <w:spacing w:after="90" w:before="220"/>
      </w:pPr>
      <w:r>
        <w:rPr>
          <w:b/>
          <w:bCs/>
          <w:color w:val="1A1C2E"/>
          <w:sz w:val="24"/>
          <w:szCs w:val="24"/>
        </w:rPr>
        <w:t xml:space="preserve">13.   How do I configure a firm phone number for SMS?</w:t>
      </w:r>
    </w:p>
    <w:p>
      <w:pPr>
        <w:spacing w:after="90"/>
        <w:ind w:left="403"/>
      </w:pPr>
      <w:r>
        <w:rPr>
          <w:sz w:val="22"/>
          <w:szCs w:val="22"/>
        </w:rPr>
        <w:t xml:space="preserve">Connect the firm's Twilio account in Settings &gt; Integrations, then open Phone Numbers to link an existing Twilio number or add a new number for client messaging. Confirm its SMS capability and A2P 10DLC registration status before using it for US carrier traffic.</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confirm Twilio is connected under Integrations.</w:t>
      </w:r>
    </w:p>
    <w:p>
      <w:pPr>
        <w:pStyle w:val="ListParagraph"/>
        <w:numPr>
          <w:ilvl w:val="0"/>
          <w:numId w:val="2"/>
        </w:numPr>
        <w:spacing w:after="40"/>
        <w:ind w:left="892"/>
      </w:pPr>
      <w:r>
        <w:rPr>
          <w:sz w:val="21"/>
          <w:szCs w:val="21"/>
        </w:rPr>
        <w:t xml:space="preserve">Choose Phone Numbers and select Add number.</w:t>
      </w:r>
    </w:p>
    <w:p>
      <w:pPr>
        <w:pStyle w:val="ListParagraph"/>
        <w:numPr>
          <w:ilvl w:val="0"/>
          <w:numId w:val="2"/>
        </w:numPr>
        <w:spacing w:after="40"/>
        <w:ind w:left="892"/>
      </w:pPr>
      <w:r>
        <w:rPr>
          <w:sz w:val="21"/>
          <w:szCs w:val="21"/>
        </w:rPr>
        <w:t xml:space="preserve">Link a number already owned in Twilio or follow the offered flow to add a new number.</w:t>
      </w:r>
    </w:p>
    <w:p>
      <w:pPr>
        <w:pStyle w:val="ListParagraph"/>
        <w:numPr>
          <w:ilvl w:val="0"/>
          <w:numId w:val="2"/>
        </w:numPr>
        <w:spacing w:after="40"/>
        <w:ind w:left="892"/>
      </w:pPr>
      <w:r>
        <w:rPr>
          <w:sz w:val="21"/>
          <w:szCs w:val="21"/>
        </w:rPr>
        <w:t xml:space="preserve">Confirm the number and its SMS or MMS capabilities under Your numbers.</w:t>
      </w:r>
    </w:p>
    <w:p>
      <w:pPr>
        <w:pStyle w:val="ListParagraph"/>
        <w:numPr>
          <w:ilvl w:val="0"/>
          <w:numId w:val="2"/>
        </w:numPr>
        <w:spacing w:after="40"/>
        <w:ind w:left="892"/>
      </w:pPr>
      <w:r>
        <w:rPr>
          <w:sz w:val="21"/>
          <w:szCs w:val="21"/>
        </w:rPr>
        <w:t xml:space="preserve">Complete A2P 10DLC registration for US carrier messaging and use Refresh status to verify the result.</w:t>
      </w:r>
    </w:p>
    <w:p>
      <w:pPr>
        <w:spacing w:after="40" w:before="70"/>
        <w:ind w:left="403"/>
      </w:pPr>
      <w:r>
        <w:rPr>
          <w:color w:val="8B8FA3"/>
          <w:sz w:val="17"/>
          <w:szCs w:val="17"/>
        </w:rPr>
        <w:t xml:space="preserve">Ref: pro-how-do-i-configure-a-firm-phone-number-for-sms-127</w:t>
      </w:r>
    </w:p>
    <w:p>
      <w:pPr>
        <w:keepNext/>
        <w:spacing w:after="90" w:before="220"/>
      </w:pPr>
      <w:r>
        <w:rPr>
          <w:b/>
          <w:bCs/>
          <w:color w:val="1A1C2E"/>
          <w:sz w:val="24"/>
          <w:szCs w:val="24"/>
        </w:rPr>
        <w:t xml:space="preserve">14.   What phone number does a client see when the firm sends an SMS?</w:t>
      </w:r>
    </w:p>
    <w:p>
      <w:pPr>
        <w:spacing w:after="90"/>
        <w:ind w:left="403"/>
      </w:pPr>
      <w:r>
        <w:rPr>
          <w:sz w:val="22"/>
          <w:szCs w:val="22"/>
        </w:rPr>
        <w:t xml:space="preserve">The client sees the Twilio phone number connected to the firm in Phone Numbers. Administrators should confirm that the intended number is linked and that its A2P 10DLC registration is complete before relying on it for US client messaging.</w:t>
      </w:r>
    </w:p>
    <w:p>
      <w:pPr>
        <w:spacing w:after="90"/>
        <w:ind w:left="403"/>
      </w:pPr>
      <w:r>
        <w:rPr>
          <w:b/>
          <w:bCs/>
          <w:color w:val="4735BE"/>
          <w:sz w:val="18"/>
          <w:szCs w:val="18"/>
        </w:rPr>
        <w:t xml:space="preserve">More   </w:t>
      </w:r>
      <w:r>
        <w:rPr>
          <w:sz w:val="22"/>
          <w:szCs w:val="22"/>
        </w:rPr>
        <w:t xml:space="preserve">If the firm owns several Twilio numbers, confirm which one is linked in Settings &gt; Phone Numbers before telling clients what to save. The row also shows capabilities and registration status; a number that is not correctly registered may be filtered even though it appears in the firm's configuration.</w:t>
      </w:r>
    </w:p>
    <w:p>
      <w:pPr>
        <w:spacing w:after="40" w:before="70"/>
        <w:ind w:left="403"/>
      </w:pPr>
      <w:r>
        <w:rPr>
          <w:color w:val="8B8FA3"/>
          <w:sz w:val="17"/>
          <w:szCs w:val="17"/>
        </w:rPr>
        <w:t xml:space="preserve">Ref: pro-what-phone-number-does-a-client-see-when-the-firm-sends-an-sms-128</w:t>
      </w:r>
    </w:p>
    <w:p>
      <w:pPr>
        <w:keepNext/>
        <w:spacing w:after="90" w:before="220"/>
      </w:pPr>
      <w:r>
        <w:rPr>
          <w:b/>
          <w:bCs/>
          <w:color w:val="1A1C2E"/>
          <w:sz w:val="24"/>
          <w:szCs w:val="24"/>
        </w:rPr>
        <w:t xml:space="preserve">15.   What calendar connections are supported?</w:t>
      </w:r>
    </w:p>
    <w:p>
      <w:pPr>
        <w:spacing w:after="90"/>
        <w:ind w:left="403"/>
      </w:pPr>
      <w:r>
        <w:rPr>
          <w:sz w:val="22"/>
          <w:szCs w:val="22"/>
        </w:rPr>
        <w:t xml:space="preserve">Calendar prompts the firm to connect Calendly for meetings. Integrations also lists Google Calendar and Outlook Calendar and describes matching each connected meeting to its client record.</w:t>
      </w:r>
    </w:p>
    <w:p>
      <w:pPr>
        <w:spacing w:after="90"/>
        <w:ind w:left="403"/>
      </w:pPr>
      <w:r>
        <w:rPr>
          <w:b/>
          <w:bCs/>
          <w:color w:val="4735BE"/>
          <w:sz w:val="18"/>
          <w:szCs w:val="18"/>
        </w:rPr>
        <w:t xml:space="preserve">More   </w:t>
      </w:r>
      <w:r>
        <w:rPr>
          <w:sz w:val="22"/>
          <w:szCs w:val="22"/>
        </w:rPr>
        <w:t xml:space="preserve">Connect the provider in Settings &gt; Integrations, then use Calendar for the firm's meeting workflow. Calendly supports scheduling, while Google Calendar and Outlook Calendar can match connected meetings to a client record; verify that association so meeting context appears with the correct relationship.</w:t>
      </w:r>
    </w:p>
    <w:p>
      <w:pPr>
        <w:spacing w:after="40" w:before="70"/>
        <w:ind w:left="403"/>
      </w:pPr>
      <w:r>
        <w:rPr>
          <w:color w:val="8B8FA3"/>
          <w:sz w:val="17"/>
          <w:szCs w:val="17"/>
        </w:rPr>
        <w:t xml:space="preserve">Ref: pro-what-calendar-connections-are-supported-129</w:t>
      </w:r>
    </w:p>
    <w:p>
      <w:pPr>
        <w:keepNext/>
        <w:spacing w:after="90" w:before="220"/>
      </w:pPr>
      <w:r>
        <w:rPr>
          <w:b/>
          <w:bCs/>
          <w:color w:val="1A1C2E"/>
          <w:sz w:val="24"/>
          <w:szCs w:val="24"/>
        </w:rPr>
        <w:t xml:space="preserve">16.   Does everything a client sees carry the firm's branding, or does AssureOne branding appear anywhere?</w:t>
      </w:r>
    </w:p>
    <w:p>
      <w:pPr>
        <w:spacing w:after="60"/>
        <w:ind w:left="403"/>
      </w:pPr>
      <w:r>
        <w:rPr>
          <w:sz w:val="22"/>
          <w:szCs w:val="22"/>
        </w:rPr>
        <w:t xml:space="preserve">The firm can configure its client-facing identity in Settings &gt; Client Portal, including the firm logo, primary and accent colors, portal address, and client-facing portal settings shown on that page. That branding is used across the client experience, while the AssureOne name can still appear in selected platform-managed locations such as email footers. Administrators should review both the desktop and mobile email previews, send test messages, and inspect the client portal before rollout so client-facing wording and branding are understood in advance.</w:t>
      </w:r>
    </w:p>
    <w:p>
      <w:pPr>
        <w:spacing w:after="40" w:before="70"/>
        <w:ind w:left="403"/>
      </w:pPr>
      <w:r>
        <w:rPr>
          <w:color w:val="8B8FA3"/>
          <w:sz w:val="17"/>
          <w:szCs w:val="17"/>
        </w:rPr>
        <w:t xml:space="preserve">Ref: pro-does-everything-a-client-sees-carry-the-firm-s-branding-or-does-assure-130</w:t>
      </w:r>
    </w:p>
    <w:p>
      <w:r>
        <w:br w:type="page"/>
      </w:r>
    </w:p>
    <w:p>
      <w:pPr>
        <w:pStyle w:val="Heading1"/>
        <w:spacing w:after="40" w:before="60"/>
      </w:pPr>
      <w:r>
        <w:rPr>
          <w:b/>
          <w:bCs/>
          <w:color w:val="1A1C2E"/>
          <w:sz w:val="32"/>
          <w:szCs w:val="32"/>
        </w:rPr>
        <w:t xml:space="preserve">Reporting</w:t>
      </w:r>
    </w:p>
    <w:p>
      <w:pPr>
        <w:pBdr>
          <w:bottom w:val="single" w:color="E4E2F0" w:sz="4"/>
        </w:pBdr>
        <w:spacing w:after="200"/>
      </w:pPr>
      <w:r>
        <w:rPr>
          <w:color w:val="8B8FA3"/>
          <w:sz w:val="20"/>
          <w:szCs w:val="20"/>
        </w:rPr>
        <w:t xml:space="preserve">6 questions</w:t>
      </w:r>
    </w:p>
    <w:p>
      <w:pPr>
        <w:keepNext/>
        <w:spacing w:after="90" w:before="220"/>
      </w:pPr>
      <w:r>
        <w:rPr>
          <w:b/>
          <w:bCs/>
          <w:color w:val="1A1C2E"/>
          <w:sz w:val="24"/>
          <w:szCs w:val="24"/>
        </w:rPr>
        <w:t xml:space="preserve">1.   How is the Reports area organized?</w:t>
      </w:r>
    </w:p>
    <w:p>
      <w:pPr>
        <w:spacing w:after="90"/>
        <w:ind w:left="403"/>
      </w:pPr>
      <w:r>
        <w:rPr>
          <w:sz w:val="22"/>
          <w:szCs w:val="22"/>
        </w:rPr>
        <w:t xml:space="preserve">Reports has three destinations. Overview contains standard firm KPIs and report cards. My Report contains starter dashboards, dashboards shared with the firm, and the firm user's own dashboards. Templates is the widget library and custom-dashboard builder.</w:t>
      </w:r>
    </w:p>
    <w:p>
      <w:pPr>
        <w:spacing w:after="90"/>
        <w:ind w:left="403"/>
      </w:pPr>
      <w:r>
        <w:rPr>
          <w:b/>
          <w:bCs/>
          <w:color w:val="4735BE"/>
          <w:sz w:val="18"/>
          <w:szCs w:val="18"/>
        </w:rPr>
        <w:t xml:space="preserve">More   </w:t>
      </w:r>
      <w:r>
        <w:rPr>
          <w:sz w:val="22"/>
          <w:szCs w:val="22"/>
        </w:rPr>
        <w:t xml:space="preserve">Use Overview for a standard firm health check, My Report for reusable dashboards, and Templates when a different combination of metrics is needed. A manager might begin with Overview, open Full billing report for collection detail, then duplicate Billing &amp; Collections into My dashboards for a customized recurring review.</w:t>
      </w:r>
    </w:p>
    <w:p>
      <w:pPr>
        <w:spacing w:after="40" w:before="70"/>
        <w:ind w:left="403"/>
      </w:pPr>
      <w:r>
        <w:rPr>
          <w:color w:val="8B8FA3"/>
          <w:sz w:val="17"/>
          <w:szCs w:val="17"/>
        </w:rPr>
        <w:t xml:space="preserve">Ref: pro-how-is-the-reports-area-organized-131</w:t>
      </w:r>
    </w:p>
    <w:p>
      <w:pPr>
        <w:keepNext/>
        <w:spacing w:after="90" w:before="220"/>
      </w:pPr>
      <w:r>
        <w:rPr>
          <w:b/>
          <w:bCs/>
          <w:color w:val="1A1C2E"/>
          <w:sz w:val="24"/>
          <w:szCs w:val="24"/>
        </w:rPr>
        <w:t xml:space="preserve">2.   Which KPIs appear at the top of Reports?</w:t>
      </w:r>
    </w:p>
    <w:p>
      <w:pPr>
        <w:spacing w:after="60"/>
        <w:ind w:left="403"/>
      </w:pPr>
      <w:r>
        <w:rPr>
          <w:sz w:val="22"/>
          <w:szCs w:val="22"/>
        </w:rPr>
        <w:t xml:space="preserve">The KPI cards are Total Revenue, Collected, Outstanding A/R, Billable Hours, Utilization, and New Clients. Use them together: Revenue shows billed performance, Collected shows cash received, Outstanding A/R identifies the unpaid balance, Billable Hours and Utilization describe productive time, and New Clients shows growth. Select MTD, QTD, YTD, 12M, or Custom before interpreting the values so every card reflects the intended period.</w:t>
      </w:r>
    </w:p>
    <w:p>
      <w:pPr>
        <w:spacing w:after="40" w:before="70"/>
        <w:ind w:left="403"/>
      </w:pPr>
      <w:r>
        <w:rPr>
          <w:color w:val="8B8FA3"/>
          <w:sz w:val="17"/>
          <w:szCs w:val="17"/>
        </w:rPr>
        <w:t xml:space="preserve">Ref: pro-which-kpis-appear-at-the-top-of-reports-133</w:t>
      </w:r>
    </w:p>
    <w:p>
      <w:pPr>
        <w:keepNext/>
        <w:spacing w:after="90" w:before="220"/>
      </w:pPr>
      <w:r>
        <w:rPr>
          <w:b/>
          <w:bCs/>
          <w:color w:val="1A1C2E"/>
          <w:sz w:val="24"/>
          <w:szCs w:val="24"/>
        </w:rPr>
        <w:t xml:space="preserve">3.   How do I review and export a report?</w:t>
      </w:r>
    </w:p>
    <w:p>
      <w:pPr>
        <w:spacing w:after="90"/>
        <w:ind w:left="403"/>
      </w:pPr>
      <w:r>
        <w:rPr>
          <w:sz w:val="22"/>
          <w:szCs w:val="22"/>
        </w:rPr>
        <w:t xml:space="preserve">Set the reporting period before reviewing or exporting results so the KPI cards, report widgets, focused dashboard, and downloaded output all use the intended dates. AssurePro provides MTD, QTD, YTD, 12M, and custom date-range controls.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Overview or My Report.</w:t>
      </w:r>
    </w:p>
    <w:p>
      <w:pPr>
        <w:pStyle w:val="ListParagraph"/>
        <w:numPr>
          <w:ilvl w:val="0"/>
          <w:numId w:val="2"/>
        </w:numPr>
        <w:spacing w:after="40"/>
        <w:ind w:left="892"/>
      </w:pPr>
      <w:r>
        <w:rPr>
          <w:sz w:val="21"/>
          <w:szCs w:val="21"/>
        </w:rPr>
        <w:t xml:space="preserve">Select MTD, QTD, YTD, 12M, or Custom and provide the date range when required.</w:t>
      </w:r>
    </w:p>
    <w:p>
      <w:pPr>
        <w:pStyle w:val="ListParagraph"/>
        <w:numPr>
          <w:ilvl w:val="0"/>
          <w:numId w:val="2"/>
        </w:numPr>
        <w:spacing w:after="40"/>
        <w:ind w:left="892"/>
      </w:pPr>
      <w:r>
        <w:rPr>
          <w:sz w:val="21"/>
          <w:szCs w:val="21"/>
        </w:rPr>
        <w:t xml:space="preserve">Review the KPI card or report card that answers the reporting question.</w:t>
      </w:r>
    </w:p>
    <w:p>
      <w:pPr>
        <w:pStyle w:val="ListParagraph"/>
        <w:numPr>
          <w:ilvl w:val="0"/>
          <w:numId w:val="2"/>
        </w:numPr>
        <w:spacing w:after="40"/>
        <w:ind w:left="892"/>
      </w:pPr>
      <w:r>
        <w:rPr>
          <w:sz w:val="21"/>
          <w:szCs w:val="21"/>
        </w:rPr>
        <w:t xml:space="preserve">Select Full report on a card when a detailed view is available.</w:t>
      </w:r>
    </w:p>
    <w:p>
      <w:pPr>
        <w:pStyle w:val="ListParagraph"/>
        <w:numPr>
          <w:ilvl w:val="0"/>
          <w:numId w:val="2"/>
        </w:numPr>
        <w:spacing w:after="40"/>
        <w:ind w:left="892"/>
      </w:pPr>
      <w:r>
        <w:rPr>
          <w:sz w:val="21"/>
          <w:szCs w:val="21"/>
        </w:rPr>
        <w:t xml:space="preserve">Review the resulting focused dashboard and its supporting widgets.</w:t>
      </w:r>
    </w:p>
    <w:p>
      <w:pPr>
        <w:pStyle w:val="ListParagraph"/>
        <w:numPr>
          <w:ilvl w:val="0"/>
          <w:numId w:val="2"/>
        </w:numPr>
        <w:spacing w:after="40"/>
        <w:ind w:left="892"/>
      </w:pPr>
      <w:r>
        <w:rPr>
          <w:sz w:val="21"/>
          <w:szCs w:val="21"/>
        </w:rPr>
        <w:t xml:space="preserve">Select Export when an external copy is needed.</w:t>
      </w:r>
    </w:p>
    <w:p>
      <w:pPr>
        <w:spacing w:after="40" w:before="70"/>
        <w:ind w:left="403"/>
      </w:pPr>
      <w:r>
        <w:rPr>
          <w:color w:val="8B8FA3"/>
          <w:sz w:val="17"/>
          <w:szCs w:val="17"/>
        </w:rPr>
        <w:t xml:space="preserve">Ref: pro-how-do-i-review-and-export-a-report-134</w:t>
      </w:r>
    </w:p>
    <w:p>
      <w:pPr>
        <w:keepNext/>
        <w:spacing w:after="90" w:before="220"/>
      </w:pPr>
      <w:r>
        <w:rPr>
          <w:b/>
          <w:bCs/>
          <w:color w:val="1A1C2E"/>
          <w:sz w:val="24"/>
          <w:szCs w:val="24"/>
        </w:rPr>
        <w:t xml:space="preserve">4.   Can report periods and results be changed or exported?</w:t>
      </w:r>
    </w:p>
    <w:p>
      <w:pPr>
        <w:spacing w:after="90"/>
        <w:ind w:left="403"/>
      </w:pPr>
      <w:r>
        <w:rPr>
          <w:sz w:val="22"/>
          <w:szCs w:val="22"/>
        </w:rPr>
        <w:t xml:space="preserve">Yes. Reports provides MTD, QTD, YTD, 12M, and custom date ranges, along with Export and Full report actions. Workflow reporting can also be filtered by stage and status-related measures such as active and overdue work.</w:t>
      </w:r>
    </w:p>
    <w:p>
      <w:pPr>
        <w:spacing w:after="90"/>
        <w:ind w:left="403"/>
      </w:pPr>
      <w:r>
        <w:rPr>
          <w:b/>
          <w:bCs/>
          <w:color w:val="4735BE"/>
          <w:sz w:val="18"/>
          <w:szCs w:val="18"/>
        </w:rPr>
        <w:t xml:space="preserve">More   </w:t>
      </w:r>
      <w:r>
        <w:rPr>
          <w:sz w:val="22"/>
          <w:szCs w:val="22"/>
        </w:rPr>
        <w:t xml:space="preserve">Choose MTD for current-month operations, QTD for quarter performance, YTD for the current year, 12M for a rolling view, or Custom for a specific engagement or management period. Apply the period before opening Full report or Export so the detailed view and downloaded result use the intended dates.</w:t>
      </w:r>
    </w:p>
    <w:p>
      <w:pPr>
        <w:spacing w:after="40" w:before="70"/>
        <w:ind w:left="403"/>
      </w:pPr>
      <w:r>
        <w:rPr>
          <w:color w:val="8B8FA3"/>
          <w:sz w:val="17"/>
          <w:szCs w:val="17"/>
        </w:rPr>
        <w:t xml:space="preserve">Ref: pro-can-report-periods-and-results-be-changed-or-exported-136</w:t>
      </w:r>
    </w:p>
    <w:p>
      <w:pPr>
        <w:keepNext/>
        <w:spacing w:after="90" w:before="220"/>
      </w:pPr>
      <w:r>
        <w:rPr>
          <w:b/>
          <w:bCs/>
          <w:color w:val="1A1C2E"/>
          <w:sz w:val="24"/>
          <w:szCs w:val="24"/>
        </w:rPr>
        <w:t xml:space="preserve">5.   Can report and dashboard data be exported?</w:t>
      </w:r>
    </w:p>
    <w:p>
      <w:pPr>
        <w:spacing w:after="90"/>
        <w:ind w:left="403"/>
      </w:pPr>
      <w:r>
        <w:rPr>
          <w:sz w:val="22"/>
          <w:szCs w:val="22"/>
        </w:rPr>
        <w:t xml:space="preserve">Yes. Set the reporting period and filters first, then select Export from the report or focused dashboard. Review the downloaded file before sharing it because it can contain client names, financial results, workload measures, or other firm information.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Reports and choose Overview or My Report.</w:t>
      </w:r>
    </w:p>
    <w:p>
      <w:pPr>
        <w:pStyle w:val="ListParagraph"/>
        <w:numPr>
          <w:ilvl w:val="0"/>
          <w:numId w:val="2"/>
        </w:numPr>
        <w:spacing w:after="40"/>
        <w:ind w:left="892"/>
      </w:pPr>
      <w:r>
        <w:rPr>
          <w:sz w:val="21"/>
          <w:szCs w:val="21"/>
        </w:rPr>
        <w:t xml:space="preserve">Select MTD, QTD, YTD, 12M, or a Custom date range so the export reflects the intended period.</w:t>
      </w:r>
    </w:p>
    <w:p>
      <w:pPr>
        <w:pStyle w:val="ListParagraph"/>
        <w:numPr>
          <w:ilvl w:val="0"/>
          <w:numId w:val="2"/>
        </w:numPr>
        <w:spacing w:after="40"/>
        <w:ind w:left="892"/>
      </w:pPr>
      <w:r>
        <w:rPr>
          <w:sz w:val="21"/>
          <w:szCs w:val="21"/>
        </w:rPr>
        <w:t xml:space="preserve">Open a Full report when the export should come from a focused dashboard rather than the high-level Overview.</w:t>
      </w:r>
    </w:p>
    <w:p>
      <w:pPr>
        <w:pStyle w:val="ListParagraph"/>
        <w:numPr>
          <w:ilvl w:val="0"/>
          <w:numId w:val="2"/>
        </w:numPr>
        <w:spacing w:after="40"/>
        <w:ind w:left="892"/>
      </w:pPr>
      <w:r>
        <w:rPr>
          <w:sz w:val="21"/>
          <w:szCs w:val="21"/>
        </w:rPr>
        <w:t xml:space="preserve">Confirm that the visible widgets and filters match the information needed.</w:t>
      </w:r>
    </w:p>
    <w:p>
      <w:pPr>
        <w:pStyle w:val="ListParagraph"/>
        <w:numPr>
          <w:ilvl w:val="0"/>
          <w:numId w:val="2"/>
        </w:numPr>
        <w:spacing w:after="40"/>
        <w:ind w:left="892"/>
      </w:pPr>
      <w:r>
        <w:rPr>
          <w:sz w:val="21"/>
          <w:szCs w:val="21"/>
        </w:rPr>
        <w:t xml:space="preserve">Select Export and save the report file generated by AssurePro.</w:t>
      </w:r>
    </w:p>
    <w:p>
      <w:pPr>
        <w:pStyle w:val="ListParagraph"/>
        <w:numPr>
          <w:ilvl w:val="0"/>
          <w:numId w:val="2"/>
        </w:numPr>
        <w:spacing w:after="40"/>
        <w:ind w:left="892"/>
      </w:pPr>
      <w:r>
        <w:rPr>
          <w:sz w:val="21"/>
          <w:szCs w:val="21"/>
        </w:rPr>
        <w:t xml:space="preserve">Review the exported file before sharing it because report results can contain client names, financial amounts, workload information, or other firm data.</w:t>
      </w:r>
    </w:p>
    <w:p>
      <w:pPr>
        <w:spacing w:after="40" w:before="70"/>
        <w:ind w:left="403"/>
      </w:pPr>
      <w:r>
        <w:rPr>
          <w:color w:val="8B8FA3"/>
          <w:sz w:val="17"/>
          <w:szCs w:val="17"/>
        </w:rPr>
        <w:t xml:space="preserve">Ref: pro-can-report-and-dashboard-data-be-exported-137</w:t>
      </w:r>
    </w:p>
    <w:p>
      <w:pPr>
        <w:keepNext/>
        <w:spacing w:after="90" w:before="220"/>
      </w:pPr>
      <w:r>
        <w:rPr>
          <w:b/>
          <w:bCs/>
          <w:color w:val="1A1C2E"/>
          <w:sz w:val="24"/>
          <w:szCs w:val="24"/>
        </w:rPr>
        <w:t xml:space="preserve">6.   What does the agreement funnel report show?</w:t>
      </w:r>
    </w:p>
    <w:p>
      <w:pPr>
        <w:spacing w:after="90"/>
        <w:ind w:left="403"/>
      </w:pPr>
      <w:r>
        <w:rPr>
          <w:sz w:val="22"/>
          <w:szCs w:val="22"/>
        </w:rPr>
        <w:t xml:space="preserve">The agreement funnel tracks Sent, Viewed, and Signed activity and identifies packages that are in flight, declined, expired, or cancelled. It helps the firm see where signing packages are progressing or stopping.</w:t>
      </w:r>
    </w:p>
    <w:p>
      <w:pPr>
        <w:spacing w:after="90"/>
        <w:ind w:left="403"/>
      </w:pPr>
      <w:r>
        <w:rPr>
          <w:b/>
          <w:bCs/>
          <w:color w:val="4735BE"/>
          <w:sz w:val="18"/>
          <w:szCs w:val="18"/>
        </w:rPr>
        <w:t xml:space="preserve">More   </w:t>
      </w:r>
      <w:r>
        <w:rPr>
          <w:sz w:val="22"/>
          <w:szCs w:val="22"/>
        </w:rPr>
        <w:t xml:space="preserve">Compare Sent to Viewed to identify delivery or attention problems, Viewed to Signed to identify decision friction, and the declined, expired, or cancelled counts to understand why packages left the active pipeline. Open the underlying engagement-letter work when a specific package needs follow-up.</w:t>
      </w:r>
    </w:p>
    <w:p>
      <w:pPr>
        <w:spacing w:after="40" w:before="70"/>
        <w:ind w:left="403"/>
      </w:pPr>
      <w:r>
        <w:rPr>
          <w:color w:val="8B8FA3"/>
          <w:sz w:val="17"/>
          <w:szCs w:val="17"/>
        </w:rPr>
        <w:t xml:space="preserve">Ref: pro-what-does-the-agreement-funnel-report-show-144</w:t>
      </w:r>
    </w:p>
    <w:p>
      <w:r>
        <w:br w:type="page"/>
      </w:r>
    </w:p>
    <w:p>
      <w:pPr>
        <w:pStyle w:val="Heading1"/>
        <w:spacing w:after="40" w:before="60"/>
      </w:pPr>
      <w:r>
        <w:rPr>
          <w:b/>
          <w:bCs/>
          <w:color w:val="1A1C2E"/>
          <w:sz w:val="32"/>
          <w:szCs w:val="32"/>
        </w:rPr>
        <w:t xml:space="preserve">AI</w:t>
      </w:r>
    </w:p>
    <w:p>
      <w:pPr>
        <w:pBdr>
          <w:bottom w:val="single" w:color="E4E2F0" w:sz="4"/>
        </w:pBdr>
        <w:spacing w:after="200"/>
      </w:pPr>
      <w:r>
        <w:rPr>
          <w:color w:val="8B8FA3"/>
          <w:sz w:val="20"/>
          <w:szCs w:val="20"/>
        </w:rPr>
        <w:t xml:space="preserve">15 questions</w:t>
      </w:r>
    </w:p>
    <w:p>
      <w:pPr>
        <w:keepNext/>
        <w:spacing w:after="90" w:before="220"/>
      </w:pPr>
      <w:r>
        <w:rPr>
          <w:b/>
          <w:bCs/>
          <w:color w:val="1A1C2E"/>
          <w:sz w:val="24"/>
          <w:szCs w:val="24"/>
        </w:rPr>
        <w:t xml:space="preserve">1.   What can the AI Agent help with?</w:t>
      </w:r>
    </w:p>
    <w:p>
      <w:pPr>
        <w:spacing w:after="90"/>
        <w:ind w:left="403"/>
      </w:pPr>
      <w:r>
        <w:rPr>
          <w:sz w:val="22"/>
          <w:szCs w:val="22"/>
        </w:rPr>
        <w:t xml:space="preserve">The AssurePro AI Agent can help firm users find and summarize information about clients, documents, work, communications, and billing, and can prepare drafts for review. Examples include client counts, outstanding invoices, open tasks, inbox summaries, stalled engagements, missing uploads, follow-up drafts, and work due during a selected period.</w:t>
      </w:r>
    </w:p>
    <w:p>
      <w:pPr>
        <w:spacing w:after="90"/>
        <w:ind w:left="403"/>
      </w:pPr>
      <w:r>
        <w:rPr>
          <w:b/>
          <w:bCs/>
          <w:color w:val="4735BE"/>
          <w:sz w:val="18"/>
          <w:szCs w:val="18"/>
        </w:rPr>
        <w:t xml:space="preserve">More   </w:t>
      </w:r>
      <w:r>
        <w:rPr>
          <w:sz w:val="22"/>
          <w:szCs w:val="22"/>
        </w:rPr>
        <w:t xml:space="preserve">A useful prompt includes the subject, time period, desired output, and whether the firm user wants analysis or a draft. Examples: “Which engagements have been in the same stage for more than ten days?”, “Summarize unread messages for my clients,” or “Draft a polite follow-up for overdue invoices, but do not send it.”</w:t>
      </w:r>
    </w:p>
    <w:p>
      <w:pPr>
        <w:spacing w:after="40" w:before="70"/>
        <w:ind w:left="403"/>
      </w:pPr>
      <w:r>
        <w:rPr>
          <w:color w:val="8B8FA3"/>
          <w:sz w:val="17"/>
          <w:szCs w:val="17"/>
        </w:rPr>
        <w:t xml:space="preserve">Ref: pro-what-can-the-ai-agent-help-with-146</w:t>
      </w:r>
    </w:p>
    <w:p>
      <w:pPr>
        <w:keepNext/>
        <w:spacing w:after="90" w:before="220"/>
      </w:pPr>
      <w:r>
        <w:rPr>
          <w:b/>
          <w:bCs/>
          <w:color w:val="1A1C2E"/>
          <w:sz w:val="24"/>
          <w:szCs w:val="24"/>
        </w:rPr>
        <w:t xml:space="preserve">2.   How do I ask the AI Agent for help?</w:t>
      </w:r>
    </w:p>
    <w:p>
      <w:pPr>
        <w:spacing w:after="90"/>
        <w:ind w:left="403"/>
      </w:pPr>
      <w:r>
        <w:rPr>
          <w:sz w:val="22"/>
          <w:szCs w:val="22"/>
        </w:rPr>
        <w:t xml:space="preserve">Ask the AI Agent a specific question in plain language and review the response, linked records, and any proposed action. The Agent requests confirmation before higher-impact changes; low-risk actions can proceed without individual confirmation only when the firm user has enabled Auto-approve low-risk actions.</w:t>
      </w:r>
    </w:p>
    <w:p>
      <w:pPr>
        <w:spacing w:after="90"/>
        <w:ind w:left="403"/>
      </w:pPr>
      <w:r>
        <w:rPr>
          <w:b/>
          <w:bCs/>
          <w:color w:val="4735BE"/>
          <w:sz w:val="18"/>
          <w:szCs w:val="18"/>
        </w:rPr>
        <w:t xml:space="preserve">More   </w:t>
      </w:r>
      <w:r>
        <w:rPr>
          <w:sz w:val="22"/>
          <w:szCs w:val="22"/>
        </w:rPr>
        <w:t xml:space="preserve">Ask a narrower follow-up when the first result is too broad, open linked records to validate important facts, and keep the request in draft mode when no change is intended. The Agent's statement that it asks before changing anything should not replace the firm user's review of recipients, amounts, dates, or client context.</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w:t>
      </w:r>
    </w:p>
    <w:p>
      <w:pPr>
        <w:pStyle w:val="ListParagraph"/>
        <w:numPr>
          <w:ilvl w:val="0"/>
          <w:numId w:val="2"/>
        </w:numPr>
        <w:spacing w:after="40"/>
        <w:ind w:left="892"/>
      </w:pPr>
      <w:r>
        <w:rPr>
          <w:sz w:val="21"/>
          <w:szCs w:val="21"/>
        </w:rPr>
        <w:t xml:space="preserve">Enter a specific question about clients, documents, work, billing, or communications, or choose a suggested prompt.</w:t>
      </w:r>
    </w:p>
    <w:p>
      <w:pPr>
        <w:pStyle w:val="ListParagraph"/>
        <w:numPr>
          <w:ilvl w:val="0"/>
          <w:numId w:val="2"/>
        </w:numPr>
        <w:spacing w:after="40"/>
        <w:ind w:left="892"/>
      </w:pPr>
      <w:r>
        <w:rPr>
          <w:sz w:val="21"/>
          <w:szCs w:val="21"/>
        </w:rPr>
        <w:t xml:space="preserve">Review the answer and any linked source or proposed action.</w:t>
      </w:r>
    </w:p>
    <w:p>
      <w:pPr>
        <w:pStyle w:val="ListParagraph"/>
        <w:numPr>
          <w:ilvl w:val="0"/>
          <w:numId w:val="2"/>
        </w:numPr>
        <w:spacing w:after="40"/>
        <w:ind w:left="892"/>
      </w:pPr>
      <w:r>
        <w:rPr>
          <w:sz w:val="21"/>
          <w:szCs w:val="21"/>
        </w:rPr>
        <w:t xml:space="preserve">If the Agent proposes a change, review the requested confirmation before allowing it.</w:t>
      </w:r>
    </w:p>
    <w:p>
      <w:pPr>
        <w:spacing w:after="40" w:before="70"/>
        <w:ind w:left="403"/>
      </w:pPr>
      <w:r>
        <w:rPr>
          <w:color w:val="8B8FA3"/>
          <w:sz w:val="17"/>
          <w:szCs w:val="17"/>
        </w:rPr>
        <w:t xml:space="preserve">Ref: pro-how-do-i-ask-the-ai-agent-for-help-147</w:t>
      </w:r>
    </w:p>
    <w:p>
      <w:pPr>
        <w:keepNext/>
        <w:spacing w:after="90" w:before="220"/>
      </w:pPr>
      <w:r>
        <w:rPr>
          <w:b/>
          <w:bCs/>
          <w:color w:val="1A1C2E"/>
          <w:sz w:val="24"/>
          <w:szCs w:val="24"/>
        </w:rPr>
        <w:t xml:space="preserve">3.   How are AI Agent conversations managed?</w:t>
      </w:r>
    </w:p>
    <w:p>
      <w:pPr>
        <w:spacing w:after="90"/>
        <w:ind w:left="403"/>
      </w:pPr>
      <w:r>
        <w:rPr>
          <w:sz w:val="22"/>
          <w:szCs w:val="22"/>
        </w:rPr>
        <w:t xml:space="preserve">The AI Agent keeps each chat as a separate conversation. A firm user can start a new chat for a different question or client, reopen an earlier conversation from history, rename it for easier identification, or delete it when it is no longer required.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 and select New chat when beginning a different question or client context.</w:t>
      </w:r>
    </w:p>
    <w:p>
      <w:pPr>
        <w:pStyle w:val="ListParagraph"/>
        <w:numPr>
          <w:ilvl w:val="0"/>
          <w:numId w:val="2"/>
        </w:numPr>
        <w:spacing w:after="40"/>
        <w:ind w:left="892"/>
      </w:pPr>
      <w:r>
        <w:rPr>
          <w:sz w:val="21"/>
          <w:szCs w:val="21"/>
        </w:rPr>
        <w:t xml:space="preserve">Enter the request and review the Agent's response, sources, links, and any proposed action.</w:t>
      </w:r>
    </w:p>
    <w:p>
      <w:pPr>
        <w:pStyle w:val="ListParagraph"/>
        <w:numPr>
          <w:ilvl w:val="0"/>
          <w:numId w:val="2"/>
        </w:numPr>
        <w:spacing w:after="40"/>
        <w:ind w:left="892"/>
      </w:pPr>
      <w:r>
        <w:rPr>
          <w:sz w:val="21"/>
          <w:szCs w:val="21"/>
        </w:rPr>
        <w:t xml:space="preserve">Use the conversation history to reopen an earlier chat.</w:t>
      </w:r>
    </w:p>
    <w:p>
      <w:pPr>
        <w:pStyle w:val="ListParagraph"/>
        <w:numPr>
          <w:ilvl w:val="0"/>
          <w:numId w:val="2"/>
        </w:numPr>
        <w:spacing w:after="40"/>
        <w:ind w:left="892"/>
      </w:pPr>
      <w:r>
        <w:rPr>
          <w:sz w:val="21"/>
          <w:szCs w:val="21"/>
        </w:rPr>
        <w:t xml:space="preserve">Rename a conversation so its purpose is recognizable later.</w:t>
      </w:r>
    </w:p>
    <w:p>
      <w:pPr>
        <w:pStyle w:val="ListParagraph"/>
        <w:numPr>
          <w:ilvl w:val="0"/>
          <w:numId w:val="2"/>
        </w:numPr>
        <w:spacing w:after="40"/>
        <w:ind w:left="892"/>
      </w:pPr>
      <w:r>
        <w:rPr>
          <w:sz w:val="21"/>
          <w:szCs w:val="21"/>
        </w:rPr>
        <w:t xml:space="preserve">Delete a conversation from its controls when it is no longer needed, following the firm's information-retention expectations.</w:t>
      </w:r>
    </w:p>
    <w:p>
      <w:pPr>
        <w:spacing w:after="40" w:before="70"/>
        <w:ind w:left="403"/>
      </w:pPr>
      <w:r>
        <w:rPr>
          <w:color w:val="8B8FA3"/>
          <w:sz w:val="17"/>
          <w:szCs w:val="17"/>
        </w:rPr>
        <w:t xml:space="preserve">Ref: pro-how-are-ai-agent-conversations-managed-148</w:t>
      </w:r>
    </w:p>
    <w:p>
      <w:pPr>
        <w:keepNext/>
        <w:spacing w:after="90" w:before="220"/>
      </w:pPr>
      <w:r>
        <w:rPr>
          <w:b/>
          <w:bCs/>
          <w:color w:val="1A1C2E"/>
          <w:sz w:val="24"/>
          <w:szCs w:val="24"/>
        </w:rPr>
        <w:t xml:space="preserve">4.   What is AI Agent memory and how can I control it?</w:t>
      </w:r>
    </w:p>
    <w:p>
      <w:pPr>
        <w:spacing w:after="90"/>
        <w:ind w:left="403"/>
      </w:pPr>
      <w:r>
        <w:rPr>
          <w:sz w:val="22"/>
          <w:szCs w:val="22"/>
        </w:rPr>
        <w:t xml:space="preserve">Memory is the context the Agent retains for future conversations. Each firm user can decide whether the Agent should keep that context and can inspect what has been saved.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AI Agent and go to Memory.</w:t>
      </w:r>
    </w:p>
    <w:p>
      <w:pPr>
        <w:pStyle w:val="ListParagraph"/>
        <w:numPr>
          <w:ilvl w:val="0"/>
          <w:numId w:val="2"/>
        </w:numPr>
        <w:spacing w:after="40"/>
        <w:ind w:left="892"/>
      </w:pPr>
      <w:r>
        <w:rPr>
          <w:sz w:val="21"/>
          <w:szCs w:val="21"/>
        </w:rPr>
        <w:t xml:space="preserve">Turn memory on when the Agent should retain useful context for later conversations, or turn it off when nothing should be retained beyond the current session.</w:t>
      </w:r>
    </w:p>
    <w:p>
      <w:pPr>
        <w:pStyle w:val="ListParagraph"/>
        <w:numPr>
          <w:ilvl w:val="0"/>
          <w:numId w:val="2"/>
        </w:numPr>
        <w:spacing w:after="40"/>
        <w:ind w:left="892"/>
      </w:pPr>
      <w:r>
        <w:rPr>
          <w:sz w:val="21"/>
          <w:szCs w:val="21"/>
        </w:rPr>
        <w:t xml:space="preserve">Refresh the list to review the latest saved items.</w:t>
      </w:r>
    </w:p>
    <w:p>
      <w:pPr>
        <w:pStyle w:val="ListParagraph"/>
        <w:numPr>
          <w:ilvl w:val="0"/>
          <w:numId w:val="2"/>
        </w:numPr>
        <w:spacing w:after="40"/>
        <w:ind w:left="892"/>
      </w:pPr>
      <w:r>
        <w:rPr>
          <w:sz w:val="21"/>
          <w:szCs w:val="21"/>
        </w:rPr>
        <w:t xml:space="preserve">Use Forget this to remove one item that should no longer influence future conversations.</w:t>
      </w:r>
    </w:p>
    <w:p>
      <w:pPr>
        <w:pStyle w:val="ListParagraph"/>
        <w:numPr>
          <w:ilvl w:val="0"/>
          <w:numId w:val="2"/>
        </w:numPr>
        <w:spacing w:after="40"/>
        <w:ind w:left="892"/>
      </w:pPr>
      <w:r>
        <w:rPr>
          <w:sz w:val="21"/>
          <w:szCs w:val="21"/>
        </w:rPr>
        <w:t xml:space="preserve">Use Clear all memory to remove every saved item for the firm user.</w:t>
      </w:r>
    </w:p>
    <w:p>
      <w:pPr>
        <w:spacing w:after="40" w:before="70"/>
        <w:ind w:left="403"/>
      </w:pPr>
      <w:r>
        <w:rPr>
          <w:color w:val="8B8FA3"/>
          <w:sz w:val="17"/>
          <w:szCs w:val="17"/>
        </w:rPr>
        <w:t xml:space="preserve">Ref: pro-what-is-ai-agent-memory-and-how-can-i-control-it-149</w:t>
      </w:r>
    </w:p>
    <w:p>
      <w:pPr>
        <w:keepNext/>
        <w:spacing w:after="90" w:before="220"/>
      </w:pPr>
      <w:r>
        <w:rPr>
          <w:b/>
          <w:bCs/>
          <w:color w:val="1A1C2E"/>
          <w:sz w:val="24"/>
          <w:szCs w:val="24"/>
        </w:rPr>
        <w:t xml:space="preserve">5.   What does Auto-approve low-risk actions do?</w:t>
      </w:r>
    </w:p>
    <w:p>
      <w:pPr>
        <w:spacing w:after="90"/>
        <w:ind w:left="403"/>
      </w:pPr>
      <w:r>
        <w:rPr>
          <w:sz w:val="22"/>
          <w:szCs w:val="22"/>
        </w:rPr>
        <w:t xml:space="preserve">Auto-approve low-risk actions allows the AI Agent to complete actions it classifies as low risk without asking the firm user to approve each one. Leave the setting off when every proposed change should be reviewed individually. Higher-impact actions still require confirmation.</w:t>
      </w:r>
    </w:p>
    <w:p>
      <w:pPr>
        <w:spacing w:after="90"/>
        <w:ind w:left="403"/>
      </w:pPr>
      <w:r>
        <w:rPr>
          <w:b/>
          <w:bCs/>
          <w:color w:val="4735BE"/>
          <w:sz w:val="18"/>
          <w:szCs w:val="18"/>
        </w:rPr>
        <w:t xml:space="preserve">More   </w:t>
      </w:r>
      <w:r>
        <w:rPr>
          <w:sz w:val="22"/>
          <w:szCs w:val="22"/>
        </w:rPr>
        <w:t xml:space="preserve">Examples of low-risk behavior can differ as the Agent evolves, so review the proposed activity and the firm's policy before enabling it. Leave the option off for firm users who should approve every change; enabling it should never be treated as authorization for higher-impact actions that still require confirmation.</w:t>
      </w:r>
    </w:p>
    <w:p>
      <w:pPr>
        <w:spacing w:after="40" w:before="70"/>
        <w:ind w:left="403"/>
      </w:pPr>
      <w:r>
        <w:rPr>
          <w:color w:val="8B8FA3"/>
          <w:sz w:val="17"/>
          <w:szCs w:val="17"/>
        </w:rPr>
        <w:t xml:space="preserve">Ref: pro-what-does-auto-approve-low-risk-actions-do-150</w:t>
      </w:r>
    </w:p>
    <w:p>
      <w:pPr>
        <w:keepNext/>
        <w:spacing w:after="90" w:before="220"/>
      </w:pPr>
      <w:r>
        <w:rPr>
          <w:b/>
          <w:bCs/>
          <w:color w:val="1A1C2E"/>
          <w:sz w:val="24"/>
          <w:szCs w:val="24"/>
        </w:rPr>
        <w:t xml:space="preserve">6.   What is the AI-generated daily briefing?</w:t>
      </w:r>
    </w:p>
    <w:p>
      <w:pPr>
        <w:spacing w:after="90"/>
        <w:ind w:left="403"/>
      </w:pPr>
      <w:r>
        <w:rPr>
          <w:sz w:val="22"/>
          <w:szCs w:val="22"/>
        </w:rPr>
        <w:t xml:space="preserve">The Daily briefing turns recent firm activity into quantified insights and direct follow-up paths. For example, it can say that four invoices are overdue, identify payments received, count completed tasks or stage changes, summarize document uploads and client messages, or identify a newly added client. The exact numbers come from the firm's current data and selected time window—not from a fixed sample.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Overview and choose Today, This week, or This month to set the briefing window.</w:t>
      </w:r>
    </w:p>
    <w:p>
      <w:pPr>
        <w:pStyle w:val="ListParagraph"/>
        <w:numPr>
          <w:ilvl w:val="0"/>
          <w:numId w:val="2"/>
        </w:numPr>
        <w:spacing w:after="40"/>
        <w:ind w:left="892"/>
      </w:pPr>
      <w:r>
        <w:rPr>
          <w:sz w:val="21"/>
          <w:szCs w:val="21"/>
        </w:rPr>
        <w:t xml:space="preserve">Read each insight for the count, affected work, and business meaning—for example overdue invoices that need collection activity or uploaded documents that unblock an engagement.</w:t>
      </w:r>
    </w:p>
    <w:p>
      <w:pPr>
        <w:pStyle w:val="ListParagraph"/>
        <w:numPr>
          <w:ilvl w:val="0"/>
          <w:numId w:val="2"/>
        </w:numPr>
        <w:spacing w:after="40"/>
        <w:ind w:left="892"/>
      </w:pPr>
      <w:r>
        <w:rPr>
          <w:sz w:val="21"/>
          <w:szCs w:val="21"/>
        </w:rPr>
        <w:t xml:space="preserve">Select View sources to inspect the records behind the generated summary.</w:t>
      </w:r>
    </w:p>
    <w:p>
      <w:pPr>
        <w:pStyle w:val="ListParagraph"/>
        <w:numPr>
          <w:ilvl w:val="0"/>
          <w:numId w:val="2"/>
        </w:numPr>
        <w:spacing w:after="40"/>
        <w:ind w:left="892"/>
      </w:pPr>
      <w:r>
        <w:rPr>
          <w:sz w:val="21"/>
          <w:szCs w:val="21"/>
        </w:rPr>
        <w:t xml:space="preserve">Use the Next actions links, such as Communication or Documents, to open the Communications inbox or Documents workspace named by the link.</w:t>
      </w:r>
    </w:p>
    <w:p>
      <w:pPr>
        <w:pStyle w:val="ListParagraph"/>
        <w:numPr>
          <w:ilvl w:val="0"/>
          <w:numId w:val="2"/>
        </w:numPr>
        <w:spacing w:after="40"/>
        <w:ind w:left="892"/>
      </w:pPr>
      <w:r>
        <w:rPr>
          <w:sz w:val="21"/>
          <w:szCs w:val="21"/>
        </w:rPr>
        <w:t xml:space="preserve">Use the connected Overview module tiles as additional action paths: Billing or its Report link opens billing work, Clients opens the client list, Engagements and Bottlenecks open Workflow, and Team load opens the team area.</w:t>
      </w:r>
    </w:p>
    <w:p>
      <w:pPr>
        <w:pStyle w:val="ListParagraph"/>
        <w:numPr>
          <w:ilvl w:val="0"/>
          <w:numId w:val="2"/>
        </w:numPr>
        <w:spacing w:after="40"/>
        <w:ind w:left="892"/>
      </w:pPr>
      <w:r>
        <w:rPr>
          <w:sz w:val="21"/>
          <w:szCs w:val="21"/>
        </w:rPr>
        <w:t xml:space="preserve">Select Re-Generate when the underlying activity has changed and a fresh summary is needed.</w:t>
      </w:r>
    </w:p>
    <w:p>
      <w:pPr>
        <w:spacing w:after="40" w:before="70"/>
        <w:ind w:left="403"/>
      </w:pPr>
      <w:r>
        <w:rPr>
          <w:color w:val="8B8FA3"/>
          <w:sz w:val="17"/>
          <w:szCs w:val="17"/>
        </w:rPr>
        <w:t xml:space="preserve">Search terms: 4 four invoices overdue daily brief insights actions modules   ·   Ref: pro-what-is-the-ai-generated-daily-briefing-151</w:t>
      </w:r>
    </w:p>
    <w:p>
      <w:pPr>
        <w:keepNext/>
        <w:spacing w:after="90" w:before="220"/>
      </w:pPr>
      <w:r>
        <w:rPr>
          <w:b/>
          <w:bCs/>
          <w:color w:val="1A1C2E"/>
          <w:sz w:val="24"/>
          <w:szCs w:val="24"/>
        </w:rPr>
        <w:t xml:space="preserve">7.   What use is tracked in AI Credits?</w:t>
      </w:r>
    </w:p>
    <w:p>
      <w:pPr>
        <w:spacing w:after="90"/>
        <w:ind w:left="403"/>
      </w:pPr>
      <w:r>
        <w:rPr>
          <w:sz w:val="22"/>
          <w:szCs w:val="22"/>
        </w:rPr>
        <w:t xml:space="preserve">AI Credits power the smart features used across AssureOne, including the AI assistant, summaries, drafting, call transcripts, document reading and extraction, and product-specific AI assistance. Every charge is itemized so the firm can see what consumed credits rather than relying only on the remaining balance.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AI Credits.</w:t>
      </w:r>
    </w:p>
    <w:p>
      <w:pPr>
        <w:pStyle w:val="ListParagraph"/>
        <w:numPr>
          <w:ilvl w:val="0"/>
          <w:numId w:val="2"/>
        </w:numPr>
        <w:spacing w:after="40"/>
        <w:ind w:left="892"/>
      </w:pPr>
      <w:r>
        <w:rPr>
          <w:sz w:val="21"/>
          <w:szCs w:val="21"/>
        </w:rPr>
        <w:t xml:space="preserve">Review Available credits and the amount used during the last 30 days.</w:t>
      </w:r>
    </w:p>
    <w:p>
      <w:pPr>
        <w:pStyle w:val="ListParagraph"/>
        <w:numPr>
          <w:ilvl w:val="0"/>
          <w:numId w:val="2"/>
        </w:numPr>
        <w:spacing w:after="40"/>
        <w:ind w:left="892"/>
      </w:pPr>
      <w:r>
        <w:rPr>
          <w:sz w:val="21"/>
          <w:szCs w:val="21"/>
        </w:rPr>
        <w:t xml:space="preserve">Filter activity to All products, Pro, Tax, Audit, or Books.</w:t>
      </w:r>
    </w:p>
    <w:p>
      <w:pPr>
        <w:pStyle w:val="ListParagraph"/>
        <w:numPr>
          <w:ilvl w:val="0"/>
          <w:numId w:val="2"/>
        </w:numPr>
        <w:spacing w:after="40"/>
        <w:ind w:left="892"/>
      </w:pPr>
      <w:r>
        <w:rPr>
          <w:sz w:val="21"/>
          <w:szCs w:val="21"/>
        </w:rPr>
        <w:t xml:space="preserve">Choose All team members or one person to review individual usage.</w:t>
      </w:r>
    </w:p>
    <w:p>
      <w:pPr>
        <w:pStyle w:val="ListParagraph"/>
        <w:numPr>
          <w:ilvl w:val="0"/>
          <w:numId w:val="2"/>
        </w:numPr>
        <w:spacing w:after="40"/>
        <w:ind w:left="892"/>
      </w:pPr>
      <w:r>
        <w:rPr>
          <w:sz w:val="21"/>
          <w:szCs w:val="21"/>
        </w:rPr>
        <w:t xml:space="preserve">Read each row's activity, feature, attributed user, product, date, and credits consumed; use the About control when more context is needed.</w:t>
      </w:r>
    </w:p>
    <w:p>
      <w:pPr>
        <w:pStyle w:val="ListParagraph"/>
        <w:numPr>
          <w:ilvl w:val="0"/>
          <w:numId w:val="2"/>
        </w:numPr>
        <w:spacing w:after="40"/>
        <w:ind w:left="892"/>
      </w:pPr>
      <w:r>
        <w:rPr>
          <w:sz w:val="21"/>
          <w:szCs w:val="21"/>
        </w:rPr>
        <w:t xml:space="preserve">Open Platform Subscription when the firm needs invoices or receipts for purchased credits.</w:t>
      </w:r>
    </w:p>
    <w:p>
      <w:pPr>
        <w:spacing w:after="40" w:before="70"/>
        <w:ind w:left="403"/>
      </w:pPr>
      <w:r>
        <w:rPr>
          <w:color w:val="8B8FA3"/>
          <w:sz w:val="17"/>
          <w:szCs w:val="17"/>
        </w:rPr>
        <w:t xml:space="preserve">Ref: pro-what-use-is-tracked-in-ai-credits-152</w:t>
      </w:r>
    </w:p>
    <w:p>
      <w:pPr>
        <w:keepNext/>
        <w:spacing w:after="90" w:before="220"/>
      </w:pPr>
      <w:r>
        <w:rPr>
          <w:b/>
          <w:bCs/>
          <w:color w:val="1A1C2E"/>
          <w:sz w:val="24"/>
          <w:szCs w:val="24"/>
        </w:rPr>
        <w:t xml:space="preserve">8.   How much do AI Credits cost, and how are more credits purchased?</w:t>
      </w:r>
    </w:p>
    <w:p>
      <w:pPr>
        <w:spacing w:after="90"/>
        <w:ind w:left="403"/>
      </w:pPr>
      <w:r>
        <w:rPr>
          <w:sz w:val="22"/>
          <w:szCs w:val="22"/>
        </w:rPr>
        <w:t xml:space="preserve">The purchase screen offers $25 for 2,500 credits, $50 for 5,000 credits, and $100 for 10,000 credits, plus a Custom amount option. Credits are billed at the underlying AI cost without a markup, and the firm chooses when to add them.</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AI Credits.</w:t>
      </w:r>
    </w:p>
    <w:p>
      <w:pPr>
        <w:pStyle w:val="ListParagraph"/>
        <w:numPr>
          <w:ilvl w:val="0"/>
          <w:numId w:val="2"/>
        </w:numPr>
        <w:spacing w:after="40"/>
        <w:ind w:left="892"/>
      </w:pPr>
      <w:r>
        <w:rPr>
          <w:sz w:val="21"/>
          <w:szCs w:val="21"/>
        </w:rPr>
        <w:t xml:space="preserve">Review the remaining balance and usage for the last 30 days.</w:t>
      </w:r>
    </w:p>
    <w:p>
      <w:pPr>
        <w:pStyle w:val="ListParagraph"/>
        <w:numPr>
          <w:ilvl w:val="0"/>
          <w:numId w:val="2"/>
        </w:numPr>
        <w:spacing w:after="40"/>
        <w:ind w:left="892"/>
      </w:pPr>
      <w:r>
        <w:rPr>
          <w:sz w:val="21"/>
          <w:szCs w:val="21"/>
        </w:rPr>
        <w:t xml:space="preserve">Select Buy credits.</w:t>
      </w:r>
    </w:p>
    <w:p>
      <w:pPr>
        <w:pStyle w:val="ListParagraph"/>
        <w:numPr>
          <w:ilvl w:val="0"/>
          <w:numId w:val="2"/>
        </w:numPr>
        <w:spacing w:after="40"/>
        <w:ind w:left="892"/>
      </w:pPr>
      <w:r>
        <w:rPr>
          <w:sz w:val="21"/>
          <w:szCs w:val="21"/>
        </w:rPr>
        <w:t xml:space="preserve">Choose the $25, $50, or $100 pack, or enter a custom top-up amount.</w:t>
      </w:r>
    </w:p>
    <w:p>
      <w:pPr>
        <w:pStyle w:val="ListParagraph"/>
        <w:numPr>
          <w:ilvl w:val="0"/>
          <w:numId w:val="2"/>
        </w:numPr>
        <w:spacing w:after="40"/>
        <w:ind w:left="892"/>
      </w:pPr>
      <w:r>
        <w:rPr>
          <w:sz w:val="21"/>
          <w:szCs w:val="21"/>
        </w:rPr>
        <w:t xml:space="preserve">Review the number of credits that will be added and the payment method secured by Stripe.</w:t>
      </w:r>
    </w:p>
    <w:p>
      <w:pPr>
        <w:pStyle w:val="ListParagraph"/>
        <w:numPr>
          <w:ilvl w:val="0"/>
          <w:numId w:val="2"/>
        </w:numPr>
        <w:spacing w:after="40"/>
        <w:ind w:left="892"/>
      </w:pPr>
      <w:r>
        <w:rPr>
          <w:sz w:val="21"/>
          <w:szCs w:val="21"/>
        </w:rPr>
        <w:t xml:space="preserve">Complete the purchase only after confirming the amount; the related invoice or receipt is available in Platform Subscription.</w:t>
      </w:r>
    </w:p>
    <w:p>
      <w:pPr>
        <w:spacing w:after="40" w:before="70"/>
        <w:ind w:left="403"/>
      </w:pPr>
      <w:r>
        <w:rPr>
          <w:color w:val="8B8FA3"/>
          <w:sz w:val="17"/>
          <w:szCs w:val="17"/>
        </w:rPr>
        <w:t xml:space="preserve">Ref: pro-how-much-do-ai-credits-cost-and-how-are-more-credits-purchased-153</w:t>
      </w:r>
    </w:p>
    <w:p>
      <w:pPr>
        <w:keepNext/>
        <w:spacing w:after="90" w:before="220"/>
      </w:pPr>
      <w:r>
        <w:rPr>
          <w:b/>
          <w:bCs/>
          <w:color w:val="1A1C2E"/>
          <w:sz w:val="24"/>
          <w:szCs w:val="24"/>
        </w:rPr>
        <w:t xml:space="preserve">9.   Are AI Credits replenished automatically or included as a monthly allowance?</w:t>
      </w:r>
    </w:p>
    <w:p>
      <w:pPr>
        <w:spacing w:after="60"/>
        <w:ind w:left="403"/>
      </w:pPr>
      <w:r>
        <w:rPr>
          <w:sz w:val="22"/>
          <w:szCs w:val="22"/>
        </w:rPr>
        <w:t xml:space="preserve">No. The firm controls when credits are purchased; AssurePro does not automatically charge the card or reset the balance as a monthly allowance. When the balance is running low, an administrator manually buys another pack or custom amount. As a planning benchmark, a firm with approximately five to ten users using AssurePro plus one additional AssureOne product typically consumes about $50 of AI Credits per month under normal usage, although actual consumption depends on the features and document volume used.</w:t>
      </w:r>
    </w:p>
    <w:p>
      <w:pPr>
        <w:spacing w:after="40" w:before="70"/>
        <w:ind w:left="403"/>
      </w:pPr>
      <w:r>
        <w:rPr>
          <w:color w:val="8B8FA3"/>
          <w:sz w:val="17"/>
          <w:szCs w:val="17"/>
        </w:rPr>
        <w:t xml:space="preserve">Ref: pro-are-ai-credits-replenished-automatically-or-included-as-a-monthly-allo-154</w:t>
      </w:r>
    </w:p>
    <w:p>
      <w:pPr>
        <w:keepNext/>
        <w:spacing w:after="90" w:before="220"/>
      </w:pPr>
      <w:r>
        <w:rPr>
          <w:b/>
          <w:bCs/>
          <w:color w:val="1A1C2E"/>
          <w:sz w:val="24"/>
          <w:szCs w:val="24"/>
        </w:rPr>
        <w:t xml:space="preserve">10.   What happens when the firm runs out of AI Credits?</w:t>
      </w:r>
    </w:p>
    <w:p>
      <w:pPr>
        <w:spacing w:after="90"/>
        <w:ind w:left="403"/>
      </w:pPr>
      <w:r>
        <w:rPr>
          <w:sz w:val="22"/>
          <w:szCs w:val="22"/>
        </w:rPr>
        <w:t xml:space="preserve">The remaining firm balance is shown in the application header and in Settings &gt; AI Credits. When it reaches zero, activities that depend on AI Credits pause rather than creating an automatic card charge. An administrator can open AI Credits, select Buy credits, complete a pack or custom-amount purchase, and then resume the AI-dependent work.</w:t>
      </w:r>
    </w:p>
    <w:p>
      <w:pPr>
        <w:spacing w:after="90"/>
        <w:ind w:left="403"/>
      </w:pPr>
      <w:r>
        <w:rPr>
          <w:b/>
          <w:bCs/>
          <w:color w:val="4735BE"/>
          <w:sz w:val="18"/>
          <w:szCs w:val="18"/>
        </w:rPr>
        <w:t xml:space="preserve">More   </w:t>
      </w:r>
      <w:r>
        <w:rPr>
          <w:sz w:val="22"/>
          <w:szCs w:val="22"/>
        </w:rPr>
        <w:t xml:space="preserve">To avoid interruption, monitor Available credits and the last-30-days usage rather than only the header badge. If the balance reaches zero during document extraction, drafting, or another smart feature, buy credits, confirm the new balance, and restart the affected action so its result is not assumed to have completed.</w:t>
      </w:r>
    </w:p>
    <w:p>
      <w:pPr>
        <w:spacing w:after="40" w:before="70"/>
        <w:ind w:left="403"/>
      </w:pPr>
      <w:r>
        <w:rPr>
          <w:color w:val="8B8FA3"/>
          <w:sz w:val="17"/>
          <w:szCs w:val="17"/>
        </w:rPr>
        <w:t xml:space="preserve">Ref: pro-what-happens-when-the-firm-runs-out-of-ai-credits-155</w:t>
      </w:r>
    </w:p>
    <w:p>
      <w:pPr>
        <w:keepNext/>
        <w:spacing w:after="90" w:before="220"/>
      </w:pPr>
      <w:r>
        <w:rPr>
          <w:b/>
          <w:bCs/>
          <w:color w:val="1A1C2E"/>
          <w:sz w:val="24"/>
          <w:szCs w:val="24"/>
        </w:rPr>
        <w:t xml:space="preserve">11.   How can administrators control AI Credit usage across the firm?</w:t>
      </w:r>
    </w:p>
    <w:p>
      <w:pPr>
        <w:spacing w:after="90"/>
        <w:ind w:left="403"/>
      </w:pPr>
      <w:r>
        <w:rPr>
          <w:sz w:val="22"/>
          <w:szCs w:val="22"/>
        </w:rPr>
        <w:t xml:space="preserve">Administrators have complete visibility into AI Credit usage and can control how credits are used across the firm. In Settings &gt; AI Credits, they can review consumption by AssureOne product and by individual firm user, allocate credits across the team, and set a usage cap for each firm user. This helps the firm manage its balance without limiting access to the AI features needed for approved work.</w:t>
      </w:r>
    </w:p>
    <w:p>
      <w:pPr>
        <w:spacing w:after="90"/>
        <w:ind w:left="403"/>
      </w:pPr>
      <w:r>
        <w:rPr>
          <w:b/>
          <w:bCs/>
          <w:color w:val="4735BE"/>
          <w:sz w:val="18"/>
          <w:szCs w:val="18"/>
        </w:rPr>
        <w:t xml:space="preserve">More   </w:t>
      </w:r>
      <w:r>
        <w:rPr>
          <w:sz w:val="22"/>
          <w:szCs w:val="22"/>
        </w:rPr>
        <w:t xml:space="preserve">For example, an administrator can give a frequent AI user a larger allocation, set a lower cap for a firm user who needs AI only occasionally, and review usage by Pro, Tax, Audit, or Books. Because AssureOne never reloads the balance or charges the card automatically, these controls help the firm decide when and how much to purchase.</w:t>
      </w:r>
    </w:p>
    <w:p>
      <w:pPr>
        <w:spacing w:after="40" w:before="70"/>
        <w:ind w:left="403"/>
      </w:pPr>
      <w:r>
        <w:rPr>
          <w:color w:val="8B8FA3"/>
          <w:sz w:val="17"/>
          <w:szCs w:val="17"/>
        </w:rPr>
        <w:t xml:space="preserve">Ref: pro-can-the-firm-set-a-spending-cap-or-get-an-alert-before-ai-credits-run--156</w:t>
      </w:r>
    </w:p>
    <w:p>
      <w:pPr>
        <w:keepNext/>
        <w:spacing w:after="90" w:before="220"/>
      </w:pPr>
      <w:r>
        <w:rPr>
          <w:b/>
          <w:bCs/>
          <w:color w:val="1A1C2E"/>
          <w:sz w:val="24"/>
          <w:szCs w:val="24"/>
        </w:rPr>
        <w:t xml:space="preserve">12.   Are AI Credits shared across the firm, or can they be allocated by firm user?</w:t>
      </w:r>
    </w:p>
    <w:p>
      <w:pPr>
        <w:spacing w:after="90"/>
        <w:ind w:left="403"/>
      </w:pPr>
      <w:r>
        <w:rPr>
          <w:sz w:val="22"/>
          <w:szCs w:val="22"/>
        </w:rPr>
        <w:t xml:space="preserve">AI Credits are purchased for the firm, and administrators can allocate that balance across individual firm users. They can review usage by product and by firm user, then set a per-user cap based on each person's responsibilities. The Credit Usage section shows where credits were consumed, so administrators can adjust allocations using actual activity rather than estimates.</w:t>
      </w:r>
    </w:p>
    <w:p>
      <w:pPr>
        <w:spacing w:after="90"/>
        <w:ind w:left="403"/>
      </w:pPr>
      <w:r>
        <w:rPr>
          <w:b/>
          <w:bCs/>
          <w:color w:val="4735BE"/>
          <w:sz w:val="18"/>
          <w:szCs w:val="18"/>
        </w:rPr>
        <w:t xml:space="preserve">More   </w:t>
      </w:r>
      <w:r>
        <w:rPr>
          <w:sz w:val="22"/>
          <w:szCs w:val="22"/>
        </w:rPr>
        <w:t xml:space="preserve">For example, if the firm buys 10,000 credits, an administrator can distribute appropriate portions to different firm users and cap each person's usage. The administrator can then review consumption by module and firm user and revise those allocations as responsibilities or usage patterns change.</w:t>
      </w:r>
    </w:p>
    <w:p>
      <w:pPr>
        <w:spacing w:after="40" w:before="70"/>
        <w:ind w:left="403"/>
      </w:pPr>
      <w:r>
        <w:rPr>
          <w:color w:val="8B8FA3"/>
          <w:sz w:val="17"/>
          <w:szCs w:val="17"/>
        </w:rPr>
        <w:t xml:space="preserve">Ref: pro-are-ai-credits-shared-across-the-firm-or-does-each-user-have-a-separat-157</w:t>
      </w:r>
    </w:p>
    <w:p>
      <w:pPr>
        <w:keepNext/>
        <w:spacing w:after="90" w:before="220"/>
      </w:pPr>
      <w:r>
        <w:rPr>
          <w:b/>
          <w:bCs/>
          <w:color w:val="1A1C2E"/>
          <w:sz w:val="24"/>
          <w:szCs w:val="24"/>
        </w:rPr>
        <w:t xml:space="preserve">13.   Can we control what data the AI Agent retains?</w:t>
      </w:r>
    </w:p>
    <w:p>
      <w:pPr>
        <w:spacing w:after="90"/>
        <w:ind w:left="403"/>
      </w:pPr>
      <w:r>
        <w:rPr>
          <w:sz w:val="22"/>
          <w:szCs w:val="22"/>
        </w:rPr>
        <w:t xml:space="preserve">Yes. Each firm user controls retention through AI Agent Memory. Turn Memory on when the Agent should keep useful context for future conversations, or turn it off when nothing should be retained beyond the current session. The firm user can also inspect saved items, remove one item with Forget this, or erase all saved Agent context with Clear all memory.</w:t>
      </w:r>
    </w:p>
    <w:p>
      <w:pPr>
        <w:spacing w:after="90"/>
        <w:ind w:left="403"/>
      </w:pPr>
      <w:r>
        <w:rPr>
          <w:b/>
          <w:bCs/>
          <w:color w:val="4735BE"/>
          <w:sz w:val="18"/>
          <w:szCs w:val="18"/>
        </w:rPr>
        <w:t xml:space="preserve">More   </w:t>
      </w:r>
      <w:r>
        <w:rPr>
          <w:sz w:val="22"/>
          <w:szCs w:val="22"/>
        </w:rPr>
        <w:t xml:space="preserve">For example, keep a stable firm preference only when it will help future conversations, but forget temporary client-specific context when it is no longer appropriate. Review Memory periodically and use Clear all memory when the firm user wants to reset the Agent's retained context completely.</w:t>
      </w:r>
    </w:p>
    <w:p>
      <w:pPr>
        <w:spacing w:after="40" w:before="70"/>
        <w:ind w:left="403"/>
      </w:pPr>
      <w:r>
        <w:rPr>
          <w:color w:val="8B8FA3"/>
          <w:sz w:val="17"/>
          <w:szCs w:val="17"/>
        </w:rPr>
        <w:t xml:space="preserve">Ref: pro-can-we-control-what-data-the-ai-agent-retains-158</w:t>
      </w:r>
    </w:p>
    <w:p>
      <w:pPr>
        <w:keepNext/>
        <w:spacing w:after="90" w:before="220"/>
      </w:pPr>
      <w:r>
        <w:rPr>
          <w:b/>
          <w:bCs/>
          <w:color w:val="1A1C2E"/>
          <w:sz w:val="24"/>
          <w:szCs w:val="24"/>
        </w:rPr>
        <w:t xml:space="preserve">14.   Can an AI Agent action be undone, and is there an audit trail of what it did?</w:t>
      </w:r>
    </w:p>
    <w:p>
      <w:pPr>
        <w:spacing w:after="60"/>
        <w:ind w:left="403"/>
      </w:pPr>
      <w:r>
        <w:rPr>
          <w:sz w:val="22"/>
          <w:szCs w:val="22"/>
        </w:rPr>
        <w:t xml:space="preserve">AssurePro does not provide one universal Undo control for every completed AI Agent action. Review the affected client, record, recipient, amount, and date before confirming a proposed change, and leave Auto-approve low-risk actions off when each action should be approved individually. Settings &gt; AI Credits records AI usage and attribution; it should not be treated as a complete change log for every action. Review the affected record's own activity or audit history when that history is available.</w:t>
      </w:r>
    </w:p>
    <w:p>
      <w:pPr>
        <w:spacing w:after="40" w:before="70"/>
        <w:ind w:left="403"/>
      </w:pPr>
      <w:r>
        <w:rPr>
          <w:color w:val="8B8FA3"/>
          <w:sz w:val="17"/>
          <w:szCs w:val="17"/>
        </w:rPr>
        <w:t xml:space="preserve">Ref: pro-can-an-ai-agent-action-be-undone-and-is-there-an-audit-trail-of-what-i-159</w:t>
      </w:r>
    </w:p>
    <w:p>
      <w:pPr>
        <w:keepNext/>
        <w:spacing w:after="90" w:before="220"/>
      </w:pPr>
      <w:r>
        <w:rPr>
          <w:b/>
          <w:bCs/>
          <w:color w:val="1A1C2E"/>
          <w:sz w:val="24"/>
          <w:szCs w:val="24"/>
        </w:rPr>
        <w:t xml:space="preserve">15.   Do unused AI Credits expire or roll over?</w:t>
      </w:r>
    </w:p>
    <w:p>
      <w:pPr>
        <w:spacing w:after="90"/>
        <w:ind w:left="403"/>
      </w:pPr>
      <w:r>
        <w:rPr>
          <w:sz w:val="22"/>
          <w:szCs w:val="22"/>
        </w:rPr>
        <w:t xml:space="preserve">AI Credits never expire and do not reset at the end of a month or subscription cycle. The unused balance remains available to the firm until it is consumed, so there is no rollover calculation and no need to spend credits before a renewal date.</w:t>
      </w:r>
    </w:p>
    <w:p>
      <w:pPr>
        <w:spacing w:after="90"/>
        <w:ind w:left="403"/>
      </w:pPr>
      <w:r>
        <w:rPr>
          <w:b/>
          <w:bCs/>
          <w:color w:val="4735BE"/>
          <w:sz w:val="18"/>
          <w:szCs w:val="18"/>
        </w:rPr>
        <w:t xml:space="preserve">More   </w:t>
      </w:r>
      <w:r>
        <w:rPr>
          <w:sz w:val="22"/>
          <w:szCs w:val="22"/>
        </w:rPr>
        <w:t xml:space="preserve">For example, if a firm buys 5,000 credits and uses only 3,500 during the month, the remaining 1,500 stay in the balance for later work. Since there is no monthly reset, administrators can buy based on expected usage rather than spending credits to avoid forfeiture.</w:t>
      </w:r>
    </w:p>
    <w:p>
      <w:pPr>
        <w:spacing w:after="40" w:before="70"/>
        <w:ind w:left="403"/>
      </w:pPr>
      <w:r>
        <w:rPr>
          <w:color w:val="8B8FA3"/>
          <w:sz w:val="17"/>
          <w:szCs w:val="17"/>
        </w:rPr>
        <w:t xml:space="preserve">Ref: pro-do-unused-ai-credits-expire-or-roll-over-160</w:t>
      </w:r>
    </w:p>
    <w:p>
      <w:r>
        <w:br w:type="page"/>
      </w:r>
    </w:p>
    <w:p>
      <w:pPr>
        <w:pStyle w:val="Heading1"/>
        <w:spacing w:after="40" w:before="60"/>
      </w:pPr>
      <w:r>
        <w:rPr>
          <w:b/>
          <w:bCs/>
          <w:color w:val="1A1C2E"/>
          <w:sz w:val="32"/>
          <w:szCs w:val="32"/>
        </w:rPr>
        <w:t xml:space="preserve">Integrations &amp; security</w:t>
      </w:r>
    </w:p>
    <w:p>
      <w:pPr>
        <w:pBdr>
          <w:bottom w:val="single" w:color="E4E2F0" w:sz="4"/>
        </w:pBdr>
        <w:spacing w:after="200"/>
      </w:pPr>
      <w:r>
        <w:rPr>
          <w:color w:val="8B8FA3"/>
          <w:sz w:val="20"/>
          <w:szCs w:val="20"/>
        </w:rPr>
        <w:t xml:space="preserve">12 questions</w:t>
      </w:r>
    </w:p>
    <w:p>
      <w:pPr>
        <w:keepNext/>
        <w:spacing w:after="90" w:before="220"/>
      </w:pPr>
      <w:r>
        <w:rPr>
          <w:b/>
          <w:bCs/>
          <w:color w:val="1A1C2E"/>
          <w:sz w:val="24"/>
          <w:szCs w:val="24"/>
        </w:rPr>
        <w:t xml:space="preserve">1.   Which third-party services can be connected?</w:t>
      </w:r>
    </w:p>
    <w:p>
      <w:pPr>
        <w:spacing w:after="90"/>
        <w:ind w:left="403"/>
      </w:pPr>
      <w:r>
        <w:rPr>
          <w:sz w:val="22"/>
          <w:szCs w:val="22"/>
        </w:rPr>
        <w:t xml:space="preserve">Settings &gt; Integrations lists Gmail and Outlook for email, Calendly, Google Calendar, and Outlook Calendar for meetings, Dropbox and OneDrive for documents, Twilio for SMS, the displayed payment processor for client payments, QuickBooks Online for accounting, and ProdAff for its listed connection.</w:t>
      </w:r>
    </w:p>
    <w:p>
      <w:pPr>
        <w:spacing w:after="90"/>
        <w:ind w:left="403"/>
      </w:pPr>
      <w:r>
        <w:rPr>
          <w:b/>
          <w:bCs/>
          <w:color w:val="4735BE"/>
          <w:sz w:val="18"/>
          <w:szCs w:val="18"/>
        </w:rPr>
        <w:t xml:space="preserve">More   </w:t>
      </w:r>
      <w:r>
        <w:rPr>
          <w:sz w:val="22"/>
          <w:szCs w:val="22"/>
        </w:rPr>
        <w:t xml:space="preserve">Choose the service based on the task: Gmail or Outlook for firm email; Calendly, Google Calendar, or Outlook Calendar for meetings; Dropbox or OneDrive for document import; the payment processor shown in Integrations for client payments; QuickBooks Online for paid-invoice accounting; and Twilio for SMS. ProdAff appears as a separate connection in the Integrations list. A provider showing in the list is not enough—complete authorization and test the dependent workflow.</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Email: connect Gmail or Outlook so authorized firm users can send and review email through AssurePro Communications.</w:t>
      </w:r>
    </w:p>
    <w:p>
      <w:pPr>
        <w:pStyle w:val="ListParagraph"/>
        <w:numPr>
          <w:ilvl w:val="0"/>
          <w:numId w:val="2"/>
        </w:numPr>
        <w:spacing w:after="40"/>
        <w:ind w:left="892"/>
      </w:pPr>
      <w:r>
        <w:rPr>
          <w:sz w:val="21"/>
          <w:szCs w:val="21"/>
        </w:rPr>
        <w:t xml:space="preserve">Scheduling and calendars: connect Calendly for scheduling and connect Google Calendar or Outlook Calendar to associate meetings with client records.</w:t>
      </w:r>
    </w:p>
    <w:p>
      <w:pPr>
        <w:pStyle w:val="ListParagraph"/>
        <w:numPr>
          <w:ilvl w:val="0"/>
          <w:numId w:val="2"/>
        </w:numPr>
        <w:spacing w:after="40"/>
        <w:ind w:left="892"/>
      </w:pPr>
      <w:r>
        <w:rPr>
          <w:sz w:val="21"/>
          <w:szCs w:val="21"/>
        </w:rPr>
        <w:t xml:space="preserve">Document storage: connect Dropbox or OneDrive so firm users can import files into a client's Documents workspace and configure connected-folder imports.</w:t>
      </w:r>
    </w:p>
    <w:p>
      <w:pPr>
        <w:pStyle w:val="ListParagraph"/>
        <w:numPr>
          <w:ilvl w:val="0"/>
          <w:numId w:val="2"/>
        </w:numPr>
        <w:spacing w:after="40"/>
        <w:ind w:left="892"/>
      </w:pPr>
      <w:r>
        <w:rPr>
          <w:sz w:val="21"/>
          <w:szCs w:val="21"/>
        </w:rPr>
        <w:t xml:space="preserve">Payments: connect the payment processor shown in Integrations before sending invoices that client users should be able to pay online.</w:t>
      </w:r>
    </w:p>
    <w:p>
      <w:pPr>
        <w:pStyle w:val="ListParagraph"/>
        <w:numPr>
          <w:ilvl w:val="0"/>
          <w:numId w:val="2"/>
        </w:numPr>
        <w:spacing w:after="40"/>
        <w:ind w:left="892"/>
      </w:pPr>
      <w:r>
        <w:rPr>
          <w:sz w:val="21"/>
          <w:szCs w:val="21"/>
        </w:rPr>
        <w:t xml:space="preserve">Accounting: connect QuickBooks Online when paid-invoice information should flow into the firm's accounting process.</w:t>
      </w:r>
    </w:p>
    <w:p>
      <w:pPr>
        <w:pStyle w:val="ListParagraph"/>
        <w:numPr>
          <w:ilvl w:val="0"/>
          <w:numId w:val="2"/>
        </w:numPr>
        <w:spacing w:after="40"/>
        <w:ind w:left="892"/>
      </w:pPr>
      <w:r>
        <w:rPr>
          <w:sz w:val="21"/>
          <w:szCs w:val="21"/>
        </w:rPr>
        <w:t xml:space="preserve">SMS: connect Twilio and configure the firm's phone-number setup before using text-message workflows.</w:t>
      </w:r>
    </w:p>
    <w:p>
      <w:pPr>
        <w:pStyle w:val="ListParagraph"/>
        <w:numPr>
          <w:ilvl w:val="0"/>
          <w:numId w:val="2"/>
        </w:numPr>
        <w:spacing w:after="40"/>
        <w:ind w:left="892"/>
      </w:pPr>
      <w:r>
        <w:rPr>
          <w:sz w:val="21"/>
          <w:szCs w:val="21"/>
        </w:rPr>
        <w:t xml:space="preserve">ProdAff: connect the provider only when the firm uses the ProdAff service identified on the Integrations page.</w:t>
      </w:r>
    </w:p>
    <w:p>
      <w:pPr>
        <w:pStyle w:val="ListParagraph"/>
        <w:numPr>
          <w:ilvl w:val="0"/>
          <w:numId w:val="2"/>
        </w:numPr>
        <w:spacing w:after="40"/>
        <w:ind w:left="892"/>
      </w:pPr>
      <w:r>
        <w:rPr>
          <w:sz w:val="21"/>
          <w:szCs w:val="21"/>
        </w:rPr>
        <w:t xml:space="preserve">After authorizing a provider, return to the dependent AssurePro area and test the complete workflow; a Connected label confirms authorization, while a successful email, calendar event, import, payment, sync, or SMS confirms that the connection is usable.</w:t>
      </w:r>
    </w:p>
    <w:p>
      <w:pPr>
        <w:spacing w:after="40" w:before="70"/>
        <w:ind w:left="403"/>
      </w:pPr>
      <w:r>
        <w:rPr>
          <w:color w:val="8B8FA3"/>
          <w:sz w:val="17"/>
          <w:szCs w:val="17"/>
        </w:rPr>
        <w:t xml:space="preserve">Ref: pro-which-third-party-services-can-be-connected-161</w:t>
      </w:r>
    </w:p>
    <w:p>
      <w:pPr>
        <w:keepNext/>
        <w:spacing w:after="90" w:before="220"/>
      </w:pPr>
      <w:r>
        <w:rPr>
          <w:b/>
          <w:bCs/>
          <w:color w:val="1A1C2E"/>
          <w:sz w:val="24"/>
          <w:szCs w:val="24"/>
        </w:rPr>
        <w:t xml:space="preserve">2.   How do I connect an integration?</w:t>
      </w:r>
    </w:p>
    <w:p>
      <w:pPr>
        <w:spacing w:after="90"/>
        <w:ind w:left="403"/>
      </w:pPr>
      <w:r>
        <w:rPr>
          <w:sz w:val="22"/>
          <w:szCs w:val="22"/>
        </w:rPr>
        <w:t xml:space="preserve">Connect each external service from Settings &gt; Integrations. Use a firm-controlled provider account, confirm the connected identity after authorization, and test the exact feature that uses it before using the connection for client work.</w:t>
      </w:r>
    </w:p>
    <w:p>
      <w:pPr>
        <w:spacing w:after="90"/>
        <w:ind w:left="403"/>
      </w:pPr>
      <w:r>
        <w:rPr>
          <w:b/>
          <w:bCs/>
          <w:color w:val="4735BE"/>
          <w:sz w:val="18"/>
          <w:szCs w:val="18"/>
        </w:rPr>
        <w:t xml:space="preserve">More   </w:t>
      </w:r>
      <w:r>
        <w:rPr>
          <w:sz w:val="22"/>
          <w:szCs w:val="22"/>
        </w:rPr>
        <w:t xml:space="preserve">Use a firm-controlled provider account with the permissions required for the workflow, not an individual's temporary test account. After authorization, confirm the connected identity and run a safe test—for example, import a non-sensitive demo file, send an internal test email, or reconcile a controlled invoice—before enabling client-facing use.</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Integrations.</w:t>
      </w:r>
    </w:p>
    <w:p>
      <w:pPr>
        <w:pStyle w:val="ListParagraph"/>
        <w:numPr>
          <w:ilvl w:val="0"/>
          <w:numId w:val="2"/>
        </w:numPr>
        <w:spacing w:after="40"/>
        <w:ind w:left="892"/>
      </w:pPr>
      <w:r>
        <w:rPr>
          <w:sz w:val="21"/>
          <w:szCs w:val="21"/>
        </w:rPr>
        <w:t xml:space="preserve">Find the email, calendar, storage, payment, accounting, messaging, or other provider needed by the firm.</w:t>
      </w:r>
    </w:p>
    <w:p>
      <w:pPr>
        <w:pStyle w:val="ListParagraph"/>
        <w:numPr>
          <w:ilvl w:val="0"/>
          <w:numId w:val="2"/>
        </w:numPr>
        <w:spacing w:after="40"/>
        <w:ind w:left="892"/>
      </w:pPr>
      <w:r>
        <w:rPr>
          <w:sz w:val="21"/>
          <w:szCs w:val="21"/>
        </w:rPr>
        <w:t xml:space="preserve">Select Connect and complete the provider's authorization flow.</w:t>
      </w:r>
    </w:p>
    <w:p>
      <w:pPr>
        <w:pStyle w:val="ListParagraph"/>
        <w:numPr>
          <w:ilvl w:val="0"/>
          <w:numId w:val="2"/>
        </w:numPr>
        <w:spacing w:after="40"/>
        <w:ind w:left="892"/>
      </w:pPr>
      <w:r>
        <w:rPr>
          <w:sz w:val="21"/>
          <w:szCs w:val="21"/>
        </w:rPr>
        <w:t xml:space="preserve">Return to AssurePro and confirm that the provider shows as connected.</w:t>
      </w:r>
    </w:p>
    <w:p>
      <w:pPr>
        <w:pStyle w:val="ListParagraph"/>
        <w:numPr>
          <w:ilvl w:val="0"/>
          <w:numId w:val="2"/>
        </w:numPr>
        <w:spacing w:after="40"/>
        <w:ind w:left="892"/>
      </w:pPr>
      <w:r>
        <w:rPr>
          <w:sz w:val="21"/>
          <w:szCs w:val="21"/>
        </w:rPr>
        <w:t xml:space="preserve">Run a test for the connected service: send an internal email, import a non-sensitive test document, create a test calendar event, send an internal SMS, or reconcile a controlled payment or accounting record.</w:t>
      </w:r>
    </w:p>
    <w:p>
      <w:pPr>
        <w:spacing w:after="40" w:before="70"/>
        <w:ind w:left="403"/>
      </w:pPr>
      <w:r>
        <w:rPr>
          <w:color w:val="8B8FA3"/>
          <w:sz w:val="17"/>
          <w:szCs w:val="17"/>
        </w:rPr>
        <w:t xml:space="preserve">Ref: pro-how-do-i-connect-an-integration-162</w:t>
      </w:r>
    </w:p>
    <w:p>
      <w:pPr>
        <w:keepNext/>
        <w:spacing w:after="90" w:before="220"/>
      </w:pPr>
      <w:r>
        <w:rPr>
          <w:b/>
          <w:bCs/>
          <w:color w:val="1A1C2E"/>
          <w:sz w:val="24"/>
          <w:szCs w:val="24"/>
        </w:rPr>
        <w:t xml:space="preserve">3.   Which workflows require a connected service?</w:t>
      </w:r>
    </w:p>
    <w:p>
      <w:pPr>
        <w:spacing w:after="90"/>
        <w:ind w:left="403"/>
      </w:pPr>
      <w:r>
        <w:rPr>
          <w:sz w:val="22"/>
          <w:szCs w:val="22"/>
        </w:rPr>
        <w:t xml:space="preserve">Cloud document import requires Dropbox or OneDrive; client SMS requires Twilio and a firm phone number; calendar matching uses Calendly, Google Calendar, or Outlook Calendar; email connections use Gmail or Outlook; client payment collection uses the payment processor; and paid-invoice accounting sync uses QuickBooks Online. Each feature becomes usable only after its named external service is connected and authorized in Settings &gt; Integrations.</w:t>
      </w:r>
    </w:p>
    <w:p>
      <w:pPr>
        <w:spacing w:after="90"/>
        <w:ind w:left="403"/>
      </w:pPr>
      <w:r>
        <w:rPr>
          <w:b/>
          <w:bCs/>
          <w:color w:val="4735BE"/>
          <w:sz w:val="18"/>
          <w:szCs w:val="18"/>
        </w:rPr>
        <w:t xml:space="preserve">More   </w:t>
      </w:r>
      <w:r>
        <w:rPr>
          <w:sz w:val="22"/>
          <w:szCs w:val="22"/>
        </w:rPr>
        <w:t xml:space="preserve">Example: selecting Import without Dropbox or OneDrive directs the firm user to Integrations; SMS cannot operate without Twilio and a linked number; and client payment collection depends on the payment processor. Document the owner of each connection because an expired authorization can interrupt several firm users at once.</w:t>
      </w:r>
    </w:p>
    <w:p>
      <w:pPr>
        <w:spacing w:after="40" w:before="70"/>
        <w:ind w:left="403"/>
      </w:pPr>
      <w:r>
        <w:rPr>
          <w:color w:val="8B8FA3"/>
          <w:sz w:val="17"/>
          <w:szCs w:val="17"/>
        </w:rPr>
        <w:t xml:space="preserve">Ref: pro-which-workflows-require-a-connected-service-163</w:t>
      </w:r>
    </w:p>
    <w:p>
      <w:pPr>
        <w:keepNext/>
        <w:spacing w:after="90" w:before="220"/>
      </w:pPr>
      <w:r>
        <w:rPr>
          <w:b/>
          <w:bCs/>
          <w:color w:val="1A1C2E"/>
          <w:sz w:val="24"/>
          <w:szCs w:val="24"/>
        </w:rPr>
        <w:t xml:space="preserve">4.   What is the Tax Connector?</w:t>
      </w:r>
    </w:p>
    <w:p>
      <w:pPr>
        <w:spacing w:after="90"/>
        <w:ind w:left="403"/>
      </w:pPr>
      <w:r>
        <w:rPr>
          <w:sz w:val="22"/>
          <w:szCs w:val="22"/>
        </w:rPr>
        <w:t xml:space="preserve">Tax Connector approves Windows computers that import supported tax-software data into AssureTax. A pairing code expires after ten minutes, each approved computer receives its own revocable import-only credential, and the connected-computer list records status, last seen, credential expiry, platform, and app version.</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Tax Connector.</w:t>
      </w:r>
    </w:p>
    <w:p>
      <w:pPr>
        <w:pStyle w:val="ListParagraph"/>
        <w:numPr>
          <w:ilvl w:val="0"/>
          <w:numId w:val="2"/>
        </w:numPr>
        <w:spacing w:after="40"/>
        <w:ind w:left="892"/>
      </w:pPr>
      <w:r>
        <w:rPr>
          <w:sz w:val="21"/>
          <w:szCs w:val="21"/>
        </w:rPr>
        <w:t xml:space="preserve">Enter the pairing code displayed by the Tax Connector within its ten-minute validity window.</w:t>
      </w:r>
    </w:p>
    <w:p>
      <w:pPr>
        <w:pStyle w:val="ListParagraph"/>
        <w:numPr>
          <w:ilvl w:val="0"/>
          <w:numId w:val="2"/>
        </w:numPr>
        <w:spacing w:after="40"/>
        <w:ind w:left="892"/>
      </w:pPr>
      <w:r>
        <w:rPr>
          <w:sz w:val="21"/>
          <w:szCs w:val="21"/>
        </w:rPr>
        <w:t xml:space="preserve">Select Approve computer, or Deny when the request is not recognized.</w:t>
      </w:r>
    </w:p>
    <w:p>
      <w:pPr>
        <w:pStyle w:val="ListParagraph"/>
        <w:numPr>
          <w:ilvl w:val="0"/>
          <w:numId w:val="2"/>
        </w:numPr>
        <w:spacing w:after="40"/>
        <w:ind w:left="892"/>
      </w:pPr>
      <w:r>
        <w:rPr>
          <w:sz w:val="21"/>
          <w:szCs w:val="21"/>
        </w:rPr>
        <w:t xml:space="preserve">Review the computer under Connected computers.</w:t>
      </w:r>
    </w:p>
    <w:p>
      <w:pPr>
        <w:pStyle w:val="ListParagraph"/>
        <w:numPr>
          <w:ilvl w:val="0"/>
          <w:numId w:val="2"/>
        </w:numPr>
        <w:spacing w:after="40"/>
        <w:ind w:left="892"/>
      </w:pPr>
      <w:r>
        <w:rPr>
          <w:sz w:val="21"/>
          <w:szCs w:val="21"/>
        </w:rPr>
        <w:t xml:space="preserve">Use Revoke to remove an active computer; revocation takes effect on its next connector request.</w:t>
      </w:r>
    </w:p>
    <w:p>
      <w:pPr>
        <w:spacing w:after="40" w:before="70"/>
        <w:ind w:left="403"/>
      </w:pPr>
      <w:r>
        <w:rPr>
          <w:color w:val="8B8FA3"/>
          <w:sz w:val="17"/>
          <w:szCs w:val="17"/>
        </w:rPr>
        <w:t xml:space="preserve">Ref: pro-what-is-the-tax-connector-164</w:t>
      </w:r>
    </w:p>
    <w:p>
      <w:pPr>
        <w:keepNext/>
        <w:spacing w:after="90" w:before="220"/>
      </w:pPr>
      <w:r>
        <w:rPr>
          <w:b/>
          <w:bCs/>
          <w:color w:val="1A1C2E"/>
          <w:sz w:val="24"/>
          <w:szCs w:val="24"/>
        </w:rPr>
        <w:t xml:space="preserve">5.   How are shared firm and client credentials handled?</w:t>
      </w:r>
    </w:p>
    <w:p>
      <w:pPr>
        <w:spacing w:after="90"/>
        <w:ind w:left="403"/>
      </w:pPr>
      <w:r>
        <w:rPr>
          <w:sz w:val="22"/>
          <w:szCs w:val="22"/>
        </w:rPr>
        <w:t xml:space="preserve">Firm Credentials stores internal shared logins, while each client workspace has its own Credentials tab. The interface states that secrets are encrypted at rest with AES-256, only engagement owners can reveal them, and every reveal is logged.</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Firm Credentials for a firm-wide internal tool, or open the client's Credentials tab for a client-specific login.</w:t>
      </w:r>
    </w:p>
    <w:p>
      <w:pPr>
        <w:pStyle w:val="ListParagraph"/>
        <w:numPr>
          <w:ilvl w:val="0"/>
          <w:numId w:val="2"/>
        </w:numPr>
        <w:spacing w:after="40"/>
        <w:ind w:left="892"/>
      </w:pPr>
      <w:r>
        <w:rPr>
          <w:sz w:val="21"/>
          <w:szCs w:val="21"/>
        </w:rPr>
        <w:t xml:space="preserve">Select Add your first credential when the list is empty, or select Add credential when credentials already exist.</w:t>
      </w:r>
    </w:p>
    <w:p>
      <w:pPr>
        <w:pStyle w:val="ListParagraph"/>
        <w:numPr>
          <w:ilvl w:val="0"/>
          <w:numId w:val="2"/>
        </w:numPr>
        <w:spacing w:after="40"/>
        <w:ind w:left="892"/>
      </w:pPr>
      <w:r>
        <w:rPr>
          <w:sz w:val="21"/>
          <w:szCs w:val="21"/>
        </w:rPr>
        <w:t xml:space="preserve">Enter the service and credential details in the form.</w:t>
      </w:r>
    </w:p>
    <w:p>
      <w:pPr>
        <w:pStyle w:val="ListParagraph"/>
        <w:numPr>
          <w:ilvl w:val="0"/>
          <w:numId w:val="2"/>
        </w:numPr>
        <w:spacing w:after="40"/>
        <w:ind w:left="892"/>
      </w:pPr>
      <w:r>
        <w:rPr>
          <w:sz w:val="21"/>
          <w:szCs w:val="21"/>
        </w:rPr>
        <w:t xml:space="preserve">Limit reveal access through engagement ownership and team permissions.</w:t>
      </w:r>
    </w:p>
    <w:p>
      <w:pPr>
        <w:pStyle w:val="ListParagraph"/>
        <w:numPr>
          <w:ilvl w:val="0"/>
          <w:numId w:val="2"/>
        </w:numPr>
        <w:spacing w:after="40"/>
        <w:ind w:left="892"/>
      </w:pPr>
      <w:r>
        <w:rPr>
          <w:sz w:val="21"/>
          <w:szCs w:val="21"/>
        </w:rPr>
        <w:t xml:space="preserve">Use the recorded reveal history when access needs to be audited.</w:t>
      </w:r>
    </w:p>
    <w:p>
      <w:pPr>
        <w:spacing w:after="40" w:before="70"/>
        <w:ind w:left="403"/>
      </w:pPr>
      <w:r>
        <w:rPr>
          <w:color w:val="8B8FA3"/>
          <w:sz w:val="17"/>
          <w:szCs w:val="17"/>
        </w:rPr>
        <w:t xml:space="preserve">Ref: pro-how-are-shared-firm-and-client-credentials-handled-165</w:t>
      </w:r>
    </w:p>
    <w:p>
      <w:pPr>
        <w:keepNext/>
        <w:spacing w:after="90" w:before="220"/>
      </w:pPr>
      <w:r>
        <w:rPr>
          <w:b/>
          <w:bCs/>
          <w:color w:val="1A1C2E"/>
          <w:sz w:val="24"/>
          <w:szCs w:val="24"/>
        </w:rPr>
        <w:t xml:space="preserve">6.   What can firm users manage in Security settings?</w:t>
      </w:r>
    </w:p>
    <w:p>
      <w:pPr>
        <w:spacing w:after="90"/>
        <w:ind w:left="403"/>
      </w:pPr>
      <w:r>
        <w:rPr>
          <w:sz w:val="22"/>
          <w:szCs w:val="22"/>
        </w:rPr>
        <w:t xml:space="preserve">Security currently provides password change for the signed-in firm user. It requires the current password, a new password of at least eight characters, and confirmation; show-password controls are available for checking the entries.</w:t>
      </w:r>
    </w:p>
    <w:p>
      <w:pPr>
        <w:spacing w:after="90"/>
        <w:ind w:left="403"/>
      </w:pPr>
      <w:r>
        <w:rPr>
          <w:b/>
          <w:bCs/>
          <w:color w:val="4735BE"/>
          <w:sz w:val="18"/>
          <w:szCs w:val="18"/>
        </w:rPr>
        <w:t xml:space="preserve">More   </w:t>
      </w:r>
      <w:r>
        <w:rPr>
          <w:sz w:val="22"/>
          <w:szCs w:val="22"/>
        </w:rPr>
        <w:t xml:space="preserve">Use a unique password that meets the minimum length and the firm's internal policy, use Show password to verify the entry before saving, and store it only in the firm's approved password manager. Changing the password affects the signed-in firm user's account; it does not change team roles, product access, or client portal credentials.</w:t>
      </w:r>
    </w:p>
    <w:p>
      <w:pPr>
        <w:spacing w:after="60" w:before="40"/>
        <w:ind w:left="403"/>
      </w:pPr>
      <w:r>
        <w:rPr>
          <w:b/>
          <w:bCs/>
          <w:color w:val="8B8FA3"/>
          <w:sz w:val="17"/>
          <w:szCs w:val="17"/>
        </w:rPr>
        <w:t xml:space="preserve">STEPS</w:t>
      </w:r>
    </w:p>
    <w:p>
      <w:pPr>
        <w:pStyle w:val="ListParagraph"/>
        <w:numPr>
          <w:ilvl w:val="0"/>
          <w:numId w:val="2"/>
        </w:numPr>
        <w:spacing w:after="40"/>
        <w:ind w:left="892"/>
      </w:pPr>
      <w:r>
        <w:rPr>
          <w:sz w:val="21"/>
          <w:szCs w:val="21"/>
        </w:rPr>
        <w:t xml:space="preserve">Open Settings and choose Security.</w:t>
      </w:r>
    </w:p>
    <w:p>
      <w:pPr>
        <w:pStyle w:val="ListParagraph"/>
        <w:numPr>
          <w:ilvl w:val="0"/>
          <w:numId w:val="2"/>
        </w:numPr>
        <w:spacing w:after="40"/>
        <w:ind w:left="892"/>
      </w:pPr>
      <w:r>
        <w:rPr>
          <w:sz w:val="21"/>
          <w:szCs w:val="21"/>
        </w:rPr>
        <w:t xml:space="preserve">Enter the Current Password.</w:t>
      </w:r>
    </w:p>
    <w:p>
      <w:pPr>
        <w:pStyle w:val="ListParagraph"/>
        <w:numPr>
          <w:ilvl w:val="0"/>
          <w:numId w:val="2"/>
        </w:numPr>
        <w:spacing w:after="40"/>
        <w:ind w:left="892"/>
      </w:pPr>
      <w:r>
        <w:rPr>
          <w:sz w:val="21"/>
          <w:szCs w:val="21"/>
        </w:rPr>
        <w:t xml:space="preserve">Enter and confirm the new password.</w:t>
      </w:r>
    </w:p>
    <w:p>
      <w:pPr>
        <w:pStyle w:val="ListParagraph"/>
        <w:numPr>
          <w:ilvl w:val="0"/>
          <w:numId w:val="2"/>
        </w:numPr>
        <w:spacing w:after="40"/>
        <w:ind w:left="892"/>
      </w:pPr>
      <w:r>
        <w:rPr>
          <w:sz w:val="21"/>
          <w:szCs w:val="21"/>
        </w:rPr>
        <w:t xml:space="preserve">Select Change Password.</w:t>
      </w:r>
    </w:p>
    <w:p>
      <w:pPr>
        <w:spacing w:after="40" w:before="70"/>
        <w:ind w:left="403"/>
      </w:pPr>
      <w:r>
        <w:rPr>
          <w:color w:val="8B8FA3"/>
          <w:sz w:val="17"/>
          <w:szCs w:val="17"/>
        </w:rPr>
        <w:t xml:space="preserve">Ref: pro-what-can-users-manage-in-security-settings-166</w:t>
      </w:r>
    </w:p>
    <w:p>
      <w:pPr>
        <w:keepNext/>
        <w:spacing w:after="90" w:before="220"/>
      </w:pPr>
      <w:r>
        <w:rPr>
          <w:b/>
          <w:bCs/>
          <w:color w:val="1A1C2E"/>
          <w:sz w:val="24"/>
          <w:szCs w:val="24"/>
        </w:rPr>
        <w:t xml:space="preserve">7.   How is account access managed for firm users and client users?</w:t>
      </w:r>
    </w:p>
    <w:p>
      <w:pPr>
        <w:spacing w:after="90"/>
        <w:ind w:left="403"/>
      </w:pPr>
      <w:r>
        <w:rPr>
          <w:sz w:val="22"/>
          <w:szCs w:val="22"/>
        </w:rPr>
        <w:t xml:space="preserve">A firm user manages their own password in Settings &gt; Security. Firm administrators manage team membership, product access, roles, and permissions in Team &amp; Roles. Client-user access is managed separately from the client record through the contact's portal invitation and access status.</w:t>
      </w:r>
    </w:p>
    <w:p>
      <w:pPr>
        <w:spacing w:after="90"/>
        <w:ind w:left="403"/>
      </w:pPr>
      <w:r>
        <w:rPr>
          <w:b/>
          <w:bCs/>
          <w:color w:val="4735BE"/>
          <w:sz w:val="18"/>
          <w:szCs w:val="18"/>
        </w:rPr>
        <w:t xml:space="preserve">More   </w:t>
      </w:r>
      <w:r>
        <w:rPr>
          <w:sz w:val="22"/>
          <w:szCs w:val="22"/>
        </w:rPr>
        <w:t xml:space="preserve">A firm user changes their own password under Settings &gt; Security by entering the current password and matching new-password fields. Administrators manage who can access the platform, products, and permissions under Team &amp; Roles; client access is managed from client contacts and portal invitations.</w:t>
      </w:r>
    </w:p>
    <w:p>
      <w:pPr>
        <w:spacing w:after="40" w:before="70"/>
        <w:ind w:left="403"/>
      </w:pPr>
      <w:r>
        <w:rPr>
          <w:color w:val="8B8FA3"/>
          <w:sz w:val="17"/>
          <w:szCs w:val="17"/>
        </w:rPr>
        <w:t xml:space="preserve">Ref: pro-what-account-security-control-is-available-in-assurepro-167</w:t>
      </w:r>
    </w:p>
    <w:p>
      <w:pPr>
        <w:keepNext/>
        <w:spacing w:after="90" w:before="220"/>
      </w:pPr>
      <w:r>
        <w:rPr>
          <w:b/>
          <w:bCs/>
          <w:color w:val="1A1C2E"/>
          <w:sz w:val="24"/>
          <w:szCs w:val="24"/>
        </w:rPr>
        <w:t xml:space="preserve">8.   How are notifications and report alerts controlled?</w:t>
      </w:r>
    </w:p>
    <w:p>
      <w:pPr>
        <w:spacing w:after="90"/>
        <w:ind w:left="403"/>
      </w:pPr>
      <w:r>
        <w:rPr>
          <w:sz w:val="22"/>
          <w:szCs w:val="22"/>
        </w:rPr>
        <w:t xml:space="preserve">Notifications &amp; Email lets a firm user independently choose email and in-app delivery for new document uploads, client messages, invoice payments, upcoming deadlines, and overdue invoices. Report alerts can notify subscribed firm users when a KPI crosses a threshold or send a scheduled digest of key firm metrics.</w:t>
      </w:r>
    </w:p>
    <w:p>
      <w:pPr>
        <w:spacing w:after="90"/>
        <w:ind w:left="403"/>
      </w:pPr>
      <w:r>
        <w:rPr>
          <w:b/>
          <w:bCs/>
          <w:color w:val="4735BE"/>
          <w:sz w:val="18"/>
          <w:szCs w:val="18"/>
        </w:rPr>
        <w:t xml:space="preserve">More   </w:t>
      </w:r>
      <w:r>
        <w:rPr>
          <w:sz w:val="22"/>
          <w:szCs w:val="22"/>
        </w:rPr>
        <w:t xml:space="preserve">For example, enable both email and in-app delivery for overdue invoices, use in-app only for new uploads that firm users review daily, and create a KPI threshold alert for an A/R or workflow measure that requires management attention. Scheduled digests are better for regular review than urgent exception handling.</w:t>
      </w:r>
    </w:p>
    <w:p>
      <w:pPr>
        <w:spacing w:after="40" w:before="70"/>
        <w:ind w:left="403"/>
      </w:pPr>
      <w:r>
        <w:rPr>
          <w:color w:val="8B8FA3"/>
          <w:sz w:val="17"/>
          <w:szCs w:val="17"/>
        </w:rPr>
        <w:t xml:space="preserve">Ref: pro-how-are-notifications-and-report-alerts-controlled-168</w:t>
      </w:r>
    </w:p>
    <w:p>
      <w:pPr>
        <w:keepNext/>
        <w:spacing w:after="90" w:before="220"/>
      </w:pPr>
      <w:r>
        <w:rPr>
          <w:b/>
          <w:bCs/>
          <w:color w:val="1A1C2E"/>
          <w:sz w:val="24"/>
          <w:szCs w:val="24"/>
        </w:rPr>
        <w:t xml:space="preserve">9.   Where is firm and client data hosted, and is it encrypted?</w:t>
      </w:r>
    </w:p>
    <w:p>
      <w:pPr>
        <w:spacing w:after="60"/>
        <w:ind w:left="403"/>
      </w:pPr>
      <w:r>
        <w:rPr>
          <w:sz w:val="22"/>
          <w:szCs w:val="22"/>
        </w:rPr>
        <w:t xml:space="preserve">AssurePro runs on Amazon Web Services infrastructure. Firm and client data is encrypted both in transit and at rest. Firm Credentials and client Credentials state that stored secrets use AES-256 encryption, restrict reveal access through engagement ownership and permissions, and log each reveal. Firms completing a security review should request the current architecture, retention, backup, and data-location documentation from their AssureOne contact.</w:t>
      </w:r>
    </w:p>
    <w:p>
      <w:pPr>
        <w:spacing w:after="40" w:before="70"/>
        <w:ind w:left="403"/>
      </w:pPr>
      <w:r>
        <w:rPr>
          <w:color w:val="8B8FA3"/>
          <w:sz w:val="17"/>
          <w:szCs w:val="17"/>
        </w:rPr>
        <w:t xml:space="preserve">Ref: pro-where-is-firm-and-client-data-hosted-and-is-it-encrypted-169</w:t>
      </w:r>
    </w:p>
    <w:p>
      <w:pPr>
        <w:keepNext/>
        <w:spacing w:after="90" w:before="220"/>
      </w:pPr>
      <w:r>
        <w:rPr>
          <w:b/>
          <w:bCs/>
          <w:color w:val="1A1C2E"/>
          <w:sz w:val="24"/>
          <w:szCs w:val="24"/>
        </w:rPr>
        <w:t xml:space="preserve">10.   Does AssurePro hold specific compliance certifications, such as SOC 2?</w:t>
      </w:r>
    </w:p>
    <w:p>
      <w:pPr>
        <w:spacing w:after="90"/>
        <w:ind w:left="403"/>
      </w:pPr>
      <w:r>
        <w:rPr>
          <w:sz w:val="22"/>
          <w:szCs w:val="22"/>
        </w:rPr>
        <w:t xml:space="preserve">Compliance certifications and report coverage can change over time. Firms completing vendor due diligence should request the current AssureOne security and compliance package and confirm the certification name, covered services, and audit period before relying on it.</w:t>
      </w:r>
    </w:p>
    <w:p>
      <w:pPr>
        <w:spacing w:after="90"/>
        <w:ind w:left="403"/>
      </w:pPr>
      <w:r>
        <w:rPr>
          <w:b/>
          <w:bCs/>
          <w:color w:val="4735BE"/>
          <w:sz w:val="18"/>
          <w:szCs w:val="18"/>
        </w:rPr>
        <w:t xml:space="preserve">More   </w:t>
      </w:r>
      <w:r>
        <w:rPr>
          <w:sz w:val="22"/>
          <w:szCs w:val="22"/>
        </w:rPr>
        <w:t xml:space="preserve">When requesting the package, ask for the certification or report name, covered services, audit period, a bridge letter when the latest report period does not extend through the firm's review date, the treatment of subservice organizations, and any customer responsibilities. Review that current material with the firm's security or compliance lead rather than interpreting “published soon” as certification already being in force.</w:t>
      </w:r>
    </w:p>
    <w:p>
      <w:pPr>
        <w:spacing w:after="40" w:before="70"/>
        <w:ind w:left="403"/>
      </w:pPr>
      <w:r>
        <w:rPr>
          <w:color w:val="8B8FA3"/>
          <w:sz w:val="17"/>
          <w:szCs w:val="17"/>
        </w:rPr>
        <w:t xml:space="preserve">Ref: pro-does-assurepro-hold-specific-compliance-certifications-such-as-soc-2-170</w:t>
      </w:r>
    </w:p>
    <w:p>
      <w:pPr>
        <w:keepNext/>
        <w:spacing w:after="90" w:before="220"/>
      </w:pPr>
      <w:r>
        <w:rPr>
          <w:b/>
          <w:bCs/>
          <w:color w:val="1A1C2E"/>
          <w:sz w:val="24"/>
          <w:szCs w:val="24"/>
        </w:rPr>
        <w:t xml:space="preserve">11.   Is multi-factor authentication available for firm users and client users?</w:t>
      </w:r>
    </w:p>
    <w:p>
      <w:pPr>
        <w:spacing w:after="90"/>
        <w:ind w:left="403"/>
      </w:pPr>
      <w:r>
        <w:rPr>
          <w:sz w:val="22"/>
          <w:szCs w:val="22"/>
        </w:rPr>
        <w:t xml:space="preserve">AssurePro currently uses a one-time email verification code during account activation for both firm users and client users. The user accepts the invitation, verifies the invited email address, and sets a password. This activation check confirms control of the mailbox, but it is not recurring multi-factor authentication at each sign-in.</w:t>
      </w:r>
    </w:p>
    <w:p>
      <w:pPr>
        <w:spacing w:after="90"/>
        <w:ind w:left="403"/>
      </w:pPr>
      <w:r>
        <w:rPr>
          <w:b/>
          <w:bCs/>
          <w:color w:val="4735BE"/>
          <w:sz w:val="18"/>
          <w:szCs w:val="18"/>
        </w:rPr>
        <w:t xml:space="preserve">More   </w:t>
      </w:r>
      <w:r>
        <w:rPr>
          <w:sz w:val="22"/>
          <w:szCs w:val="22"/>
        </w:rPr>
        <w:t xml:space="preserve">If a firm user's one-time code does not arrive, confirm the work email under Team &amp; Roles &gt; Invitations and resend the invitation. For a client user, confirm the contact email on the client Info tab and resend the portal invitation. In both cases, ask the recipient to check spam and email filtering. Do not forward another person's code; the code is intended to confirm control of the exact mailbox that received the invitation.</w:t>
      </w:r>
    </w:p>
    <w:p>
      <w:pPr>
        <w:spacing w:after="40" w:before="70"/>
        <w:ind w:left="403"/>
      </w:pPr>
      <w:r>
        <w:rPr>
          <w:color w:val="8B8FA3"/>
          <w:sz w:val="17"/>
          <w:szCs w:val="17"/>
        </w:rPr>
        <w:t xml:space="preserve">Ref: pro-is-multi-factor-authentication-available-for-staff-and-client-portal-l-171</w:t>
      </w:r>
    </w:p>
    <w:p>
      <w:pPr>
        <w:keepNext/>
        <w:spacing w:after="90" w:before="220"/>
      </w:pPr>
      <w:r>
        <w:rPr>
          <w:b/>
          <w:bCs/>
          <w:color w:val="1A1C2E"/>
          <w:sz w:val="24"/>
          <w:szCs w:val="24"/>
        </w:rPr>
        <w:t xml:space="preserve">12.   Can the firm export its data if it cancels its AssurePro subscription?</w:t>
      </w:r>
    </w:p>
    <w:p>
      <w:pPr>
        <w:spacing w:after="90"/>
        <w:ind w:left="403"/>
      </w:pPr>
      <w:r>
        <w:rPr>
          <w:sz w:val="22"/>
          <w:szCs w:val="22"/>
        </w:rPr>
        <w:t xml:space="preserve">Data export should be planned with the AssureOne account team before the AssurePro account is closed. The firm and account team confirm which records and documents must be retained, the export methods and formats available for those items, the required date range, and the closure timeline. The firm should download and validate the agreed exports before access ends.</w:t>
      </w:r>
    </w:p>
    <w:p>
      <w:pPr>
        <w:spacing w:after="90"/>
        <w:ind w:left="403"/>
      </w:pPr>
      <w:r>
        <w:rPr>
          <w:b/>
          <w:bCs/>
          <w:color w:val="4735BE"/>
          <w:sz w:val="18"/>
          <w:szCs w:val="18"/>
        </w:rPr>
        <w:t xml:space="preserve">More   </w:t>
      </w:r>
      <w:r>
        <w:rPr>
          <w:sz w:val="22"/>
          <w:szCs w:val="22"/>
        </w:rPr>
        <w:t xml:space="preserve">Create a checklist and reconcile record counts after download—for example, compare the exported client, open-engagement, document, invoice, and communication counts with the totals shown in AssurePro. Keep the account active until missing or unreadable files have been corrected and the firm has confirmed where the export will be retained.</w:t>
      </w:r>
    </w:p>
    <w:p>
      <w:pPr>
        <w:spacing w:after="40" w:before="70"/>
        <w:ind w:left="403"/>
      </w:pPr>
      <w:r>
        <w:rPr>
          <w:color w:val="8B8FA3"/>
          <w:sz w:val="17"/>
          <w:szCs w:val="17"/>
        </w:rPr>
        <w:t xml:space="preserve">Ref: pro-can-the-firm-export-its-data-if-it-cancels-its-assurepro-subscription-172</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6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AssurePro question review</dc:title>
  <dc:creator>AssureOne</dc:creator>
  <dc:description>172 AssurePro help centre questions for review</dc:description>
  <cp:lastModifiedBy>Un-named</cp:lastModifiedBy>
  <cp:revision>1</cp:revision>
  <dcterms:created xsi:type="dcterms:W3CDTF">2026-09-08T04:42:53.594Z</dcterms:created>
  <dcterms:modified xsi:type="dcterms:W3CDTF">2026-09-08T04:42:53.601Z</dcterms:modified>
</cp:coreProperties>
</file>

<file path=docProps/custom.xml><?xml version="1.0" encoding="utf-8"?>
<Properties xmlns="http://schemas.openxmlformats.org/officeDocument/2006/custom-properties" xmlns:vt="http://schemas.openxmlformats.org/officeDocument/2006/docPropsVTypes"/>
</file>