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C2E"/>
          <w:sz w:val="52"/>
          <w:szCs w:val="52"/>
        </w:rPr>
        <w:t xml:space="preserve">AssurePro</w:t>
      </w:r>
    </w:p>
    <w:p>
      <w:pPr>
        <w:spacing w:after="240"/>
      </w:pPr>
      <w:r>
        <w:rPr>
          <w:color w:val="4735BE"/>
          <w:sz w:val="32"/>
          <w:szCs w:val="32"/>
        </w:rPr>
        <w:t xml:space="preserve">Question review</w:t>
      </w:r>
    </w:p>
    <w:p>
      <w:pPr>
        <w:pBdr>
          <w:bottom w:val="single" w:color="D8D6E6" w:sz="6"/>
        </w:pBdr>
        <w:spacing w:after="200"/>
      </w:pPr>
      <w:r>
        <w:rPr>
          <w:b/>
          <w:bCs/>
          <w:color w:val="1A1C2E"/>
          <w:sz w:val="22"/>
          <w:szCs w:val="22"/>
        </w:rPr>
        <w:t xml:space="preserve">166 questions across 13 categories</w:t>
      </w:r>
    </w:p>
    <w:p>
      <w:pPr>
        <w:spacing w:after="120"/>
      </w:pPr>
      <w:r>
        <w:rPr>
          <w:b/>
          <w:bCs/>
          <w:color w:val="1A1C2E"/>
          <w:sz w:val="22"/>
          <w:szCs w:val="22"/>
        </w:rPr>
        <w:t xml:space="preserve">How to use this document</w:t>
      </w:r>
    </w:p>
    <w:p>
      <w:pPr>
        <w:pStyle w:val="ListParagraph"/>
        <w:numPr>
          <w:ilvl w:val="0"/>
          <w:numId w:val="1"/>
        </w:numPr>
        <w:spacing w:after="60"/>
      </w:pPr>
      <w:r>
        <w:rPr>
          <w:sz w:val="21"/>
          <w:szCs w:val="21"/>
        </w:rPr>
        <w:t xml:space="preserve">Edit the answers directly. Reword, correct, expand — whatever the product actually does.</w:t>
      </w:r>
    </w:p>
    <w:p>
      <w:pPr>
        <w:pStyle w:val="ListParagraph"/>
        <w:numPr>
          <w:ilvl w:val="0"/>
          <w:numId w:val="1"/>
        </w:numPr>
        <w:spacing w:after="60"/>
      </w:pPr>
      <w:r>
        <w:rPr>
          <w:sz w:val="21"/>
          <w:szCs w:val="21"/>
        </w:rPr>
        <w:t xml:space="preserve">To remove a question, delete its whole block, or write DELETE next to the question.</w:t>
      </w:r>
    </w:p>
    <w:p>
      <w:pPr>
        <w:pStyle w:val="ListParagraph"/>
        <w:numPr>
          <w:ilvl w:val="0"/>
          <w:numId w:val="1"/>
        </w:numPr>
        <w:spacing w:after="60"/>
      </w:pPr>
      <w:r>
        <w:rPr>
          <w:sz w:val="21"/>
          <w:szCs w:val="21"/>
        </w:rPr>
        <w:t xml:space="preserve">To add one, write it wherever it belongs and mark it NEW.</w:t>
      </w:r>
    </w:p>
    <w:p>
      <w:pPr>
        <w:pStyle w:val="ListParagraph"/>
        <w:numPr>
          <w:ilvl w:val="0"/>
          <w:numId w:val="1"/>
        </w:numPr>
        <w:spacing w:after="60"/>
      </w:pPr>
      <w:r>
        <w:rPr>
          <w:sz w:val="21"/>
          <w:szCs w:val="21"/>
        </w:rPr>
        <w:t xml:space="preserve">Comments are fine too if you would rather not edit in place.</w:t>
      </w:r>
    </w:p>
    <w:p>
      <w:pPr>
        <w:spacing w:after="80" w:before="180"/>
      </w:pPr>
      <w:r>
        <w:rPr>
          <w:b/>
          <w:bCs/>
          <w:color w:val="1A1C2E"/>
          <w:sz w:val="22"/>
          <w:szCs w:val="22"/>
        </w:rPr>
        <w:t xml:space="preserve">What the labels mean</w:t>
      </w:r>
    </w:p>
    <w:p>
      <w:pPr>
        <w:spacing w:after="60"/>
      </w:pPr>
      <w:r>
        <w:rPr>
          <w:b/>
          <w:bCs/>
          <w:sz w:val="21"/>
          <w:szCs w:val="21"/>
        </w:rPr>
        <w:t xml:space="preserve">Steps</w:t>
      </w:r>
      <w:r>
        <w:rPr>
          <w:sz w:val="21"/>
          <w:szCs w:val="21"/>
        </w:rPr>
        <w:t xml:space="preserve">   the numbered walkthrough shown under the answer in the help centre.</w:t>
      </w:r>
    </w:p>
    <w:p>
      <w:pPr>
        <w:spacing w:after="60"/>
      </w:pPr>
      <w:r>
        <w:rPr>
          <w:b/>
          <w:bCs/>
          <w:sz w:val="21"/>
          <w:szCs w:val="21"/>
        </w:rPr>
        <w:t xml:space="preserve">More</w:t>
      </w:r>
      <w:r>
        <w:rPr>
          <w:sz w:val="21"/>
          <w:szCs w:val="21"/>
        </w:rPr>
        <w:t xml:space="preserve">   an extra paragraph shown after the answer. 115 of the questions have one.</w:t>
      </w:r>
    </w:p>
    <w:p>
      <w:pPr>
        <w:spacing w:after="60"/>
      </w:pPr>
      <w:r>
        <w:rPr>
          <w:b/>
          <w:bCs/>
          <w:sz w:val="21"/>
          <w:szCs w:val="21"/>
        </w:rPr>
        <w:t xml:space="preserve">Also in Settings</w:t>
      </w:r>
      <w:r>
        <w:rPr>
          <w:sz w:val="21"/>
          <w:szCs w:val="21"/>
        </w:rPr>
        <w:t xml:space="preserve">   the question appears under Settings as well as its own category, because it covers a setting for that area. 57 questions are cross-listed this way.</w:t>
      </w:r>
    </w:p>
    <w:p>
      <w:pPr>
        <w:spacing w:after="60"/>
      </w:pPr>
      <w:r>
        <w:rPr>
          <w:b/>
          <w:bCs/>
          <w:sz w:val="21"/>
          <w:szCs w:val="21"/>
        </w:rPr>
        <w:t xml:space="preserve">Ref</w:t>
      </w:r>
      <w:r>
        <w:rPr>
          <w:sz w:val="21"/>
          <w:szCs w:val="21"/>
        </w:rPr>
        <w:t xml:space="preserve">   the article's identifier. Leave it alone — it is how a reworded question gets matched back to the right article, and how its link stays valid.</w:t>
      </w:r>
    </w:p>
    <w:p>
      <w:pPr>
        <w:spacing w:before="200"/>
      </w:pPr>
      <w:r>
        <w:rPr>
          <w:i/>
          <w:iCs/>
          <w:color w:val="8B8FA3"/>
          <w:sz w:val="20"/>
          <w:szCs w:val="20"/>
        </w:rPr>
        <w:t xml:space="preserve">Categories other than Settings show only the questions filed under them. The help centre's Settings view is larger than the count here because it also pulls in the cross-listed questions.</w:t>
      </w:r>
    </w:p>
    <w:p>
      <w:r>
        <w:br w:type="page"/>
      </w:r>
    </w:p>
    <w:p>
      <w:pPr>
        <w:spacing w:after="120"/>
      </w:pPr>
      <w:r>
        <w:rPr>
          <w:b/>
          <w:bCs/>
          <w:color w:val="1A1C2E"/>
          <w:sz w:val="26"/>
          <w:szCs w:val="26"/>
        </w:rPr>
        <w:t xml:space="preserve">Contents</w:t>
      </w:r>
    </w:p>
    <w:p>
      <w:pPr>
        <w:spacing w:after="140"/>
      </w:pPr>
      <w:r>
        <w:rPr>
          <w:i/>
          <w:iCs/>
          <w:color w:val="8B8FA3"/>
          <w:sz w:val="20"/>
          <w:szCs w:val="20"/>
        </w:rPr>
        <w:t xml:space="preserve">Each category starts on its own page.</w:t>
      </w:r>
    </w:p>
    <w:p>
      <w:pPr>
        <w:spacing w:after="70"/>
      </w:pPr>
      <w:r>
        <w:rPr>
          <w:b/>
          <w:bCs/>
          <w:color w:val="1A1C2E"/>
          <w:sz w:val="22"/>
          <w:szCs w:val="22"/>
        </w:rPr>
        <w:t xml:space="preserve">Platform</w:t>
      </w:r>
      <w:r>
        <w:rPr>
          <w:color w:val="8B8FA3"/>
          <w:sz w:val="21"/>
          <w:szCs w:val="21"/>
        </w:rPr>
        <w:t xml:space="preserve">   7 questions</w:t>
      </w:r>
    </w:p>
    <w:p>
      <w:pPr>
        <w:spacing w:after="70"/>
      </w:pPr>
      <w:r>
        <w:rPr>
          <w:b/>
          <w:bCs/>
          <w:color w:val="1A1C2E"/>
          <w:sz w:val="22"/>
          <w:szCs w:val="22"/>
        </w:rPr>
        <w:t xml:space="preserve">Dashboard</w:t>
      </w:r>
      <w:r>
        <w:rPr>
          <w:color w:val="8B8FA3"/>
          <w:sz w:val="21"/>
          <w:szCs w:val="21"/>
        </w:rPr>
        <w:t xml:space="preserve">   6 questions</w:t>
      </w:r>
    </w:p>
    <w:p>
      <w:pPr>
        <w:spacing w:after="70"/>
      </w:pPr>
      <w:r>
        <w:rPr>
          <w:b/>
          <w:bCs/>
          <w:color w:val="1A1C2E"/>
          <w:sz w:val="22"/>
          <w:szCs w:val="22"/>
        </w:rPr>
        <w:t xml:space="preserve">Settings</w:t>
      </w:r>
      <w:r>
        <w:rPr>
          <w:color w:val="8B8FA3"/>
          <w:sz w:val="21"/>
          <w:szCs w:val="21"/>
        </w:rPr>
        <w:t xml:space="preserve">   20 questions</w:t>
      </w:r>
    </w:p>
    <w:p>
      <w:pPr>
        <w:spacing w:after="70"/>
      </w:pPr>
      <w:r>
        <w:rPr>
          <w:b/>
          <w:bCs/>
          <w:color w:val="1A1C2E"/>
          <w:sz w:val="22"/>
          <w:szCs w:val="22"/>
        </w:rPr>
        <w:t xml:space="preserve">Clients &amp; prospects</w:t>
      </w:r>
      <w:r>
        <w:rPr>
          <w:color w:val="8B8FA3"/>
          <w:sz w:val="21"/>
          <w:szCs w:val="21"/>
        </w:rPr>
        <w:t xml:space="preserve">   20 questions</w:t>
      </w:r>
    </w:p>
    <w:p>
      <w:pPr>
        <w:spacing w:after="70"/>
      </w:pPr>
      <w:r>
        <w:rPr>
          <w:b/>
          <w:bCs/>
          <w:color w:val="1A1C2E"/>
          <w:sz w:val="22"/>
          <w:szCs w:val="22"/>
        </w:rPr>
        <w:t xml:space="preserve">Documents</w:t>
      </w:r>
      <w:r>
        <w:rPr>
          <w:color w:val="8B8FA3"/>
          <w:sz w:val="21"/>
          <w:szCs w:val="21"/>
        </w:rPr>
        <w:t xml:space="preserve">   14 questions</w:t>
      </w:r>
    </w:p>
    <w:p>
      <w:pPr>
        <w:spacing w:after="70"/>
      </w:pPr>
      <w:r>
        <w:rPr>
          <w:b/>
          <w:bCs/>
          <w:color w:val="1A1C2E"/>
          <w:sz w:val="22"/>
          <w:szCs w:val="22"/>
        </w:rPr>
        <w:t xml:space="preserve">Workflow</w:t>
      </w:r>
      <w:r>
        <w:rPr>
          <w:color w:val="8B8FA3"/>
          <w:sz w:val="21"/>
          <w:szCs w:val="21"/>
        </w:rPr>
        <w:t xml:space="preserve">   11 questions</w:t>
      </w:r>
    </w:p>
    <w:p>
      <w:pPr>
        <w:spacing w:after="70"/>
      </w:pPr>
      <w:r>
        <w:rPr>
          <w:b/>
          <w:bCs/>
          <w:color w:val="1A1C2E"/>
          <w:sz w:val="22"/>
          <w:szCs w:val="22"/>
        </w:rPr>
        <w:t xml:space="preserve">Time Sheet</w:t>
      </w:r>
      <w:r>
        <w:rPr>
          <w:color w:val="8B8FA3"/>
          <w:sz w:val="21"/>
          <w:szCs w:val="21"/>
        </w:rPr>
        <w:t xml:space="preserve">   4 questions</w:t>
      </w:r>
    </w:p>
    <w:p>
      <w:pPr>
        <w:spacing w:after="70"/>
      </w:pPr>
      <w:r>
        <w:rPr>
          <w:b/>
          <w:bCs/>
          <w:color w:val="1A1C2E"/>
          <w:sz w:val="22"/>
          <w:szCs w:val="22"/>
        </w:rPr>
        <w:t xml:space="preserve">Engagement letters</w:t>
      </w:r>
      <w:r>
        <w:rPr>
          <w:color w:val="8B8FA3"/>
          <w:sz w:val="21"/>
          <w:szCs w:val="21"/>
        </w:rPr>
        <w:t xml:space="preserve">   13 questions</w:t>
      </w:r>
    </w:p>
    <w:p>
      <w:pPr>
        <w:spacing w:after="70"/>
      </w:pPr>
      <w:r>
        <w:rPr>
          <w:b/>
          <w:bCs/>
          <w:color w:val="1A1C2E"/>
          <w:sz w:val="22"/>
          <w:szCs w:val="22"/>
        </w:rPr>
        <w:t xml:space="preserve">Billing &amp; services</w:t>
      </w:r>
      <w:r>
        <w:rPr>
          <w:color w:val="8B8FA3"/>
          <w:sz w:val="21"/>
          <w:szCs w:val="21"/>
        </w:rPr>
        <w:t xml:space="preserve">   22 questions</w:t>
      </w:r>
    </w:p>
    <w:p>
      <w:pPr>
        <w:spacing w:after="70"/>
      </w:pPr>
      <w:r>
        <w:rPr>
          <w:b/>
          <w:bCs/>
          <w:color w:val="1A1C2E"/>
          <w:sz w:val="22"/>
          <w:szCs w:val="22"/>
        </w:rPr>
        <w:t xml:space="preserve">Communications</w:t>
      </w:r>
      <w:r>
        <w:rPr>
          <w:color w:val="8B8FA3"/>
          <w:sz w:val="21"/>
          <w:szCs w:val="21"/>
        </w:rPr>
        <w:t xml:space="preserve">   16 questions</w:t>
      </w:r>
    </w:p>
    <w:p>
      <w:pPr>
        <w:spacing w:after="70"/>
      </w:pPr>
      <w:r>
        <w:rPr>
          <w:b/>
          <w:bCs/>
          <w:color w:val="1A1C2E"/>
          <w:sz w:val="22"/>
          <w:szCs w:val="22"/>
        </w:rPr>
        <w:t xml:space="preserve">Reporting</w:t>
      </w:r>
      <w:r>
        <w:rPr>
          <w:color w:val="8B8FA3"/>
          <w:sz w:val="21"/>
          <w:szCs w:val="21"/>
        </w:rPr>
        <w:t xml:space="preserve">   6 questions</w:t>
      </w:r>
    </w:p>
    <w:p>
      <w:pPr>
        <w:spacing w:after="70"/>
      </w:pPr>
      <w:r>
        <w:rPr>
          <w:b/>
          <w:bCs/>
          <w:color w:val="1A1C2E"/>
          <w:sz w:val="22"/>
          <w:szCs w:val="22"/>
        </w:rPr>
        <w:t xml:space="preserve">AI</w:t>
      </w:r>
      <w:r>
        <w:rPr>
          <w:color w:val="8B8FA3"/>
          <w:sz w:val="21"/>
          <w:szCs w:val="21"/>
        </w:rPr>
        <w:t xml:space="preserve">   15 questions</w:t>
      </w:r>
    </w:p>
    <w:p>
      <w:pPr>
        <w:spacing w:after="70"/>
      </w:pPr>
      <w:r>
        <w:rPr>
          <w:b/>
          <w:bCs/>
          <w:color w:val="1A1C2E"/>
          <w:sz w:val="22"/>
          <w:szCs w:val="22"/>
        </w:rPr>
        <w:t xml:space="preserve">Integrations &amp; security</w:t>
      </w:r>
      <w:r>
        <w:rPr>
          <w:color w:val="8B8FA3"/>
          <w:sz w:val="21"/>
          <w:szCs w:val="21"/>
        </w:rPr>
        <w:t xml:space="preserve">   12 questions</w:t>
      </w:r>
    </w:p>
    <w:p>
      <w:r>
        <w:br w:type="page"/>
      </w:r>
    </w:p>
    <w:p>
      <w:pPr>
        <w:pStyle w:val="Heading1"/>
        <w:spacing w:after="40" w:before="60"/>
      </w:pPr>
      <w:r>
        <w:rPr>
          <w:b/>
          <w:bCs/>
          <w:color w:val="1A1C2E"/>
          <w:sz w:val="32"/>
          <w:szCs w:val="32"/>
        </w:rPr>
        <w:t xml:space="preserve">Platform</w:t>
      </w:r>
    </w:p>
    <w:p>
      <w:pPr>
        <w:pBdr>
          <w:bottom w:val="single" w:color="E4E2F0" w:sz="4"/>
        </w:pBdr>
        <w:spacing w:after="200"/>
      </w:pPr>
      <w:r>
        <w:rPr>
          <w:color w:val="8B8FA3"/>
          <w:sz w:val="20"/>
          <w:szCs w:val="20"/>
        </w:rPr>
        <w:t xml:space="preserve">7 questions</w:t>
      </w:r>
    </w:p>
    <w:p>
      <w:pPr>
        <w:keepNext/>
        <w:spacing w:after="90" w:before="220"/>
      </w:pPr>
      <w:r>
        <w:rPr>
          <w:b/>
          <w:bCs/>
          <w:color w:val="1A1C2E"/>
          <w:sz w:val="24"/>
          <w:szCs w:val="24"/>
        </w:rPr>
        <w:t xml:space="preserve">1.   What is AssurePro?</w:t>
      </w:r>
    </w:p>
    <w:p>
      <w:pPr>
        <w:spacing w:after="90"/>
        <w:ind w:left="403"/>
      </w:pPr>
      <w:r>
        <w:rPr>
          <w:sz w:val="22"/>
          <w:szCs w:val="22"/>
        </w:rPr>
        <w:t xml:space="preserve">AssurePro is the practice management platform within AssureOne. It helps accounting firms manage their day-to-day operations from a centralized system, including firm setup, team access, client relationships, documents, engagement workflows, engagement letters, time and billing, communications, reporting, templates, and integrations.</w:t>
      </w:r>
    </w:p>
    <w:p>
      <w:pPr>
        <w:spacing w:after="90"/>
        <w:ind w:left="403"/>
      </w:pPr>
      <w:r>
        <w:rPr>
          <w:b/>
          <w:bCs/>
          <w:color w:val="4735BE"/>
          <w:sz w:val="18"/>
          <w:szCs w:val="18"/>
        </w:rPr>
        <w:t xml:space="preserve">More   </w:t>
      </w:r>
      <w:r>
        <w:rPr>
          <w:sz w:val="22"/>
          <w:szCs w:val="22"/>
        </w:rPr>
        <w:t xml:space="preserve">AssurePro also provides the shared client and firm context used across other AssureOne products enabled for your organization. By keeping operational information connected to a single client record, teams can move seamlessly between practice management and service delivery without recreating client information or maintaining disconnected records across multiple systems.</w:t>
      </w:r>
    </w:p>
    <w:p>
      <w:pPr>
        <w:spacing w:after="40" w:before="70"/>
        <w:ind w:left="403"/>
      </w:pPr>
      <w:r>
        <w:rPr>
          <w:color w:val="8B8FA3"/>
          <w:sz w:val="17"/>
          <w:szCs w:val="17"/>
        </w:rPr>
        <w:t xml:space="preserve">Ref: pro-what-is-assurepro-1</w:t>
      </w:r>
    </w:p>
    <w:p>
      <w:pPr>
        <w:keepNext/>
        <w:spacing w:after="90" w:before="220"/>
      </w:pPr>
      <w:r>
        <w:rPr>
          <w:b/>
          <w:bCs/>
          <w:color w:val="1A1C2E"/>
          <w:sz w:val="24"/>
          <w:szCs w:val="24"/>
        </w:rPr>
        <w:t xml:space="preserve">2.   Is AssurePro the firm's practice-management system or a bookkeeping system?</w:t>
      </w:r>
    </w:p>
    <w:p>
      <w:pPr>
        <w:spacing w:after="90"/>
        <w:ind w:left="403"/>
      </w:pPr>
      <w:r>
        <w:rPr>
          <w:sz w:val="22"/>
          <w:szCs w:val="22"/>
        </w:rPr>
        <w:t xml:space="preserve">AssurePro is the firm's practice management system. It manages the operational relationship with clients, including onboarding, document requests, workflows, engagement letters, time tracking, billing, communications, and reporting.</w:t>
      </w:r>
    </w:p>
    <w:p>
      <w:pPr>
        <w:spacing w:after="90"/>
        <w:ind w:left="403"/>
      </w:pPr>
      <w:r>
        <w:rPr>
          <w:b/>
          <w:bCs/>
          <w:color w:val="4735BE"/>
          <w:sz w:val="18"/>
          <w:szCs w:val="18"/>
        </w:rPr>
        <w:t xml:space="preserve">More   </w:t>
      </w:r>
      <w:r>
        <w:rPr>
          <w:sz w:val="22"/>
          <w:szCs w:val="22"/>
        </w:rPr>
        <w:t xml:space="preserve">Bookkeeping work itself is performed in AssureBooks, when that product is enabled for the firm.</w:t>
      </w:r>
    </w:p>
    <w:p>
      <w:pPr>
        <w:spacing w:after="90"/>
        <w:ind w:left="403"/>
      </w:pPr>
      <w:r>
        <w:rPr>
          <w:b/>
          <w:bCs/>
          <w:color w:val="4735BE"/>
          <w:sz w:val="18"/>
          <w:szCs w:val="18"/>
        </w:rPr>
        <w:t xml:space="preserve">More   </w:t>
      </w:r>
      <w:r>
        <w:rPr>
          <w:sz w:val="22"/>
          <w:szCs w:val="22"/>
        </w:rPr>
        <w:t xml:space="preserve">For example, AssurePro can be used to create a bookkeeping engagement, assign tasks, request source documents, track time, communicate with the client, and invoice for the work. The underlying accounting records, transactions, and books are managed in AssureBooks.</w:t>
      </w:r>
    </w:p>
    <w:p>
      <w:pPr>
        <w:spacing w:after="90"/>
        <w:ind w:left="403"/>
      </w:pPr>
      <w:r>
        <w:rPr>
          <w:b/>
          <w:bCs/>
          <w:color w:val="4735BE"/>
          <w:sz w:val="18"/>
          <w:szCs w:val="18"/>
        </w:rPr>
        <w:t xml:space="preserve">More   </w:t>
      </w:r>
      <w:r>
        <w:rPr>
          <w:sz w:val="22"/>
          <w:szCs w:val="22"/>
        </w:rPr>
        <w:t xml:space="preserve">When AssureBooks is enabled, firm users can access it through the AssureOne product switcher, allowing them to move between practice management and bookkeeping while maintaining the relevant client context.</w:t>
      </w:r>
    </w:p>
    <w:p>
      <w:pPr>
        <w:spacing w:after="40" w:before="70"/>
        <w:ind w:left="403"/>
      </w:pPr>
      <w:r>
        <w:rPr>
          <w:color w:val="8B8FA3"/>
          <w:sz w:val="17"/>
          <w:szCs w:val="17"/>
        </w:rPr>
        <w:t xml:space="preserve">Ref: pro-is-assurepro-the-firm-s-practice-management-system-or-a-bookkeeping-sy-2</w:t>
      </w:r>
    </w:p>
    <w:p>
      <w:pPr>
        <w:keepNext/>
        <w:spacing w:after="90" w:before="220"/>
      </w:pPr>
      <w:r>
        <w:rPr>
          <w:b/>
          <w:bCs/>
          <w:color w:val="1A1C2E"/>
          <w:sz w:val="24"/>
          <w:szCs w:val="24"/>
        </w:rPr>
        <w:t xml:space="preserve">3.   How do I find existing information quickly?</w:t>
      </w:r>
    </w:p>
    <w:p>
      <w:pPr>
        <w:spacing w:after="90"/>
        <w:ind w:left="403"/>
      </w:pPr>
      <w:r>
        <w:rPr>
          <w:sz w:val="22"/>
          <w:szCs w:val="22"/>
        </w:rPr>
        <w:t xml:space="preserve">Use the global search in AssurePro to quickly find information that already exists in the system. You can search for clients, documents, or tasks by name and open the relevant record directly from the search results.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the Search field.</w:t>
      </w:r>
    </w:p>
    <w:p>
      <w:pPr>
        <w:pStyle w:val="ListParagraph"/>
        <w:numPr>
          <w:ilvl w:val="0"/>
          <w:numId w:val="2"/>
        </w:numPr>
        <w:spacing w:after="40"/>
        <w:ind w:left="892"/>
      </w:pPr>
      <w:r>
        <w:rPr>
          <w:sz w:val="21"/>
          <w:szCs w:val="21"/>
        </w:rPr>
        <w:t xml:space="preserve">Enter the name of the client, document, or task you are looking for.</w:t>
      </w:r>
    </w:p>
    <w:p>
      <w:pPr>
        <w:pStyle w:val="ListParagraph"/>
        <w:numPr>
          <w:ilvl w:val="0"/>
          <w:numId w:val="2"/>
        </w:numPr>
        <w:spacing w:after="40"/>
        <w:ind w:left="892"/>
      </w:pPr>
      <w:r>
        <w:rPr>
          <w:sz w:val="21"/>
          <w:szCs w:val="21"/>
        </w:rPr>
        <w:t xml:space="preserve">Review the matching results.</w:t>
      </w:r>
    </w:p>
    <w:p>
      <w:pPr>
        <w:pStyle w:val="ListParagraph"/>
        <w:numPr>
          <w:ilvl w:val="0"/>
          <w:numId w:val="2"/>
        </w:numPr>
        <w:spacing w:after="40"/>
        <w:ind w:left="892"/>
      </w:pPr>
      <w:r>
        <w:rPr>
          <w:sz w:val="21"/>
          <w:szCs w:val="21"/>
        </w:rPr>
        <w:t xml:space="preserve">Select the relevant result to open the corresponding client record, document, or task.</w:t>
      </w:r>
    </w:p>
    <w:p>
      <w:pPr>
        <w:spacing w:after="40" w:before="70"/>
        <w:ind w:left="403"/>
      </w:pPr>
      <w:r>
        <w:rPr>
          <w:color w:val="8B8FA3"/>
          <w:sz w:val="17"/>
          <w:szCs w:val="17"/>
        </w:rPr>
        <w:t xml:space="preserve">Ref: pro-how-do-i-find-information-or-start-common-work-quickly-5</w:t>
      </w:r>
    </w:p>
    <w:p>
      <w:pPr>
        <w:keepNext/>
        <w:spacing w:after="90" w:before="220"/>
      </w:pPr>
      <w:r>
        <w:rPr>
          <w:b/>
          <w:bCs/>
          <w:color w:val="1A1C2E"/>
          <w:sz w:val="24"/>
          <w:szCs w:val="24"/>
        </w:rPr>
        <w:t xml:space="preserve">4.   How do I create a new record quickly?</w:t>
      </w:r>
    </w:p>
    <w:p>
      <w:pPr>
        <w:spacing w:after="90"/>
        <w:ind w:left="403"/>
      </w:pPr>
      <w:r>
        <w:rPr>
          <w:sz w:val="22"/>
          <w:szCs w:val="22"/>
        </w:rPr>
        <w:t xml:space="preserve">Use the + New menu in the top-right corner of AssurePro to create common records from anywhere in the application. Depending on your access, you can quickly create a Client, Task, Message, Invoice, Document Request, or Engagement Letter.</w:t>
      </w:r>
    </w:p>
    <w:p>
      <w:pPr>
        <w:spacing w:after="90"/>
        <w:ind w:left="403"/>
      </w:pPr>
      <w:r>
        <w:rPr>
          <w:b/>
          <w:bCs/>
          <w:color w:val="4735BE"/>
          <w:sz w:val="18"/>
          <w:szCs w:val="18"/>
        </w:rPr>
        <w:t xml:space="preserve">More   </w:t>
      </w:r>
      <w:r>
        <w:rPr>
          <w:sz w:val="22"/>
          <w:szCs w:val="22"/>
        </w:rPr>
        <w:t xml:space="preserve">Selecting an option opens the corresponding creation form, where you can enter the required information and complete the action.</w:t>
      </w:r>
    </w:p>
    <w:p>
      <w:pPr>
        <w:spacing w:after="90"/>
        <w:ind w:left="403"/>
      </w:pPr>
      <w:r>
        <w:rPr>
          <w:b/>
          <w:bCs/>
          <w:color w:val="4735BE"/>
          <w:sz w:val="18"/>
          <w:szCs w:val="18"/>
        </w:rPr>
        <w:t xml:space="preserve">More   </w:t>
      </w:r>
      <w:r>
        <w:rPr>
          <w:sz w:val="22"/>
          <w:szCs w:val="22"/>
        </w:rPr>
        <w:t xml:space="preserve">For example, selecting Invoice opens the invoice builder, where you can choose the client, set issue and due dates, add line items, apply discounts or taxes, enter notes, preview the invoice, and either save it as a draft or create and send it.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 New in the application header.</w:t>
      </w:r>
    </w:p>
    <w:p>
      <w:pPr>
        <w:pStyle w:val="ListParagraph"/>
        <w:numPr>
          <w:ilvl w:val="0"/>
          <w:numId w:val="2"/>
        </w:numPr>
        <w:spacing w:after="40"/>
        <w:ind w:left="892"/>
      </w:pPr>
      <w:r>
        <w:rPr>
          <w:sz w:val="21"/>
          <w:szCs w:val="21"/>
        </w:rPr>
        <w:t xml:space="preserve">Choose the record you want to create: Client, Task, Message, Invoice, Document Request, or Engagement Letter.</w:t>
      </w:r>
    </w:p>
    <w:p>
      <w:pPr>
        <w:pStyle w:val="ListParagraph"/>
        <w:numPr>
          <w:ilvl w:val="0"/>
          <w:numId w:val="2"/>
        </w:numPr>
        <w:spacing w:after="40"/>
        <w:ind w:left="892"/>
      </w:pPr>
      <w:r>
        <w:rPr>
          <w:sz w:val="21"/>
          <w:szCs w:val="21"/>
        </w:rPr>
        <w:t xml:space="preserve">Complete the required fields in the form, confirming the relevant client, recipients, or other details.</w:t>
      </w:r>
    </w:p>
    <w:p>
      <w:pPr>
        <w:pStyle w:val="ListParagraph"/>
        <w:numPr>
          <w:ilvl w:val="0"/>
          <w:numId w:val="2"/>
        </w:numPr>
        <w:spacing w:after="40"/>
        <w:ind w:left="892"/>
      </w:pPr>
      <w:r>
        <w:rPr>
          <w:sz w:val="21"/>
          <w:szCs w:val="21"/>
        </w:rPr>
        <w:t xml:space="preserve">Select the appropriate completion action, such as Save, Create, Save as draft, or Create &amp; send, depending on the record type.</w:t>
      </w:r>
    </w:p>
    <w:p>
      <w:pPr>
        <w:spacing w:after="40" w:before="70"/>
        <w:ind w:left="403"/>
      </w:pPr>
      <w:r>
        <w:rPr>
          <w:color w:val="8B8FA3"/>
          <w:sz w:val="17"/>
          <w:szCs w:val="17"/>
        </w:rPr>
        <w:t xml:space="preserve">Ref: pro-how-do-i-create-a-new-record-quickly-173</w:t>
      </w:r>
    </w:p>
    <w:p>
      <w:pPr>
        <w:keepNext/>
        <w:spacing w:after="90" w:before="220"/>
      </w:pPr>
      <w:r>
        <w:rPr>
          <w:b/>
          <w:bCs/>
          <w:color w:val="1A1C2E"/>
          <w:sz w:val="24"/>
          <w:szCs w:val="24"/>
        </w:rPr>
        <w:t xml:space="preserve">5.   Where do firm users sign in?</w:t>
      </w:r>
    </w:p>
    <w:p>
      <w:pPr>
        <w:spacing w:after="90"/>
        <w:ind w:left="403"/>
      </w:pPr>
      <w:r>
        <w:rPr>
          <w:sz w:val="22"/>
          <w:szCs w:val="22"/>
        </w:rPr>
        <w:t xml:space="preserve">Firm users sign in to the internal AssurePro workspace using the access link provided by their firm administrator. A new firm user opens the invitation sent to their work email, verifies the address, and sets a password to activate the account. Client users follow a separate process: they sign in through the firm's client portal or the AssureOne mobile app, on iOS or Android.</w:t>
      </w:r>
    </w:p>
    <w:p>
      <w:pPr>
        <w:spacing w:after="90"/>
        <w:ind w:left="403"/>
      </w:pPr>
      <w:r>
        <w:rPr>
          <w:b/>
          <w:bCs/>
          <w:color w:val="4735BE"/>
          <w:sz w:val="18"/>
          <w:szCs w:val="18"/>
        </w:rPr>
        <w:t xml:space="preserve">More   </w:t>
      </w:r>
      <w:r>
        <w:rPr>
          <w:sz w:val="22"/>
          <w:szCs w:val="22"/>
        </w:rPr>
        <w:t xml:space="preserve">If a firm user cannot activate the account, first confirm the correct email address was used and ask them to open the most recent invitation. Administrators can review, resend, or cancel a pending invitation under Team &amp; Roles &gt; Invitations.</w:t>
      </w:r>
    </w:p>
    <w:p>
      <w:pPr>
        <w:spacing w:after="40" w:before="70"/>
        <w:ind w:left="403"/>
      </w:pPr>
      <w:r>
        <w:rPr>
          <w:color w:val="8B8FA3"/>
          <w:sz w:val="17"/>
          <w:szCs w:val="17"/>
        </w:rPr>
        <w:t xml:space="preserve">Ref: pro-where-do-firm-users-sign-in-7</w:t>
      </w:r>
    </w:p>
    <w:p>
      <w:pPr>
        <w:keepNext/>
        <w:spacing w:after="90" w:before="220"/>
      </w:pPr>
      <w:r>
        <w:rPr>
          <w:b/>
          <w:bCs/>
          <w:color w:val="1A1C2E"/>
          <w:sz w:val="24"/>
          <w:szCs w:val="24"/>
        </w:rPr>
        <w:t xml:space="preserve">6.   How do I get help or report an issue in AssurePro?</w:t>
      </w:r>
    </w:p>
    <w:p>
      <w:pPr>
        <w:spacing w:after="90"/>
        <w:ind w:left="403"/>
      </w:pPr>
      <w:r>
        <w:rPr>
          <w:sz w:val="22"/>
          <w:szCs w:val="22"/>
        </w:rPr>
        <w:t xml:space="preserve">AssureOne provides direct email support, in-product issue reporting, and implementation assistance.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Email support@assureone.ai when you need help from the AssureOne support team, describing the feature, access issue, or workflow involved.</w:t>
      </w:r>
    </w:p>
    <w:p>
      <w:pPr>
        <w:pStyle w:val="ListParagraph"/>
        <w:numPr>
          <w:ilvl w:val="0"/>
          <w:numId w:val="2"/>
        </w:numPr>
        <w:spacing w:after="40"/>
        <w:ind w:left="892"/>
      </w:pPr>
      <w:r>
        <w:rPr>
          <w:sz w:val="21"/>
          <w:szCs w:val="21"/>
        </w:rPr>
        <w:t xml:space="preserve">Use Report a bug in the application header to report a product issue from the screen where it occurred, describing what you were doing, what you expected, what actually happened, and the affected area; attach a screenshot when it helps, with no unnecessary sensitive or confidential information.</w:t>
      </w:r>
    </w:p>
    <w:p>
      <w:pPr>
        <w:pStyle w:val="ListParagraph"/>
        <w:numPr>
          <w:ilvl w:val="0"/>
          <w:numId w:val="2"/>
        </w:numPr>
        <w:spacing w:after="40"/>
        <w:ind w:left="892"/>
      </w:pPr>
      <w:r>
        <w:rPr>
          <w:sz w:val="21"/>
          <w:szCs w:val="21"/>
        </w:rPr>
        <w:t xml:space="preserve">For configuration, onboarding, or data-migration questions, contact the firm's assigned AssureOne implementation team, since the answer may depend on the firm's plan and rollout.</w:t>
      </w:r>
    </w:p>
    <w:p>
      <w:pPr>
        <w:spacing w:after="40" w:before="70"/>
        <w:ind w:left="403"/>
      </w:pPr>
      <w:r>
        <w:rPr>
          <w:color w:val="8B8FA3"/>
          <w:sz w:val="17"/>
          <w:szCs w:val="17"/>
        </w:rPr>
        <w:t xml:space="preserve">Ref: pro-what-support-channels-are-available-if-we-run-into-an-issue-9</w:t>
      </w:r>
    </w:p>
    <w:p>
      <w:pPr>
        <w:keepNext/>
        <w:spacing w:after="90" w:before="220"/>
      </w:pPr>
      <w:r>
        <w:rPr>
          <w:b/>
          <w:bCs/>
          <w:color w:val="1A1C2E"/>
          <w:sz w:val="24"/>
          <w:szCs w:val="24"/>
        </w:rPr>
        <w:t xml:space="preserve">7.   Can administrators review recent activity across the firm?</w:t>
      </w:r>
    </w:p>
    <w:p>
      <w:pPr>
        <w:spacing w:after="90"/>
        <w:ind w:left="403"/>
      </w:pPr>
      <w:r>
        <w:rPr>
          <w:sz w:val="22"/>
          <w:szCs w:val="22"/>
        </w:rPr>
        <w:t xml:space="preserve">Yes. Administrators can use the Recent Activity section on the Overview dashboard to review recent user and system activity across the firm.</w:t>
      </w:r>
    </w:p>
    <w:p>
      <w:pPr>
        <w:spacing w:after="90"/>
        <w:ind w:left="403"/>
      </w:pPr>
      <w:r>
        <w:rPr>
          <w:b/>
          <w:bCs/>
          <w:color w:val="4735BE"/>
          <w:sz w:val="18"/>
          <w:szCs w:val="18"/>
        </w:rPr>
        <w:t xml:space="preserve">More   </w:t>
      </w:r>
      <w:r>
        <w:rPr>
          <w:sz w:val="22"/>
          <w:szCs w:val="22"/>
        </w:rPr>
        <w:t xml:space="preserve">Each activity entry shows the action performed, the related user or record, and when the activity occurred. Depending on the activity captured by AssurePro, this may include events such as a team invitation being sent or accepted, a client signing in to the client portal, a client or contact record being updated, and other supported user or system actions.</w:t>
      </w:r>
    </w:p>
    <w:p>
      <w:pPr>
        <w:spacing w:after="90"/>
        <w:ind w:left="403"/>
      </w:pPr>
      <w:r>
        <w:rPr>
          <w:b/>
          <w:bCs/>
          <w:color w:val="4735BE"/>
          <w:sz w:val="18"/>
          <w:szCs w:val="18"/>
        </w:rPr>
        <w:t xml:space="preserve">More   </w:t>
      </w:r>
      <w:r>
        <w:rPr>
          <w:sz w:val="22"/>
          <w:szCs w:val="22"/>
        </w:rPr>
        <w:t xml:space="preserve">Recent Activity is designed to provide administrators with quick visibility into day-to-day activity across the firm.</w:t>
      </w:r>
    </w:p>
    <w:p>
      <w:pPr>
        <w:spacing w:after="40" w:before="70"/>
        <w:ind w:left="403"/>
      </w:pPr>
      <w:r>
        <w:rPr>
          <w:color w:val="8B8FA3"/>
          <w:sz w:val="17"/>
          <w:szCs w:val="17"/>
        </w:rPr>
        <w:t xml:space="preserve">Ref: pro-is-there-an-audit-log-of-staff-actions-across-the-firm-10</w:t>
      </w:r>
    </w:p>
    <w:p>
      <w:r>
        <w:br w:type="page"/>
      </w:r>
    </w:p>
    <w:p>
      <w:pPr>
        <w:pStyle w:val="Heading1"/>
        <w:spacing w:after="40" w:before="60"/>
      </w:pPr>
      <w:r>
        <w:rPr>
          <w:b/>
          <w:bCs/>
          <w:color w:val="1A1C2E"/>
          <w:sz w:val="32"/>
          <w:szCs w:val="32"/>
        </w:rPr>
        <w:t xml:space="preserve">Dashboard</w:t>
      </w:r>
    </w:p>
    <w:p>
      <w:pPr>
        <w:pBdr>
          <w:bottom w:val="single" w:color="E4E2F0" w:sz="4"/>
        </w:pBdr>
        <w:spacing w:after="200"/>
      </w:pPr>
      <w:r>
        <w:rPr>
          <w:color w:val="8B8FA3"/>
          <w:sz w:val="20"/>
          <w:szCs w:val="20"/>
        </w:rPr>
        <w:t xml:space="preserve">6 questions</w:t>
      </w:r>
    </w:p>
    <w:p>
      <w:pPr>
        <w:keepNext/>
        <w:spacing w:after="90" w:before="220"/>
      </w:pPr>
      <w:r>
        <w:rPr>
          <w:b/>
          <w:bCs/>
          <w:color w:val="1A1C2E"/>
          <w:sz w:val="24"/>
          <w:szCs w:val="24"/>
        </w:rPr>
        <w:t xml:space="preserve">1.   What is on the AssurePro Overview?</w:t>
      </w:r>
    </w:p>
    <w:p>
      <w:pPr>
        <w:spacing w:after="90"/>
        <w:ind w:left="403"/>
      </w:pPr>
      <w:r>
        <w:rPr>
          <w:sz w:val="22"/>
          <w:szCs w:val="22"/>
        </w:rPr>
        <w:t xml:space="preserve">The Overview is AssurePro's main operating dashboard. It gives firm users a consolidated view of important activity, priorities, and performance across the practice.</w:t>
      </w:r>
    </w:p>
    <w:p>
      <w:pPr>
        <w:spacing w:after="90"/>
        <w:ind w:left="403"/>
      </w:pPr>
      <w:r>
        <w:rPr>
          <w:b/>
          <w:bCs/>
          <w:color w:val="4735BE"/>
          <w:sz w:val="18"/>
          <w:szCs w:val="18"/>
        </w:rPr>
        <w:t xml:space="preserve">More   </w:t>
      </w:r>
      <w:r>
        <w:rPr>
          <w:sz w:val="22"/>
          <w:szCs w:val="22"/>
        </w:rPr>
        <w:t xml:space="preserve">The Overview includes an AI-generated daily briefing along with summaries for areas such as clients, engagements, team workload, deadlines, workflow bottlenecks, invoices, tasks, and review work.</w:t>
      </w:r>
    </w:p>
    <w:p>
      <w:pPr>
        <w:spacing w:after="90"/>
        <w:ind w:left="403"/>
      </w:pPr>
      <w:r>
        <w:rPr>
          <w:b/>
          <w:bCs/>
          <w:color w:val="4735BE"/>
          <w:sz w:val="18"/>
          <w:szCs w:val="18"/>
        </w:rPr>
        <w:t xml:space="preserve">More   </w:t>
      </w:r>
      <w:r>
        <w:rPr>
          <w:sz w:val="22"/>
          <w:szCs w:val="22"/>
        </w:rPr>
        <w:t xml:space="preserve">You can select a widget, record, or summary item to open the related client, engagement, task, invoice, or report and review the underlying details.</w:t>
      </w:r>
    </w:p>
    <w:p>
      <w:pPr>
        <w:spacing w:after="40" w:before="70"/>
        <w:ind w:left="403"/>
      </w:pPr>
      <w:r>
        <w:rPr>
          <w:color w:val="8B8FA3"/>
          <w:sz w:val="17"/>
          <w:szCs w:val="17"/>
        </w:rPr>
        <w:t xml:space="preserve">Ref: pro-what-is-on-the-assurepro-overview-3</w:t>
      </w:r>
    </w:p>
    <w:p>
      <w:pPr>
        <w:keepNext/>
        <w:spacing w:after="90" w:before="220"/>
      </w:pPr>
      <w:r>
        <w:rPr>
          <w:b/>
          <w:bCs/>
          <w:color w:val="1A1C2E"/>
          <w:sz w:val="24"/>
          <w:szCs w:val="24"/>
        </w:rPr>
        <w:t xml:space="preserve">2.   Can the Overview dashboard be customized?</w:t>
      </w:r>
    </w:p>
    <w:p>
      <w:pPr>
        <w:spacing w:after="90"/>
        <w:ind w:left="403"/>
      </w:pPr>
      <w:r>
        <w:rPr>
          <w:sz w:val="22"/>
          <w:szCs w:val="22"/>
        </w:rPr>
        <w:t xml:space="preserve">Yes. You can customize the Overview dashboard to show the information that is most relevant to your role and day-to-day responsibilities.</w:t>
      </w:r>
    </w:p>
    <w:p>
      <w:pPr>
        <w:spacing w:after="90"/>
        <w:ind w:left="403"/>
      </w:pPr>
      <w:r>
        <w:rPr>
          <w:b/>
          <w:bCs/>
          <w:color w:val="4735BE"/>
          <w:sz w:val="18"/>
          <w:szCs w:val="18"/>
        </w:rPr>
        <w:t xml:space="preserve">More   </w:t>
      </w:r>
      <w:r>
        <w:rPr>
          <w:sz w:val="22"/>
          <w:szCs w:val="22"/>
        </w:rPr>
        <w:t xml:space="preserve">Select Edit layout to choose which available widgets appear on the dashboard and arrange them in your preferred order. Save the layout when you are finished.</w:t>
      </w:r>
    </w:p>
    <w:p>
      <w:pPr>
        <w:spacing w:after="90"/>
        <w:ind w:left="403"/>
      </w:pPr>
      <w:r>
        <w:rPr>
          <w:b/>
          <w:bCs/>
          <w:color w:val="4735BE"/>
          <w:sz w:val="18"/>
          <w:szCs w:val="18"/>
        </w:rPr>
        <w:t xml:space="preserve">More   </w:t>
      </w:r>
      <w:r>
        <w:rPr>
          <w:sz w:val="22"/>
          <w:szCs w:val="22"/>
        </w:rPr>
        <w:t xml:space="preserve">For example, a partner may prioritize financial performance and workflow bottlenecks, while a manager may prefer to focus on engagements, review work, upcoming deadlines, and team capacity.</w:t>
      </w:r>
    </w:p>
    <w:p>
      <w:pPr>
        <w:spacing w:after="90"/>
        <w:ind w:left="403"/>
      </w:pPr>
      <w:r>
        <w:rPr>
          <w:b/>
          <w:bCs/>
          <w:color w:val="4735BE"/>
          <w:sz w:val="18"/>
          <w:szCs w:val="18"/>
        </w:rPr>
        <w:t xml:space="preserve">More   </w:t>
      </w:r>
      <w:r>
        <w:rPr>
          <w:sz w:val="22"/>
          <w:szCs w:val="22"/>
        </w:rPr>
        <w:t xml:space="preserve">Your customized layout is saved for your user account. Select Reset layout at any time to restore the standard dashboard arrangement.</w:t>
      </w:r>
    </w:p>
    <w:p>
      <w:pPr>
        <w:spacing w:after="40" w:before="70"/>
        <w:ind w:left="403"/>
      </w:pPr>
      <w:r>
        <w:rPr>
          <w:color w:val="8B8FA3"/>
          <w:sz w:val="17"/>
          <w:szCs w:val="17"/>
        </w:rPr>
        <w:t xml:space="preserve">Ref: pro-can-the-overview-dashboard-be-customized-4</w:t>
      </w:r>
    </w:p>
    <w:p>
      <w:pPr>
        <w:keepNext/>
        <w:spacing w:after="90" w:before="220"/>
      </w:pPr>
      <w:r>
        <w:rPr>
          <w:b/>
          <w:bCs/>
          <w:color w:val="1A1C2E"/>
          <w:sz w:val="24"/>
          <w:szCs w:val="24"/>
        </w:rPr>
        <w:t xml:space="preserve">3.   How do I build a custom report?</w:t>
      </w:r>
    </w:p>
    <w:p>
      <w:pPr>
        <w:spacing w:after="90"/>
        <w:ind w:left="403"/>
      </w:pPr>
      <w:r>
        <w:rPr>
          <w:sz w:val="22"/>
          <w:szCs w:val="22"/>
        </w:rPr>
        <w:t xml:space="preserve">You can build a custom dashboard from Reports &gt; Templates by selecting the report widgets that match the information or management question you want to track.</w:t>
      </w:r>
    </w:p>
    <w:p>
      <w:pPr>
        <w:spacing w:after="90"/>
        <w:ind w:left="403"/>
      </w:pPr>
      <w:r>
        <w:rPr>
          <w:b/>
          <w:bCs/>
          <w:color w:val="4735BE"/>
          <w:sz w:val="18"/>
          <w:szCs w:val="18"/>
        </w:rPr>
        <w:t xml:space="preserve">More   </w:t>
      </w:r>
      <w:r>
        <w:rPr>
          <w:sz w:val="22"/>
          <w:szCs w:val="22"/>
        </w:rPr>
        <w:t xml:space="preserve">After selecting one or more widgets, you can arrange the dashboard layout, adjust widget sizing where available, and save the dashboard for personal use or share it with other firm users who have report access.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select Templates.</w:t>
      </w:r>
    </w:p>
    <w:p>
      <w:pPr>
        <w:pStyle w:val="ListParagraph"/>
        <w:numPr>
          <w:ilvl w:val="0"/>
          <w:numId w:val="2"/>
        </w:numPr>
        <w:spacing w:after="40"/>
        <w:ind w:left="892"/>
      </w:pPr>
      <w:r>
        <w:rPr>
          <w:sz w:val="21"/>
          <w:szCs w:val="21"/>
        </w:rPr>
        <w:t xml:space="preserve">Search for a report widget or filter the available widgets by category.</w:t>
      </w:r>
    </w:p>
    <w:p>
      <w:pPr>
        <w:pStyle w:val="ListParagraph"/>
        <w:numPr>
          <w:ilvl w:val="0"/>
          <w:numId w:val="2"/>
        </w:numPr>
        <w:spacing w:after="40"/>
        <w:ind w:left="892"/>
      </w:pPr>
      <w:r>
        <w:rPr>
          <w:sz w:val="21"/>
          <w:szCs w:val="21"/>
        </w:rPr>
        <w:t xml:space="preserve">Select the widgets you want to include in the dashboard.</w:t>
      </w:r>
    </w:p>
    <w:p>
      <w:pPr>
        <w:pStyle w:val="ListParagraph"/>
        <w:numPr>
          <w:ilvl w:val="0"/>
          <w:numId w:val="2"/>
        </w:numPr>
        <w:spacing w:after="40"/>
        <w:ind w:left="892"/>
      </w:pPr>
      <w:r>
        <w:rPr>
          <w:sz w:val="21"/>
          <w:szCs w:val="21"/>
        </w:rPr>
        <w:t xml:space="preserve">Review the selected widgets. They are initially added in the order in which you selected them.</w:t>
      </w:r>
    </w:p>
    <w:p>
      <w:pPr>
        <w:pStyle w:val="ListParagraph"/>
        <w:numPr>
          <w:ilvl w:val="0"/>
          <w:numId w:val="2"/>
        </w:numPr>
        <w:spacing w:after="40"/>
        <w:ind w:left="892"/>
      </w:pPr>
      <w:r>
        <w:rPr>
          <w:sz w:val="21"/>
          <w:szCs w:val="21"/>
        </w:rPr>
        <w:t xml:space="preserve">Drag the widgets into your preferred order. Adjust the widget width and, where available, its height.</w:t>
      </w:r>
    </w:p>
    <w:p>
      <w:pPr>
        <w:pStyle w:val="ListParagraph"/>
        <w:numPr>
          <w:ilvl w:val="0"/>
          <w:numId w:val="2"/>
        </w:numPr>
        <w:spacing w:after="40"/>
        <w:ind w:left="892"/>
      </w:pPr>
      <w:r>
        <w:rPr>
          <w:sz w:val="21"/>
          <w:szCs w:val="21"/>
        </w:rPr>
        <w:t xml:space="preserve">Select Save dashboard.</w:t>
      </w:r>
    </w:p>
    <w:p>
      <w:pPr>
        <w:pStyle w:val="ListParagraph"/>
        <w:numPr>
          <w:ilvl w:val="0"/>
          <w:numId w:val="2"/>
        </w:numPr>
        <w:spacing w:after="40"/>
        <w:ind w:left="892"/>
      </w:pPr>
      <w:r>
        <w:rPr>
          <w:sz w:val="21"/>
          <w:szCs w:val="21"/>
        </w:rPr>
        <w:t xml:space="preserve">Enter a dashboard name and, optionally, a description.</w:t>
      </w:r>
    </w:p>
    <w:p>
      <w:pPr>
        <w:pStyle w:val="ListParagraph"/>
        <w:numPr>
          <w:ilvl w:val="0"/>
          <w:numId w:val="2"/>
        </w:numPr>
        <w:spacing w:after="40"/>
        <w:ind w:left="892"/>
      </w:pPr>
      <w:r>
        <w:rPr>
          <w:sz w:val="21"/>
          <w:szCs w:val="21"/>
        </w:rPr>
        <w:t xml:space="preserve">Choose whether to Share with the firm.</w:t>
      </w:r>
    </w:p>
    <w:p>
      <w:pPr>
        <w:pStyle w:val="ListParagraph"/>
        <w:numPr>
          <w:ilvl w:val="0"/>
          <w:numId w:val="2"/>
        </w:numPr>
        <w:spacing w:after="40"/>
        <w:ind w:left="892"/>
      </w:pPr>
      <w:r>
        <w:rPr>
          <w:sz w:val="21"/>
          <w:szCs w:val="21"/>
        </w:rPr>
        <w:t xml:space="preserve">Save the dashboard.</w:t>
      </w:r>
    </w:p>
    <w:p>
      <w:pPr>
        <w:pStyle w:val="ListParagraph"/>
        <w:numPr>
          <w:ilvl w:val="0"/>
          <w:numId w:val="2"/>
        </w:numPr>
        <w:spacing w:after="40"/>
        <w:ind w:left="892"/>
      </w:pPr>
      <w:r>
        <w:rPr>
          <w:sz w:val="21"/>
          <w:szCs w:val="21"/>
        </w:rPr>
        <w:t xml:space="preserve">If you share the dashboard with the firm, it becomes available to users who have the required report access. If you do not share it, the dashboard remains available for your own use.</w:t>
      </w:r>
    </w:p>
    <w:p>
      <w:pPr>
        <w:spacing w:after="40" w:before="70"/>
        <w:ind w:left="403"/>
      </w:pPr>
      <w:r>
        <w:rPr>
          <w:color w:val="8B8FA3"/>
          <w:sz w:val="17"/>
          <w:szCs w:val="17"/>
        </w:rPr>
        <w:t xml:space="preserve">Ref: pro-how-do-i-build-a-custom-dashboard-140</w:t>
      </w:r>
    </w:p>
    <w:p>
      <w:pPr>
        <w:keepNext/>
        <w:spacing w:after="90" w:before="220"/>
      </w:pPr>
      <w:r>
        <w:rPr>
          <w:b/>
          <w:bCs/>
          <w:color w:val="1A1C2E"/>
          <w:sz w:val="24"/>
          <w:szCs w:val="24"/>
        </w:rPr>
        <w:t xml:space="preserve">4.   How do I share or manage a custom dashboard?</w:t>
      </w:r>
    </w:p>
    <w:p>
      <w:pPr>
        <w:spacing w:after="90"/>
        <w:ind w:left="403"/>
      </w:pPr>
      <w:r>
        <w:rPr>
          <w:sz w:val="22"/>
          <w:szCs w:val="22"/>
        </w:rPr>
        <w:t xml:space="preserve">When saving a custom dashboard, enable Share with the firm to make it available to other firm users who have report access.</w:t>
      </w:r>
    </w:p>
    <w:p>
      <w:pPr>
        <w:spacing w:after="90"/>
        <w:ind w:left="403"/>
      </w:pPr>
      <w:r>
        <w:rPr>
          <w:b/>
          <w:bCs/>
          <w:color w:val="4735BE"/>
          <w:sz w:val="18"/>
          <w:szCs w:val="18"/>
        </w:rPr>
        <w:t xml:space="preserve">More   </w:t>
      </w:r>
      <w:r>
        <w:rPr>
          <w:sz w:val="22"/>
          <w:szCs w:val="22"/>
        </w:rPr>
        <w:t xml:space="preserve">Shared dashboards can be managed using options such as Edit widgets to change the dashboard content or layout, Rename to update the dashboard name, Duplicate to my dashboards to create a personal copy that you can modify independently, Make private to remove the dashboard from firm-wide access without deleting it, and Delete to permanently remove the dashboard.</w:t>
      </w:r>
    </w:p>
    <w:p>
      <w:pPr>
        <w:spacing w:after="90"/>
        <w:ind w:left="403"/>
      </w:pPr>
      <w:r>
        <w:rPr>
          <w:b/>
          <w:bCs/>
          <w:color w:val="4735BE"/>
          <w:sz w:val="18"/>
          <w:szCs w:val="18"/>
        </w:rPr>
        <w:t xml:space="preserve">More   </w:t>
      </w:r>
      <w:r>
        <w:rPr>
          <w:sz w:val="22"/>
          <w:szCs w:val="22"/>
        </w:rPr>
        <w:t xml:space="preserve">If you want to experiment with a shared or starter dashboard, use Duplicate to my dashboards first — this lets you make changes without affecting the original. A good practice is to name the dashboard based on the management question or area it is designed to track, update the widgets to match that purpose, and enable Share with the firm only when the dashboard is ready for broader use.</w:t>
      </w:r>
    </w:p>
    <w:p>
      <w:pPr>
        <w:spacing w:after="40" w:before="70"/>
        <w:ind w:left="403"/>
      </w:pPr>
      <w:r>
        <w:rPr>
          <w:color w:val="8B8FA3"/>
          <w:sz w:val="17"/>
          <w:szCs w:val="17"/>
        </w:rPr>
        <w:t xml:space="preserve">Ref: pro-how-do-i-share-or-manage-a-custom-dashboard-142</w:t>
      </w:r>
    </w:p>
    <w:p>
      <w:pPr>
        <w:keepNext/>
        <w:spacing w:after="90" w:before="220"/>
      </w:pPr>
      <w:r>
        <w:rPr>
          <w:b/>
          <w:bCs/>
          <w:color w:val="1A1C2E"/>
          <w:sz w:val="24"/>
          <w:szCs w:val="24"/>
        </w:rPr>
        <w:t xml:space="preserve">5.   Which report-widget categories can I use?</w:t>
      </w:r>
    </w:p>
    <w:p>
      <w:pPr>
        <w:spacing w:after="90"/>
        <w:ind w:left="403"/>
      </w:pPr>
      <w:r>
        <w:rPr>
          <w:sz w:val="22"/>
          <w:szCs w:val="22"/>
        </w:rPr>
        <w:t xml:space="preserve">The Reports &gt; Templates library organizes report widgets into categories so you can quickly find metrics related to a specific area of the firm.</w:t>
      </w:r>
    </w:p>
    <w:p>
      <w:pPr>
        <w:spacing w:after="90"/>
        <w:ind w:left="403"/>
      </w:pPr>
      <w:r>
        <w:rPr>
          <w:b/>
          <w:bCs/>
          <w:color w:val="4735BE"/>
          <w:sz w:val="18"/>
          <w:szCs w:val="18"/>
        </w:rPr>
        <w:t xml:space="preserve">More   </w:t>
      </w:r>
      <w:r>
        <w:rPr>
          <w:sz w:val="22"/>
          <w:szCs w:val="22"/>
        </w:rPr>
        <w:t xml:space="preserve">Available categories include Revenue, Clients, Workflow, Tasks, Time, Billing, and Agreements. Each category can include different types of widgets, such as headline metrics, trend charts, aging reports, client or assignee breakdowns, operational lists, and budget-versus-actual views.</w:t>
      </w:r>
    </w:p>
    <w:p>
      <w:pPr>
        <w:spacing w:after="90"/>
        <w:ind w:left="403"/>
      </w:pPr>
      <w:r>
        <w:rPr>
          <w:b/>
          <w:bCs/>
          <w:color w:val="4735BE"/>
          <w:sz w:val="18"/>
          <w:szCs w:val="18"/>
        </w:rPr>
        <w:t xml:space="preserve">More   </w:t>
      </w:r>
      <w:r>
        <w:rPr>
          <w:sz w:val="22"/>
          <w:szCs w:val="22"/>
        </w:rPr>
        <w:t xml:space="preserve">For example, a management dashboard could combine Total Revenue from Revenue, New Clients from Clients, Stage Aging from Workflow, Overdue Tasks from Tasks, Utilization from Time, A/R Aging from Billing, and Agreement Funnel from Agreements. Use Search when you know the widget you need, and use the category filters when you want to explore related measures and identify additional widgets for your dashboard.</w:t>
      </w:r>
    </w:p>
    <w:p>
      <w:pPr>
        <w:spacing w:after="40" w:before="70"/>
        <w:ind w:left="403"/>
      </w:pPr>
      <w:r>
        <w:rPr>
          <w:color w:val="8B8FA3"/>
          <w:sz w:val="17"/>
          <w:szCs w:val="17"/>
        </w:rPr>
        <w:t xml:space="preserve">Ref: pro-which-report-widget-categories-can-i-use-143</w:t>
      </w:r>
    </w:p>
    <w:p>
      <w:pPr>
        <w:keepNext/>
        <w:spacing w:after="90" w:before="220"/>
      </w:pPr>
      <w:r>
        <w:rPr>
          <w:b/>
          <w:bCs/>
          <w:color w:val="1A1C2E"/>
          <w:sz w:val="24"/>
          <w:szCs w:val="24"/>
        </w:rPr>
        <w:t xml:space="preserve">6.   How does the dashboard help identify work needing attention?</w:t>
      </w:r>
    </w:p>
    <w:p>
      <w:pPr>
        <w:spacing w:after="90"/>
        <w:ind w:left="403"/>
      </w:pPr>
      <w:r>
        <w:rPr>
          <w:sz w:val="22"/>
          <w:szCs w:val="22"/>
        </w:rPr>
        <w:t xml:space="preserve">The Overview dashboard helps firm users identify work that may require attention by bringing key deadlines, exceptions, workload indicators, and operational risks into one place.</w:t>
      </w:r>
    </w:p>
    <w:p>
      <w:pPr>
        <w:spacing w:after="90"/>
        <w:ind w:left="403"/>
      </w:pPr>
      <w:r>
        <w:rPr>
          <w:b/>
          <w:bCs/>
          <w:color w:val="4735BE"/>
          <w:sz w:val="18"/>
          <w:szCs w:val="18"/>
        </w:rPr>
        <w:t xml:space="preserve">More   </w:t>
      </w:r>
      <w:r>
        <w:rPr>
          <w:sz w:val="22"/>
          <w:szCs w:val="22"/>
        </w:rPr>
        <w:t xml:space="preserve">Depending on the widgets available to your firm, the dashboard can highlight items such as approaching or missed deadlines, stalled engagements or workflow bottlenecks, review work waiting for action, unsigned engagement letters, overdue tasks, team workload or capacity pressure, outstanding receivables, and important filing dates.</w:t>
      </w:r>
    </w:p>
    <w:p>
      <w:pPr>
        <w:spacing w:after="90"/>
        <w:ind w:left="403"/>
      </w:pPr>
      <w:r>
        <w:rPr>
          <w:b/>
          <w:bCs/>
          <w:color w:val="4735BE"/>
          <w:sz w:val="18"/>
          <w:szCs w:val="18"/>
        </w:rPr>
        <w:t xml:space="preserve">More   </w:t>
      </w:r>
      <w:r>
        <w:rPr>
          <w:sz w:val="22"/>
          <w:szCs w:val="22"/>
        </w:rPr>
        <w:t xml:space="preserve">The information displayed can also support different roles across the firm. Partners and firm leaders may focus on revenue, receivables, client concentration, workflow bottlenecks, and overall firm performance. Managers and reviewers may prioritize engagement progress, review queues, deadlines, overdue work, and team capacity. Team members may focus on assigned tasks, upcoming deadlines, engagement activity, and work requiring follow-up.</w:t>
      </w:r>
    </w:p>
    <w:p>
      <w:pPr>
        <w:spacing w:after="90"/>
        <w:ind w:left="403"/>
      </w:pPr>
      <w:r>
        <w:rPr>
          <w:b/>
          <w:bCs/>
          <w:color w:val="4735BE"/>
          <w:sz w:val="18"/>
          <w:szCs w:val="18"/>
        </w:rPr>
        <w:t xml:space="preserve">More   </w:t>
      </w:r>
      <w:r>
        <w:rPr>
          <w:sz w:val="22"/>
          <w:szCs w:val="22"/>
        </w:rPr>
        <w:t xml:space="preserve">Select a dashboard tile, metric, or record to open the related area in AssurePro and review the underlying work. For example, an overdue invoice can lead to Billing, a workflow bottleneck can lead to Workflow, an awaiting-signature item can lead to Engagement Letters, and a workload alert can lead to Team &amp; Roles. The dashboard is designed to act as an operational starting point, helping each user quickly identify the work most relevant to their role and move directly to the area where action is required.</w:t>
      </w:r>
    </w:p>
    <w:p>
      <w:pPr>
        <w:spacing w:after="40" w:before="70"/>
        <w:ind w:left="403"/>
      </w:pPr>
      <w:r>
        <w:rPr>
          <w:color w:val="8B8FA3"/>
          <w:sz w:val="17"/>
          <w:szCs w:val="17"/>
        </w:rPr>
        <w:t xml:space="preserve">Ref: pro-how-does-the-dashboard-help-identify-work-needing-attention-145</w:t>
      </w:r>
    </w:p>
    <w:p>
      <w:r>
        <w:br w:type="page"/>
      </w:r>
    </w:p>
    <w:p>
      <w:pPr>
        <w:pStyle w:val="Heading1"/>
        <w:spacing w:after="40" w:before="60"/>
      </w:pPr>
      <w:r>
        <w:rPr>
          <w:b/>
          <w:bCs/>
          <w:color w:val="1A1C2E"/>
          <w:sz w:val="32"/>
          <w:szCs w:val="32"/>
        </w:rPr>
        <w:t xml:space="preserve">Settings</w:t>
      </w:r>
    </w:p>
    <w:p>
      <w:pPr>
        <w:pBdr>
          <w:bottom w:val="single" w:color="E4E2F0" w:sz="4"/>
        </w:pBdr>
        <w:spacing w:after="200"/>
      </w:pPr>
      <w:r>
        <w:rPr>
          <w:color w:val="8B8FA3"/>
          <w:sz w:val="20"/>
          <w:szCs w:val="20"/>
        </w:rPr>
        <w:t xml:space="preserve">20 questions</w:t>
      </w:r>
    </w:p>
    <w:p>
      <w:pPr>
        <w:keepNext/>
        <w:spacing w:after="90" w:before="220"/>
      </w:pPr>
      <w:r>
        <w:rPr>
          <w:b/>
          <w:bCs/>
          <w:color w:val="1A1C2E"/>
          <w:sz w:val="24"/>
          <w:szCs w:val="24"/>
        </w:rPr>
        <w:t xml:space="preserve">1.   What is included in AssurePro Settings?</w:t>
      </w:r>
    </w:p>
    <w:p>
      <w:pPr>
        <w:spacing w:after="90"/>
        <w:ind w:left="403"/>
      </w:pPr>
      <w:r>
        <w:rPr>
          <w:sz w:val="22"/>
          <w:szCs w:val="22"/>
        </w:rPr>
        <w:t xml:space="preserve">Settings is the central administration area for configuring how AssurePro works for your firm.</w:t>
      </w:r>
    </w:p>
    <w:p>
      <w:pPr>
        <w:spacing w:after="90"/>
        <w:ind w:left="403"/>
      </w:pPr>
      <w:r>
        <w:rPr>
          <w:b/>
          <w:bCs/>
          <w:color w:val="4735BE"/>
          <w:sz w:val="18"/>
          <w:szCs w:val="18"/>
        </w:rPr>
        <w:t xml:space="preserve">More   </w:t>
      </w:r>
      <w:r>
        <w:rPr>
          <w:sz w:val="22"/>
          <w:szCs w:val="22"/>
        </w:rPr>
        <w:t xml:space="preserve">Settings covers firm profile and branding, client portal configuration, teams, roles, and permissions, workflows and work standards, documents and reusable templates, billing and financial controls, notifications and reminders, connected-service integrations, security and access settings, and the reusable defaults used during onboarding and service delivery.</w:t>
      </w:r>
    </w:p>
    <w:p>
      <w:pPr>
        <w:spacing w:after="90"/>
        <w:ind w:left="403"/>
      </w:pPr>
      <w:r>
        <w:rPr>
          <w:b/>
          <w:bCs/>
          <w:color w:val="4735BE"/>
          <w:sz w:val="18"/>
          <w:szCs w:val="18"/>
        </w:rPr>
        <w:t xml:space="preserve">More   </w:t>
      </w:r>
      <w:r>
        <w:rPr>
          <w:sz w:val="22"/>
          <w:szCs w:val="22"/>
        </w:rPr>
        <w:t xml:space="preserve">It is organized into five groups: Firm (identity, branding, organizational setup), Work (workflows, documents, templates, and work-related configuration), Finances (billing and financial settings), Communication (notifications, email, and automated reminders), and Access (users, permissions, security, and connected services). For example, use Firm Profile to manage branding, Workflow to configure delivery stages, Reminders to manage automated follow-up, and Integrations to manage connected services.</w:t>
      </w:r>
    </w:p>
    <w:p>
      <w:pPr>
        <w:spacing w:after="40" w:before="70"/>
        <w:ind w:left="403"/>
      </w:pPr>
      <w:r>
        <w:rPr>
          <w:color w:val="8B8FA3"/>
          <w:sz w:val="17"/>
          <w:szCs w:val="17"/>
        </w:rPr>
        <w:t xml:space="preserve">Ref: pro-what-is-included-in-assurepro-settings-11</w:t>
      </w:r>
    </w:p>
    <w:p>
      <w:pPr>
        <w:keepNext/>
        <w:spacing w:after="90" w:before="220"/>
      </w:pPr>
      <w:r>
        <w:rPr>
          <w:b/>
          <w:bCs/>
          <w:color w:val="1A1C2E"/>
          <w:sz w:val="24"/>
          <w:szCs w:val="24"/>
        </w:rPr>
        <w:t xml:space="preserve">2.   How do I find a particular setting?</w:t>
      </w:r>
    </w:p>
    <w:p>
      <w:pPr>
        <w:spacing w:after="90"/>
        <w:ind w:left="403"/>
      </w:pPr>
      <w:r>
        <w:rPr>
          <w:sz w:val="22"/>
          <w:szCs w:val="22"/>
        </w:rPr>
        <w:t xml:space="preserve">Use Search settings when you know what you want to configure but are unsure where the setting is located.</w:t>
      </w:r>
    </w:p>
    <w:p>
      <w:pPr>
        <w:spacing w:after="90"/>
        <w:ind w:left="403"/>
      </w:pPr>
      <w:r>
        <w:rPr>
          <w:b/>
          <w:bCs/>
          <w:color w:val="4735BE"/>
          <w:sz w:val="18"/>
          <w:szCs w:val="18"/>
        </w:rPr>
        <w:t xml:space="preserve">More   </w:t>
      </w:r>
      <w:r>
        <w:rPr>
          <w:sz w:val="22"/>
          <w:szCs w:val="22"/>
        </w:rPr>
        <w:t xml:space="preserve">The Settings area is organized into Firm, Work, Money, Communication, and Access. Search settings looks for matching Settings pages and lets you open the relevant page directly. For example, search "reminders" to find automated follow-up settings, search "credentials" to find the firm's secure credential-management area, search "documents" to find document-related configuration, and search "notifications" to find notification and email settings.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from the Admin area of the main navigation.</w:t>
      </w:r>
    </w:p>
    <w:p>
      <w:pPr>
        <w:pStyle w:val="ListParagraph"/>
        <w:numPr>
          <w:ilvl w:val="0"/>
          <w:numId w:val="2"/>
        </w:numPr>
        <w:spacing w:after="40"/>
        <w:ind w:left="892"/>
      </w:pPr>
      <w:r>
        <w:rPr>
          <w:sz w:val="21"/>
          <w:szCs w:val="21"/>
        </w:rPr>
        <w:t xml:space="preserve">Enter a keyword in Search settings, or browse the available setting groups.</w:t>
      </w:r>
    </w:p>
    <w:p>
      <w:pPr>
        <w:pStyle w:val="ListParagraph"/>
        <w:numPr>
          <w:ilvl w:val="0"/>
          <w:numId w:val="2"/>
        </w:numPr>
        <w:spacing w:after="40"/>
        <w:ind w:left="892"/>
      </w:pPr>
      <w:r>
        <w:rPr>
          <w:sz w:val="21"/>
          <w:szCs w:val="21"/>
        </w:rPr>
        <w:t xml:space="preserve">Select the matching Settings page from the results.</w:t>
      </w:r>
    </w:p>
    <w:p>
      <w:pPr>
        <w:pStyle w:val="ListParagraph"/>
        <w:numPr>
          <w:ilvl w:val="0"/>
          <w:numId w:val="2"/>
        </w:numPr>
        <w:spacing w:after="40"/>
        <w:ind w:left="892"/>
      </w:pPr>
      <w:r>
        <w:rPr>
          <w:sz w:val="21"/>
          <w:szCs w:val="21"/>
        </w:rPr>
        <w:t xml:space="preserve">For example, you can open Documents under Work or Notifications &amp; Email under Communication.</w:t>
      </w:r>
    </w:p>
    <w:p>
      <w:pPr>
        <w:spacing w:after="40" w:before="70"/>
        <w:ind w:left="403"/>
      </w:pPr>
      <w:r>
        <w:rPr>
          <w:color w:val="8B8FA3"/>
          <w:sz w:val="17"/>
          <w:szCs w:val="17"/>
        </w:rPr>
        <w:t xml:space="preserve">Ref: pro-how-do-i-find-a-particular-setting-12</w:t>
      </w:r>
    </w:p>
    <w:p>
      <w:pPr>
        <w:keepNext/>
        <w:spacing w:after="90" w:before="220"/>
      </w:pPr>
      <w:r>
        <w:rPr>
          <w:b/>
          <w:bCs/>
          <w:color w:val="1A1C2E"/>
          <w:sz w:val="24"/>
          <w:szCs w:val="24"/>
        </w:rPr>
        <w:t xml:space="preserve">3.   What should an administrator configure first?</w:t>
      </w:r>
    </w:p>
    <w:p>
      <w:pPr>
        <w:spacing w:after="90"/>
        <w:ind w:left="403"/>
      </w:pPr>
      <w:r>
        <w:rPr>
          <w:sz w:val="22"/>
          <w:szCs w:val="22"/>
        </w:rPr>
        <w:t xml:space="preserve">A firm administrator should begin with the settings that define the firm, its users, and how client work will be managed in AssurePro.</w:t>
      </w:r>
    </w:p>
    <w:p>
      <w:pPr>
        <w:spacing w:after="90"/>
        <w:ind w:left="403"/>
      </w:pPr>
      <w:r>
        <w:rPr>
          <w:b/>
          <w:bCs/>
          <w:color w:val="4735BE"/>
          <w:sz w:val="18"/>
          <w:szCs w:val="18"/>
        </w:rPr>
        <w:t xml:space="preserve">More   </w:t>
      </w:r>
      <w:r>
        <w:rPr>
          <w:sz w:val="22"/>
          <w:szCs w:val="22"/>
        </w:rPr>
        <w:t xml:space="preserve">A recommended setup order is:</w:t>
      </w:r>
    </w:p>
    <w:p>
      <w:pPr>
        <w:spacing w:after="90"/>
        <w:ind w:left="403"/>
      </w:pPr>
      <w:r>
        <w:rPr>
          <w:b/>
          <w:bCs/>
          <w:color w:val="4735BE"/>
          <w:sz w:val="18"/>
          <w:szCs w:val="18"/>
        </w:rPr>
        <w:t xml:space="preserve">More   </w:t>
      </w:r>
      <w:r>
        <w:rPr>
          <w:sz w:val="22"/>
          <w:szCs w:val="22"/>
        </w:rPr>
        <w:t xml:space="preserve">Firm Profile — add the firm's name, contact information, branding, and client-facing identity.</w:t>
      </w:r>
    </w:p>
    <w:p>
      <w:pPr>
        <w:spacing w:after="90"/>
        <w:ind w:left="403"/>
      </w:pPr>
      <w:r>
        <w:rPr>
          <w:b/>
          <w:bCs/>
          <w:color w:val="4735BE"/>
          <w:sz w:val="18"/>
          <w:szCs w:val="18"/>
        </w:rPr>
        <w:t xml:space="preserve">More   </w:t>
      </w:r>
      <w:r>
        <w:rPr>
          <w:sz w:val="22"/>
          <w:szCs w:val="22"/>
        </w:rPr>
        <w:t xml:space="preserve">Team &amp; Roles — add partners, managers, and other firm users, then assign the appropriate roles and permissions.</w:t>
      </w:r>
    </w:p>
    <w:p>
      <w:pPr>
        <w:spacing w:after="90"/>
        <w:ind w:left="403"/>
      </w:pPr>
      <w:r>
        <w:rPr>
          <w:b/>
          <w:bCs/>
          <w:color w:val="4735BE"/>
          <w:sz w:val="18"/>
          <w:szCs w:val="18"/>
        </w:rPr>
        <w:t xml:space="preserve">More   </w:t>
      </w:r>
      <w:r>
        <w:rPr>
          <w:sz w:val="22"/>
          <w:szCs w:val="22"/>
        </w:rPr>
        <w:t xml:space="preserve">Engagement Types — define the services your firm provides, such as tax, bookkeeping, advisory, or other engagement types.</w:t>
      </w:r>
    </w:p>
    <w:p>
      <w:pPr>
        <w:spacing w:after="90"/>
        <w:ind w:left="403"/>
      </w:pPr>
      <w:r>
        <w:rPr>
          <w:b/>
          <w:bCs/>
          <w:color w:val="4735BE"/>
          <w:sz w:val="18"/>
          <w:szCs w:val="18"/>
        </w:rPr>
        <w:t xml:space="preserve">More   </w:t>
      </w:r>
      <w:r>
        <w:rPr>
          <w:sz w:val="22"/>
          <w:szCs w:val="22"/>
        </w:rPr>
        <w:t xml:space="preserve">Workflow — configure the stages used to manage work from initiation through preparation, review, completion, and delivery.</w:t>
      </w:r>
    </w:p>
    <w:p>
      <w:pPr>
        <w:spacing w:after="90"/>
        <w:ind w:left="403"/>
      </w:pPr>
      <w:r>
        <w:rPr>
          <w:b/>
          <w:bCs/>
          <w:color w:val="4735BE"/>
          <w:sz w:val="18"/>
          <w:szCs w:val="18"/>
        </w:rPr>
        <w:t xml:space="preserve">More   </w:t>
      </w:r>
      <w:r>
        <w:rPr>
          <w:sz w:val="22"/>
          <w:szCs w:val="22"/>
        </w:rPr>
        <w:t xml:space="preserve">Documents — define document-related settings and reusable document configurations used across client engagements.</w:t>
      </w:r>
    </w:p>
    <w:p>
      <w:pPr>
        <w:spacing w:after="90"/>
        <w:ind w:left="403"/>
      </w:pPr>
      <w:r>
        <w:rPr>
          <w:b/>
          <w:bCs/>
          <w:color w:val="4735BE"/>
          <w:sz w:val="18"/>
          <w:szCs w:val="18"/>
        </w:rPr>
        <w:t xml:space="preserve">More   </w:t>
      </w:r>
      <w:r>
        <w:rPr>
          <w:sz w:val="22"/>
          <w:szCs w:val="22"/>
        </w:rPr>
        <w:t xml:space="preserve">Tags — create labels that help the firm organize and filter clients, engagements, and work.</w:t>
      </w:r>
    </w:p>
    <w:p>
      <w:pPr>
        <w:spacing w:after="90"/>
        <w:ind w:left="403"/>
      </w:pPr>
      <w:r>
        <w:rPr>
          <w:b/>
          <w:bCs/>
          <w:color w:val="4735BE"/>
          <w:sz w:val="18"/>
          <w:szCs w:val="18"/>
        </w:rPr>
        <w:t xml:space="preserve">More   </w:t>
      </w:r>
      <w:r>
        <w:rPr>
          <w:sz w:val="22"/>
          <w:szCs w:val="22"/>
        </w:rPr>
        <w:t xml:space="preserve">Onboarding Defaults — configure reusable defaults that help standardize how new clients and engagements are set up.</w:t>
      </w:r>
    </w:p>
    <w:p>
      <w:pPr>
        <w:spacing w:after="90"/>
        <w:ind w:left="403"/>
      </w:pPr>
      <w:r>
        <w:rPr>
          <w:b/>
          <w:bCs/>
          <w:color w:val="4735BE"/>
          <w:sz w:val="18"/>
          <w:szCs w:val="18"/>
        </w:rPr>
        <w:t xml:space="preserve">More   </w:t>
      </w:r>
      <w:r>
        <w:rPr>
          <w:sz w:val="22"/>
          <w:szCs w:val="22"/>
        </w:rPr>
        <w:t xml:space="preserve">After the core practice-management setup is complete, configure the relevant billing, communications, integrations, and access settings used by your firm.</w:t>
      </w:r>
    </w:p>
    <w:p>
      <w:pPr>
        <w:spacing w:after="90"/>
        <w:ind w:left="403"/>
      </w:pPr>
      <w:r>
        <w:rPr>
          <w:b/>
          <w:bCs/>
          <w:color w:val="4735BE"/>
          <w:sz w:val="18"/>
          <w:szCs w:val="18"/>
        </w:rPr>
        <w:t xml:space="preserve">More   </w:t>
      </w:r>
      <w:r>
        <w:rPr>
          <w:sz w:val="22"/>
          <w:szCs w:val="22"/>
        </w:rPr>
        <w:t xml:space="preserve">Before rolling the configuration out across the practice, test it with an internal or demo client. Run the client through a typical process such as onboarding, engagement setup, document collection, workflow, review, communication, time tracking, and billing. This helps confirm that the setup reflects how your firm actually operates before it is applied more broadly.</w:t>
      </w:r>
    </w:p>
    <w:p>
      <w:pPr>
        <w:spacing w:after="40" w:before="70"/>
        <w:ind w:left="403"/>
      </w:pPr>
      <w:r>
        <w:rPr>
          <w:color w:val="8B8FA3"/>
          <w:sz w:val="17"/>
          <w:szCs w:val="17"/>
        </w:rPr>
        <w:t xml:space="preserve">Ref: pro-what-should-an-administrator-configure-first-13</w:t>
      </w:r>
    </w:p>
    <w:p>
      <w:pPr>
        <w:keepNext/>
        <w:spacing w:after="90" w:before="220"/>
      </w:pPr>
      <w:r>
        <w:rPr>
          <w:b/>
          <w:bCs/>
          <w:color w:val="1A1C2E"/>
          <w:sz w:val="24"/>
          <w:szCs w:val="24"/>
        </w:rPr>
        <w:t xml:space="preserve">4.   What can we maintain in Firm Profile?</w:t>
      </w:r>
    </w:p>
    <w:p>
      <w:pPr>
        <w:spacing w:after="90"/>
        <w:ind w:left="403"/>
      </w:pPr>
      <w:r>
        <w:rPr>
          <w:sz w:val="22"/>
          <w:szCs w:val="22"/>
        </w:rPr>
        <w:t xml:space="preserve">Firm Profile is where firm administrators maintain the firm information and branding used across AssurePro and supported client-facing experiences.</w:t>
      </w:r>
    </w:p>
    <w:p>
      <w:pPr>
        <w:spacing w:after="90"/>
        <w:ind w:left="403"/>
      </w:pPr>
      <w:r>
        <w:rPr>
          <w:b/>
          <w:bCs/>
          <w:color w:val="4735BE"/>
          <w:sz w:val="18"/>
          <w:szCs w:val="18"/>
        </w:rPr>
        <w:t xml:space="preserve">More   </w:t>
      </w:r>
      <w:r>
        <w:rPr>
          <w:sz w:val="22"/>
          <w:szCs w:val="22"/>
        </w:rPr>
        <w:t xml:space="preserve">You can maintain information such as firm name, firm logo, phone number and email address, website, mailing address, EIN, primary and accent brand colors, and client-facing branding.</w:t>
      </w:r>
    </w:p>
    <w:p>
      <w:pPr>
        <w:spacing w:after="90"/>
        <w:ind w:left="403"/>
      </w:pPr>
      <w:r>
        <w:rPr>
          <w:b/>
          <w:bCs/>
          <w:color w:val="4735BE"/>
          <w:sz w:val="18"/>
          <w:szCs w:val="18"/>
        </w:rPr>
        <w:t xml:space="preserve">More   </w:t>
      </w:r>
      <w:r>
        <w:rPr>
          <w:sz w:val="22"/>
          <w:szCs w:val="22"/>
        </w:rPr>
        <w:t xml:space="preserve">The firm logo can be uploaded in PNG, JPG, WEBP, or SVG format, up to 1 MB, with a minimum recommended size of 256 × 256 pixels.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Firm Profile.</w:t>
      </w:r>
    </w:p>
    <w:p>
      <w:pPr>
        <w:pStyle w:val="ListParagraph"/>
        <w:numPr>
          <w:ilvl w:val="0"/>
          <w:numId w:val="2"/>
        </w:numPr>
        <w:spacing w:after="40"/>
        <w:ind w:left="892"/>
      </w:pPr>
      <w:r>
        <w:rPr>
          <w:sz w:val="21"/>
          <w:szCs w:val="21"/>
        </w:rPr>
        <w:t xml:space="preserve">Upload, replace, preview, or remove the firm logo.</w:t>
      </w:r>
    </w:p>
    <w:p>
      <w:pPr>
        <w:pStyle w:val="ListParagraph"/>
        <w:numPr>
          <w:ilvl w:val="0"/>
          <w:numId w:val="2"/>
        </w:numPr>
        <w:spacing w:after="40"/>
        <w:ind w:left="892"/>
      </w:pPr>
      <w:r>
        <w:rPr>
          <w:sz w:val="21"/>
          <w:szCs w:val="21"/>
        </w:rPr>
        <w:t xml:space="preserve">Review and update the firm name, phone number, email address, website, mailing address, and EIN.</w:t>
      </w:r>
    </w:p>
    <w:p>
      <w:pPr>
        <w:pStyle w:val="ListParagraph"/>
        <w:numPr>
          <w:ilvl w:val="0"/>
          <w:numId w:val="2"/>
        </w:numPr>
        <w:spacing w:after="40"/>
        <w:ind w:left="892"/>
      </w:pPr>
      <w:r>
        <w:rPr>
          <w:sz w:val="21"/>
          <w:szCs w:val="21"/>
        </w:rPr>
        <w:t xml:space="preserve">Select the primary and accent colors used in supported client-facing areas such as the client portal, emails, and documents.</w:t>
      </w:r>
    </w:p>
    <w:p>
      <w:pPr>
        <w:pStyle w:val="ListParagraph"/>
        <w:numPr>
          <w:ilvl w:val="0"/>
          <w:numId w:val="2"/>
        </w:numPr>
        <w:spacing w:after="40"/>
        <w:ind w:left="892"/>
      </w:pPr>
      <w:r>
        <w:rPr>
          <w:sz w:val="21"/>
          <w:szCs w:val="21"/>
        </w:rPr>
        <w:t xml:space="preserve">Use the client-facing preview to confirm that the firm's branding and information appear correctly.</w:t>
      </w:r>
    </w:p>
    <w:p>
      <w:pPr>
        <w:pStyle w:val="ListParagraph"/>
        <w:numPr>
          <w:ilvl w:val="0"/>
          <w:numId w:val="2"/>
        </w:numPr>
        <w:spacing w:after="40"/>
        <w:ind w:left="892"/>
      </w:pPr>
      <w:r>
        <w:rPr>
          <w:sz w:val="21"/>
          <w:szCs w:val="21"/>
        </w:rPr>
        <w:t xml:space="preserve">Confirm that the page shows your changes as saved before leaving.</w:t>
      </w:r>
    </w:p>
    <w:p>
      <w:pPr>
        <w:pStyle w:val="ListParagraph"/>
        <w:numPr>
          <w:ilvl w:val="0"/>
          <w:numId w:val="2"/>
        </w:numPr>
        <w:spacing w:after="40"/>
        <w:ind w:left="892"/>
      </w:pPr>
      <w:r>
        <w:rPr>
          <w:sz w:val="21"/>
          <w:szCs w:val="21"/>
        </w:rPr>
        <w:t xml:space="preserve">Keeping Firm Profile up to date helps ensure that clients see consistent and accurate firm information across their interactions with your practice.</w:t>
      </w:r>
    </w:p>
    <w:p>
      <w:pPr>
        <w:spacing w:after="40" w:before="70"/>
        <w:ind w:left="403"/>
      </w:pPr>
      <w:r>
        <w:rPr>
          <w:color w:val="8B8FA3"/>
          <w:sz w:val="17"/>
          <w:szCs w:val="17"/>
        </w:rPr>
        <w:t xml:space="preserve">Ref: pro-what-can-we-maintain-in-firm-profile-14</w:t>
      </w:r>
    </w:p>
    <w:p>
      <w:pPr>
        <w:keepNext/>
        <w:spacing w:after="90" w:before="220"/>
      </w:pPr>
      <w:r>
        <w:rPr>
          <w:b/>
          <w:bCs/>
          <w:color w:val="1A1C2E"/>
          <w:sz w:val="24"/>
          <w:szCs w:val="24"/>
        </w:rPr>
        <w:t xml:space="preserve">5.   How is the client portal address configured?</w:t>
      </w:r>
    </w:p>
    <w:p>
      <w:pPr>
        <w:spacing w:after="90"/>
        <w:ind w:left="403"/>
      </w:pPr>
      <w:r>
        <w:rPr>
          <w:sz w:val="22"/>
          <w:szCs w:val="22"/>
        </w:rPr>
        <w:t xml:space="preserve">Firm administrators can configure the web address clients use to access the firm's client portal from Settings &gt; Client Portal.</w:t>
      </w:r>
    </w:p>
    <w:p>
      <w:pPr>
        <w:spacing w:after="90"/>
        <w:ind w:left="403"/>
      </w:pPr>
      <w:r>
        <w:rPr>
          <w:b/>
          <w:bCs/>
          <w:color w:val="4735BE"/>
          <w:sz w:val="18"/>
          <w:szCs w:val="18"/>
        </w:rPr>
        <w:t xml:space="preserve">More   </w:t>
      </w:r>
      <w:r>
        <w:rPr>
          <w:sz w:val="22"/>
          <w:szCs w:val="22"/>
        </w:rPr>
        <w:t xml:space="preserve">AssurePro provides a standard portal URL for the firm. Administrators can configure the firm-specific URL slug and, if preferred, add a custom domain such as portal.yourfirm.com to provide a more branded client experience.</w:t>
      </w:r>
    </w:p>
    <w:p>
      <w:pPr>
        <w:spacing w:after="90"/>
        <w:ind w:left="403"/>
      </w:pPr>
      <w:r>
        <w:rPr>
          <w:b/>
          <w:bCs/>
          <w:color w:val="4735BE"/>
          <w:sz w:val="18"/>
          <w:szCs w:val="18"/>
        </w:rPr>
        <w:t xml:space="preserve">More   </w:t>
      </w:r>
      <w:r>
        <w:rPr>
          <w:sz w:val="22"/>
          <w:szCs w:val="22"/>
        </w:rPr>
        <w:t xml:space="preserve">The portal URL slug can contain lowercase letters, numbers, and hyphens, up to 63 characters. AssurePro checks the URL for availability when it is saved.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Client Portal.</w:t>
      </w:r>
    </w:p>
    <w:p>
      <w:pPr>
        <w:pStyle w:val="ListParagraph"/>
        <w:numPr>
          <w:ilvl w:val="0"/>
          <w:numId w:val="2"/>
        </w:numPr>
        <w:spacing w:after="40"/>
        <w:ind w:left="892"/>
      </w:pPr>
      <w:r>
        <w:rPr>
          <w:sz w:val="21"/>
          <w:szCs w:val="21"/>
        </w:rPr>
        <w:t xml:space="preserve">Enter the required Portal URL slug and select Save URL.</w:t>
      </w:r>
    </w:p>
    <w:p>
      <w:pPr>
        <w:pStyle w:val="ListParagraph"/>
        <w:numPr>
          <w:ilvl w:val="0"/>
          <w:numId w:val="2"/>
        </w:numPr>
        <w:spacing w:after="40"/>
        <w:ind w:left="892"/>
      </w:pPr>
      <w:r>
        <w:rPr>
          <w:sz w:val="21"/>
          <w:szCs w:val="21"/>
        </w:rPr>
        <w:t xml:space="preserve">Use Copy beside the current default URL when you need to share the active client portal address.</w:t>
      </w:r>
    </w:p>
    <w:p>
      <w:pPr>
        <w:pStyle w:val="ListParagraph"/>
        <w:numPr>
          <w:ilvl w:val="0"/>
          <w:numId w:val="2"/>
        </w:numPr>
        <w:spacing w:after="40"/>
        <w:ind w:left="892"/>
      </w:pPr>
      <w:r>
        <w:rPr>
          <w:sz w:val="21"/>
          <w:szCs w:val="21"/>
        </w:rPr>
        <w:t xml:space="preserve">To use a branded portal address, enter your custom domain, such as portal.yourfirm.com, and select Add domain.</w:t>
      </w:r>
    </w:p>
    <w:p>
      <w:pPr>
        <w:pStyle w:val="ListParagraph"/>
        <w:numPr>
          <w:ilvl w:val="0"/>
          <w:numId w:val="2"/>
        </w:numPr>
        <w:spacing w:after="40"/>
        <w:ind w:left="892"/>
      </w:pPr>
      <w:r>
        <w:rPr>
          <w:sz w:val="21"/>
          <w:szCs w:val="21"/>
        </w:rPr>
        <w:t xml:space="preserve">Complete any domain verification or activation steps shown in AssurePro.</w:t>
      </w:r>
    </w:p>
    <w:p>
      <w:pPr>
        <w:pStyle w:val="ListParagraph"/>
        <w:numPr>
          <w:ilvl w:val="0"/>
          <w:numId w:val="2"/>
        </w:numPr>
        <w:spacing w:after="40"/>
        <w:ind w:left="892"/>
      </w:pPr>
      <w:r>
        <w:rPr>
          <w:sz w:val="21"/>
          <w:szCs w:val="21"/>
        </w:rPr>
        <w:t xml:space="preserve">Continue using the active standard portal URL until AssurePro confirms that the custom domain is active.</w:t>
      </w:r>
    </w:p>
    <w:p>
      <w:pPr>
        <w:pStyle w:val="ListParagraph"/>
        <w:numPr>
          <w:ilvl w:val="0"/>
          <w:numId w:val="2"/>
        </w:numPr>
        <w:spacing w:after="40"/>
        <w:ind w:left="892"/>
      </w:pPr>
      <w:r>
        <w:rPr>
          <w:sz w:val="21"/>
          <w:szCs w:val="21"/>
        </w:rPr>
        <w:t xml:space="preserve">Once configured, the portal address can be provided to clients so they can access the firm's client-facing portal for supported activities and interactions.</w:t>
      </w:r>
    </w:p>
    <w:p>
      <w:pPr>
        <w:spacing w:after="40" w:before="70"/>
        <w:ind w:left="403"/>
      </w:pPr>
      <w:r>
        <w:rPr>
          <w:color w:val="8B8FA3"/>
          <w:sz w:val="17"/>
          <w:szCs w:val="17"/>
        </w:rPr>
        <w:t xml:space="preserve">Ref: pro-how-is-the-client-portal-address-configured-15</w:t>
      </w:r>
    </w:p>
    <w:p>
      <w:pPr>
        <w:keepNext/>
        <w:spacing w:after="90" w:before="220"/>
      </w:pPr>
      <w:r>
        <w:rPr>
          <w:b/>
          <w:bCs/>
          <w:color w:val="1A1C2E"/>
          <w:sz w:val="24"/>
          <w:szCs w:val="24"/>
        </w:rPr>
        <w:t xml:space="preserve">6.   How are teams, members, invitations, and roles managed?</w:t>
      </w:r>
    </w:p>
    <w:p>
      <w:pPr>
        <w:spacing w:after="90"/>
        <w:ind w:left="403"/>
      </w:pPr>
      <w:r>
        <w:rPr>
          <w:sz w:val="22"/>
          <w:szCs w:val="22"/>
        </w:rPr>
        <w:t xml:space="preserve">Firm administrators manage user access and responsibilities from Team &amp; Roles.</w:t>
      </w:r>
    </w:p>
    <w:p>
      <w:pPr>
        <w:spacing w:after="90"/>
        <w:ind w:left="403"/>
      </w:pPr>
      <w:r>
        <w:rPr>
          <w:b/>
          <w:bCs/>
          <w:color w:val="4735BE"/>
          <w:sz w:val="18"/>
          <w:szCs w:val="18"/>
        </w:rPr>
        <w:t xml:space="preserve">More   </w:t>
      </w:r>
      <w:r>
        <w:rPr>
          <w:sz w:val="22"/>
          <w:szCs w:val="22"/>
        </w:rPr>
        <w:t xml:space="preserve">This area includes three main tabs:</w:t>
      </w:r>
    </w:p>
    <w:p>
      <w:pPr>
        <w:spacing w:after="90"/>
        <w:ind w:left="403"/>
      </w:pPr>
      <w:r>
        <w:rPr>
          <w:b/>
          <w:bCs/>
          <w:color w:val="4735BE"/>
          <w:sz w:val="18"/>
          <w:szCs w:val="18"/>
        </w:rPr>
        <w:t xml:space="preserve">More   </w:t>
      </w:r>
      <w:r>
        <w:rPr>
          <w:sz w:val="22"/>
          <w:szCs w:val="22"/>
        </w:rPr>
        <w:t xml:space="preserve">Teams — group firm users who work together or share similar responsibilities. Teams can also be used for work assignment, client access, workload visibility, and shared operating settings.</w:t>
      </w:r>
    </w:p>
    <w:p>
      <w:pPr>
        <w:spacing w:after="90"/>
        <w:ind w:left="403"/>
      </w:pPr>
      <w:r>
        <w:rPr>
          <w:b/>
          <w:bCs/>
          <w:color w:val="4735BE"/>
          <w:sz w:val="18"/>
          <w:szCs w:val="18"/>
        </w:rPr>
        <w:t xml:space="preserve">More   </w:t>
      </w:r>
      <w:r>
        <w:rPr>
          <w:sz w:val="22"/>
          <w:szCs w:val="22"/>
        </w:rPr>
        <w:t xml:space="preserve">Members — shows active firm users, including their product access, assigned team or role, account status, and permission count.</w:t>
      </w:r>
    </w:p>
    <w:p>
      <w:pPr>
        <w:spacing w:after="90"/>
        <w:ind w:left="403"/>
      </w:pPr>
      <w:r>
        <w:rPr>
          <w:b/>
          <w:bCs/>
          <w:color w:val="4735BE"/>
          <w:sz w:val="18"/>
          <w:szCs w:val="18"/>
        </w:rPr>
        <w:t xml:space="preserve">More   </w:t>
      </w:r>
      <w:r>
        <w:rPr>
          <w:sz w:val="22"/>
          <w:szCs w:val="22"/>
        </w:rPr>
        <w:t xml:space="preserve">Invitations — tracks invitations sent to new firm users, including the team selected, date sent, and whether the invitation is pending, accepted, or cancelled.</w:t>
      </w:r>
    </w:p>
    <w:p>
      <w:pPr>
        <w:spacing w:after="90"/>
        <w:ind w:left="403"/>
      </w:pPr>
      <w:r>
        <w:rPr>
          <w:b/>
          <w:bCs/>
          <w:color w:val="4735BE"/>
          <w:sz w:val="18"/>
          <w:szCs w:val="18"/>
        </w:rPr>
        <w:t xml:space="preserve">More   </w:t>
      </w:r>
      <w:r>
        <w:rPr>
          <w:sz w:val="22"/>
          <w:szCs w:val="22"/>
        </w:rPr>
        <w:t xml:space="preserve">Roles define reusable permission sets that can be assigned to firm users based on their responsibilities. For example, a partner, manager, reviewer, or preparer role may carry a different level of access.</w:t>
      </w:r>
    </w:p>
    <w:p>
      <w:pPr>
        <w:spacing w:after="90"/>
        <w:ind w:left="403"/>
      </w:pPr>
      <w:r>
        <w:rPr>
          <w:b/>
          <w:bCs/>
          <w:color w:val="4735BE"/>
          <w:sz w:val="18"/>
          <w:szCs w:val="18"/>
        </w:rPr>
        <w:t xml:space="preserve">More   </w:t>
      </w:r>
      <w:r>
        <w:rPr>
          <w:sz w:val="22"/>
          <w:szCs w:val="22"/>
        </w:rPr>
        <w:t xml:space="preserve">When reviewing a user's access, use the product selector to confirm which AssureOne products the user can access. A firm user may have access to AssurePro but different permissions or no access to AssureTax, AssureAudit, or AssureBooks.</w:t>
      </w:r>
    </w:p>
    <w:p>
      <w:pPr>
        <w:spacing w:after="90"/>
        <w:ind w:left="403"/>
      </w:pPr>
      <w:r>
        <w:rPr>
          <w:b/>
          <w:bCs/>
          <w:color w:val="4735BE"/>
          <w:sz w:val="18"/>
          <w:szCs w:val="18"/>
        </w:rPr>
        <w:t xml:space="preserve">More   </w:t>
      </w:r>
      <w:r>
        <w:rPr>
          <w:sz w:val="22"/>
          <w:szCs w:val="22"/>
        </w:rPr>
        <w:t xml:space="preserve">Keeping teams and roles aligned with job responsibilities helps the firm apply access consistently and avoid managing permissions one user at a time.</w:t>
      </w:r>
    </w:p>
    <w:p>
      <w:pPr>
        <w:spacing w:after="40" w:before="70"/>
        <w:ind w:left="403"/>
      </w:pPr>
      <w:r>
        <w:rPr>
          <w:color w:val="8B8FA3"/>
          <w:sz w:val="17"/>
          <w:szCs w:val="17"/>
        </w:rPr>
        <w:t xml:space="preserve">Ref: pro-how-are-teams-members-invitations-and-roles-managed-16</w:t>
      </w:r>
    </w:p>
    <w:p>
      <w:pPr>
        <w:keepNext/>
        <w:spacing w:after="90" w:before="220"/>
      </w:pPr>
      <w:r>
        <w:rPr>
          <w:b/>
          <w:bCs/>
          <w:color w:val="1A1C2E"/>
          <w:sz w:val="24"/>
          <w:szCs w:val="24"/>
        </w:rPr>
        <w:t xml:space="preserve">7.   What can be configured for a team?</w:t>
      </w:r>
    </w:p>
    <w:p>
      <w:pPr>
        <w:spacing w:after="90"/>
        <w:ind w:left="403"/>
      </w:pPr>
      <w:r>
        <w:rPr>
          <w:sz w:val="22"/>
          <w:szCs w:val="22"/>
        </w:rPr>
        <w:t xml:space="preserve">Firm administrators can configure teams in AssurePro to group users with similar responsibilities and define how they access client work.</w:t>
      </w:r>
    </w:p>
    <w:p>
      <w:pPr>
        <w:spacing w:after="90"/>
        <w:ind w:left="403"/>
      </w:pPr>
      <w:r>
        <w:rPr>
          <w:b/>
          <w:bCs/>
          <w:color w:val="4735BE"/>
          <w:sz w:val="18"/>
          <w:szCs w:val="18"/>
        </w:rPr>
        <w:t xml:space="preserve">More   </w:t>
      </w:r>
      <w:r>
        <w:rPr>
          <w:sz w:val="22"/>
          <w:szCs w:val="22"/>
        </w:rPr>
        <w:t xml:space="preserve">A team can include the team name and description, a standard hourly rate when the firm uses a common rate for that team, client-access scope, team members, and the permissions required for the team's responsibilities. If Access all clients is enabled, members of the team can access clients across the firm, subject to their permissions; if it is not enabled, client access follows the firm's client-assignment rules.</w:t>
      </w:r>
    </w:p>
    <w:p>
      <w:pPr>
        <w:spacing w:after="90"/>
        <w:ind w:left="403"/>
      </w:pPr>
      <w:r>
        <w:rPr>
          <w:b/>
          <w:bCs/>
          <w:color w:val="4735BE"/>
          <w:sz w:val="18"/>
          <w:szCs w:val="18"/>
        </w:rPr>
        <w:t xml:space="preserve">More   </w:t>
      </w:r>
      <w:r>
        <w:rPr>
          <w:sz w:val="22"/>
          <w:szCs w:val="22"/>
        </w:rPr>
        <w:t xml:space="preserve">Teams should generally be created around job functions or service responsibilities, rather than individual exceptions. For example, a tax-preparation team may need access to assigned tax clients, client documents, tasks, and workflows, while not requiring firm-wide billing, administrative, or security permissions.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Team &amp; Roles &gt; Teams.</w:t>
      </w:r>
    </w:p>
    <w:p>
      <w:pPr>
        <w:pStyle w:val="ListParagraph"/>
        <w:numPr>
          <w:ilvl w:val="0"/>
          <w:numId w:val="2"/>
        </w:numPr>
        <w:spacing w:after="40"/>
        <w:ind w:left="892"/>
      </w:pPr>
      <w:r>
        <w:rPr>
          <w:sz w:val="21"/>
          <w:szCs w:val="21"/>
        </w:rPr>
        <w:t xml:space="preserve">Select New team, or select Manage for an existing custom team.</w:t>
      </w:r>
    </w:p>
    <w:p>
      <w:pPr>
        <w:pStyle w:val="ListParagraph"/>
        <w:numPr>
          <w:ilvl w:val="0"/>
          <w:numId w:val="2"/>
        </w:numPr>
        <w:spacing w:after="40"/>
        <w:ind w:left="892"/>
      </w:pPr>
      <w:r>
        <w:rPr>
          <w:sz w:val="21"/>
          <w:szCs w:val="21"/>
        </w:rPr>
        <w:t xml:space="preserve">Enter the team name and description.</w:t>
      </w:r>
    </w:p>
    <w:p>
      <w:pPr>
        <w:pStyle w:val="ListParagraph"/>
        <w:numPr>
          <w:ilvl w:val="0"/>
          <w:numId w:val="2"/>
        </w:numPr>
        <w:spacing w:after="40"/>
        <w:ind w:left="892"/>
      </w:pPr>
      <w:r>
        <w:rPr>
          <w:sz w:val="21"/>
          <w:szCs w:val="21"/>
        </w:rPr>
        <w:t xml:space="preserve">Set the standard hourly rate, if your firm uses one for the team.</w:t>
      </w:r>
    </w:p>
    <w:p>
      <w:pPr>
        <w:pStyle w:val="ListParagraph"/>
        <w:numPr>
          <w:ilvl w:val="0"/>
          <w:numId w:val="2"/>
        </w:numPr>
        <w:spacing w:after="40"/>
        <w:ind w:left="892"/>
      </w:pPr>
      <w:r>
        <w:rPr>
          <w:sz w:val="21"/>
          <w:szCs w:val="21"/>
        </w:rPr>
        <w:t xml:space="preserve">Choose whether the team should have Access all clients.</w:t>
      </w:r>
    </w:p>
    <w:p>
      <w:pPr>
        <w:pStyle w:val="ListParagraph"/>
        <w:numPr>
          <w:ilvl w:val="0"/>
          <w:numId w:val="2"/>
        </w:numPr>
        <w:spacing w:after="40"/>
        <w:ind w:left="892"/>
      </w:pPr>
      <w:r>
        <w:rPr>
          <w:sz w:val="21"/>
          <w:szCs w:val="21"/>
        </w:rPr>
        <w:t xml:space="preserve">Add the appropriate firm users to the team.</w:t>
      </w:r>
    </w:p>
    <w:p>
      <w:pPr>
        <w:pStyle w:val="ListParagraph"/>
        <w:numPr>
          <w:ilvl w:val="0"/>
          <w:numId w:val="2"/>
        </w:numPr>
        <w:spacing w:after="40"/>
        <w:ind w:left="892"/>
      </w:pPr>
      <w:r>
        <w:rPr>
          <w:sz w:val="21"/>
          <w:szCs w:val="21"/>
        </w:rPr>
        <w:t xml:space="preserve">Select the permissions required for the team's responsibilities.</w:t>
      </w:r>
    </w:p>
    <w:p>
      <w:pPr>
        <w:pStyle w:val="ListParagraph"/>
        <w:numPr>
          <w:ilvl w:val="0"/>
          <w:numId w:val="2"/>
        </w:numPr>
        <w:spacing w:after="40"/>
        <w:ind w:left="892"/>
      </w:pPr>
      <w:r>
        <w:rPr>
          <w:sz w:val="21"/>
          <w:szCs w:val="21"/>
        </w:rPr>
        <w:t xml:space="preserve">Review the client-access scope and permissions, then save the team.</w:t>
      </w:r>
    </w:p>
    <w:p>
      <w:pPr>
        <w:pStyle w:val="ListParagraph"/>
        <w:numPr>
          <w:ilvl w:val="0"/>
          <w:numId w:val="2"/>
        </w:numPr>
        <w:spacing w:after="40"/>
        <w:ind w:left="892"/>
      </w:pPr>
      <w:r>
        <w:rPr>
          <w:sz w:val="21"/>
          <w:szCs w:val="21"/>
        </w:rPr>
        <w:t xml:space="preserve">Review team membership and permissions periodically, especially when a person's responsibilities, service lines, or client assignments change.</w:t>
      </w:r>
    </w:p>
    <w:p>
      <w:pPr>
        <w:spacing w:after="40" w:before="70"/>
        <w:ind w:left="403"/>
      </w:pPr>
      <w:r>
        <w:rPr>
          <w:color w:val="8B8FA3"/>
          <w:sz w:val="17"/>
          <w:szCs w:val="17"/>
        </w:rPr>
        <w:t xml:space="preserve">Ref: pro-what-can-be-configured-for-a-team-17</w:t>
      </w:r>
    </w:p>
    <w:p>
      <w:pPr>
        <w:keepNext/>
        <w:spacing w:after="90" w:before="220"/>
      </w:pPr>
      <w:r>
        <w:rPr>
          <w:b/>
          <w:bCs/>
          <w:color w:val="1A1C2E"/>
          <w:sz w:val="24"/>
          <w:szCs w:val="24"/>
        </w:rPr>
        <w:t xml:space="preserve">8.   How granular are team permissions?</w:t>
      </w:r>
    </w:p>
    <w:p>
      <w:pPr>
        <w:spacing w:after="90"/>
        <w:ind w:left="403"/>
      </w:pPr>
      <w:r>
        <w:rPr>
          <w:sz w:val="22"/>
          <w:szCs w:val="22"/>
        </w:rPr>
        <w:t xml:space="preserve">AssurePro allows firm administrators to control team permissions by both work area and action, so access can be aligned with each team's responsibilities.</w:t>
      </w:r>
    </w:p>
    <w:p>
      <w:pPr>
        <w:spacing w:after="90"/>
        <w:ind w:left="403"/>
      </w:pPr>
      <w:r>
        <w:rPr>
          <w:b/>
          <w:bCs/>
          <w:color w:val="4735BE"/>
          <w:sz w:val="18"/>
          <w:szCs w:val="18"/>
        </w:rPr>
        <w:t xml:space="preserve">More   </w:t>
      </w:r>
      <w:r>
        <w:rPr>
          <w:sz w:val="22"/>
          <w:szCs w:val="22"/>
        </w:rPr>
        <w:t xml:space="preserve">Permissions are organized across areas such as Client Management, Content &amp; Documents, Work &amp; Operations, Communication, Finance &amp; Compliance, Reporting &amp; Analytics, and Administration. For supported work areas, administrators can grant specific actions such as View, Create, Edit, Delete, and Assign.</w:t>
      </w:r>
    </w:p>
    <w:p>
      <w:pPr>
        <w:spacing w:after="90"/>
        <w:ind w:left="403"/>
      </w:pPr>
      <w:r>
        <w:rPr>
          <w:b/>
          <w:bCs/>
          <w:color w:val="4735BE"/>
          <w:sz w:val="18"/>
          <w:szCs w:val="18"/>
        </w:rPr>
        <w:t xml:space="preserve">More   </w:t>
      </w:r>
      <w:r>
        <w:rPr>
          <w:sz w:val="22"/>
          <w:szCs w:val="22"/>
        </w:rPr>
        <w:t xml:space="preserve">This allows the firm to give users only the access they need for their role. For example, a firm user may be allowed to view billing information without being able to create, modify, or cancel invoices, while a firm administrator may have access to firm-wide settings, user management, and security controls. Review permissions based on job responsibilities before adding or inviting users, and avoid granting broader access than is required for their day-to-day work.</w:t>
      </w:r>
    </w:p>
    <w:p>
      <w:pPr>
        <w:spacing w:after="40" w:before="70"/>
        <w:ind w:left="403"/>
      </w:pPr>
      <w:r>
        <w:rPr>
          <w:color w:val="8B8FA3"/>
          <w:sz w:val="17"/>
          <w:szCs w:val="17"/>
        </w:rPr>
        <w:t xml:space="preserve">Ref: pro-how-granular-are-team-permissions-18</w:t>
      </w:r>
    </w:p>
    <w:p>
      <w:pPr>
        <w:keepNext/>
        <w:spacing w:after="90" w:before="220"/>
      </w:pPr>
      <w:r>
        <w:rPr>
          <w:b/>
          <w:bCs/>
          <w:color w:val="1A1C2E"/>
          <w:sz w:val="24"/>
          <w:szCs w:val="24"/>
        </w:rPr>
        <w:t xml:space="preserve">9.   How do administrators review members and invitations?</w:t>
      </w:r>
    </w:p>
    <w:p>
      <w:pPr>
        <w:spacing w:after="90"/>
        <w:ind w:left="403"/>
      </w:pPr>
      <w:r>
        <w:rPr>
          <w:sz w:val="22"/>
          <w:szCs w:val="22"/>
        </w:rPr>
        <w:t xml:space="preserve">Team &amp; Roles lets administrators review both active firm users and people who have been invited but have not yet completed activation.</w:t>
      </w:r>
    </w:p>
    <w:p>
      <w:pPr>
        <w:spacing w:after="90"/>
        <w:ind w:left="403"/>
      </w:pPr>
      <w:r>
        <w:rPr>
          <w:b/>
          <w:bCs/>
          <w:color w:val="4735BE"/>
          <w:sz w:val="18"/>
          <w:szCs w:val="18"/>
        </w:rPr>
        <w:t xml:space="preserve">More   </w:t>
      </w:r>
      <w:r>
        <w:rPr>
          <w:sz w:val="22"/>
          <w:szCs w:val="22"/>
        </w:rPr>
        <w:t xml:space="preserve">The Members tab can be searched by name or email and filtered by role; each row shows product access, assigned role or team, account status, and permission count. Use the product selector when reviewing access, since a person's permissions can differ across AssurePro, AssureTax, AssureAudit, and AssureBooks.</w:t>
      </w:r>
    </w:p>
    <w:p>
      <w:pPr>
        <w:spacing w:after="90"/>
        <w:ind w:left="403"/>
      </w:pPr>
      <w:r>
        <w:rPr>
          <w:b/>
          <w:bCs/>
          <w:color w:val="4735BE"/>
          <w:sz w:val="18"/>
          <w:szCs w:val="18"/>
        </w:rPr>
        <w:t xml:space="preserve">More   </w:t>
      </w:r>
      <w:r>
        <w:rPr>
          <w:sz w:val="22"/>
          <w:szCs w:val="22"/>
        </w:rPr>
        <w:t xml:space="preserve">The Invitations tab shows the recipient, assigned team, date sent, and status for everyone invited to the firm; a pending invitation can be resent or cancelled.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Team &amp; Roles &gt; Members.</w:t>
      </w:r>
    </w:p>
    <w:p>
      <w:pPr>
        <w:pStyle w:val="ListParagraph"/>
        <w:numPr>
          <w:ilvl w:val="0"/>
          <w:numId w:val="2"/>
        </w:numPr>
        <w:spacing w:after="40"/>
        <w:ind w:left="892"/>
      </w:pPr>
      <w:r>
        <w:rPr>
          <w:sz w:val="21"/>
          <w:szCs w:val="21"/>
        </w:rPr>
        <w:t xml:space="preserve">Search by name or email, or filter by role.</w:t>
      </w:r>
    </w:p>
    <w:p>
      <w:pPr>
        <w:pStyle w:val="ListParagraph"/>
        <w:numPr>
          <w:ilvl w:val="0"/>
          <w:numId w:val="2"/>
        </w:numPr>
        <w:spacing w:after="40"/>
        <w:ind w:left="892"/>
      </w:pPr>
      <w:r>
        <w:rPr>
          <w:sz w:val="21"/>
          <w:szCs w:val="21"/>
        </w:rPr>
        <w:t xml:space="preserve">Review the person's product access, role or team, account status, and permission count.</w:t>
      </w:r>
    </w:p>
    <w:p>
      <w:pPr>
        <w:pStyle w:val="ListParagraph"/>
        <w:numPr>
          <w:ilvl w:val="0"/>
          <w:numId w:val="2"/>
        </w:numPr>
        <w:spacing w:after="40"/>
        <w:ind w:left="892"/>
      </w:pPr>
      <w:r>
        <w:rPr>
          <w:sz w:val="21"/>
          <w:szCs w:val="21"/>
        </w:rPr>
        <w:t xml:space="preserve">If the person is not active, open Invitations and check whether an invitation is still pending.</w:t>
      </w:r>
    </w:p>
    <w:p>
      <w:pPr>
        <w:pStyle w:val="ListParagraph"/>
        <w:numPr>
          <w:ilvl w:val="0"/>
          <w:numId w:val="2"/>
        </w:numPr>
        <w:spacing w:after="40"/>
        <w:ind w:left="892"/>
      </w:pPr>
      <w:r>
        <w:rPr>
          <w:sz w:val="21"/>
          <w:szCs w:val="21"/>
        </w:rPr>
        <w:t xml:space="preserve">Resend the invitation if needed, or cancel it if it's no longer required.</w:t>
      </w:r>
    </w:p>
    <w:p>
      <w:pPr>
        <w:spacing w:after="40" w:before="70"/>
        <w:ind w:left="403"/>
      </w:pPr>
      <w:r>
        <w:rPr>
          <w:color w:val="8B8FA3"/>
          <w:sz w:val="17"/>
          <w:szCs w:val="17"/>
        </w:rPr>
        <w:t xml:space="preserve">Ref: pro-how-do-administrators-review-members-and-invitations-19</w:t>
      </w:r>
    </w:p>
    <w:p>
      <w:pPr>
        <w:keepNext/>
        <w:spacing w:after="90" w:before="220"/>
      </w:pPr>
      <w:r>
        <w:rPr>
          <w:b/>
          <w:bCs/>
          <w:color w:val="1A1C2E"/>
          <w:sz w:val="24"/>
          <w:szCs w:val="24"/>
        </w:rPr>
        <w:t xml:space="preserve">10.   How do I invite a team member?</w:t>
      </w:r>
    </w:p>
    <w:p>
      <w:pPr>
        <w:spacing w:after="90"/>
        <w:ind w:left="403"/>
      </w:pPr>
      <w:r>
        <w:rPr>
          <w:sz w:val="22"/>
          <w:szCs w:val="22"/>
        </w:rPr>
        <w:t xml:space="preserve">Firm administrators can invite partners, managers, accountants, reviewers, and other firm users from Team &amp; Roles.</w:t>
      </w:r>
    </w:p>
    <w:p>
      <w:pPr>
        <w:spacing w:after="90"/>
        <w:ind w:left="403"/>
      </w:pPr>
      <w:r>
        <w:rPr>
          <w:b/>
          <w:bCs/>
          <w:color w:val="4735BE"/>
          <w:sz w:val="18"/>
          <w:szCs w:val="18"/>
        </w:rPr>
        <w:t xml:space="preserve">More   </w:t>
      </w:r>
      <w:r>
        <w:rPr>
          <w:sz w:val="22"/>
          <w:szCs w:val="22"/>
        </w:rPr>
        <w:t xml:space="preserve">Before sending the invitation, select the appropriate team and role so the new user receives the access needed for their responsibilities. The invitation remains visible in the Invitations tab until the user completes account activation.</w:t>
      </w:r>
    </w:p>
    <w:p>
      <w:pPr>
        <w:spacing w:after="90"/>
        <w:ind w:left="403"/>
      </w:pPr>
      <w:r>
        <w:rPr>
          <w:b/>
          <w:bCs/>
          <w:color w:val="4735BE"/>
          <w:sz w:val="18"/>
          <w:szCs w:val="18"/>
        </w:rPr>
        <w:t xml:space="preserve">More   </w:t>
      </w:r>
      <w:r>
        <w:rPr>
          <w:sz w:val="22"/>
          <w:szCs w:val="22"/>
        </w:rPr>
        <w:t xml:space="preserve">After receiving the invitation, the user opens the most recent invitation email, verifies the invited work email address, and creates a password. Once activation is complete, the user appears under Members with the assigned role, team, and product access.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Team &amp; Roles, or select Team &amp; Roles from the main navigation.</w:t>
      </w:r>
    </w:p>
    <w:p>
      <w:pPr>
        <w:pStyle w:val="ListParagraph"/>
        <w:numPr>
          <w:ilvl w:val="0"/>
          <w:numId w:val="2"/>
        </w:numPr>
        <w:spacing w:after="40"/>
        <w:ind w:left="892"/>
      </w:pPr>
      <w:r>
        <w:rPr>
          <w:sz w:val="21"/>
          <w:szCs w:val="21"/>
        </w:rPr>
        <w:t xml:space="preserve">Select Invite member.</w:t>
      </w:r>
    </w:p>
    <w:p>
      <w:pPr>
        <w:pStyle w:val="ListParagraph"/>
        <w:numPr>
          <w:ilvl w:val="0"/>
          <w:numId w:val="2"/>
        </w:numPr>
        <w:spacing w:after="40"/>
        <w:ind w:left="892"/>
      </w:pPr>
      <w:r>
        <w:rPr>
          <w:sz w:val="21"/>
          <w:szCs w:val="21"/>
        </w:rPr>
        <w:t xml:space="preserve">Enter the user's name and work email address.</w:t>
      </w:r>
    </w:p>
    <w:p>
      <w:pPr>
        <w:pStyle w:val="ListParagraph"/>
        <w:numPr>
          <w:ilvl w:val="0"/>
          <w:numId w:val="2"/>
        </w:numPr>
        <w:spacing w:after="40"/>
        <w:ind w:left="892"/>
      </w:pPr>
      <w:r>
        <w:rPr>
          <w:sz w:val="21"/>
          <w:szCs w:val="21"/>
        </w:rPr>
        <w:t xml:space="preserve">Select the appropriate team and role based on the user's responsibilities.</w:t>
      </w:r>
    </w:p>
    <w:p>
      <w:pPr>
        <w:pStyle w:val="ListParagraph"/>
        <w:numPr>
          <w:ilvl w:val="0"/>
          <w:numId w:val="2"/>
        </w:numPr>
        <w:spacing w:after="40"/>
        <w:ind w:left="892"/>
      </w:pPr>
      <w:r>
        <w:rPr>
          <w:sz w:val="21"/>
          <w:szCs w:val="21"/>
        </w:rPr>
        <w:t xml:space="preserve">Review the assigned access and send the invitation.</w:t>
      </w:r>
    </w:p>
    <w:p>
      <w:pPr>
        <w:pStyle w:val="ListParagraph"/>
        <w:numPr>
          <w:ilvl w:val="0"/>
          <w:numId w:val="2"/>
        </w:numPr>
        <w:spacing w:after="40"/>
        <w:ind w:left="892"/>
      </w:pPr>
      <w:r>
        <w:rPr>
          <w:sz w:val="21"/>
          <w:szCs w:val="21"/>
        </w:rPr>
        <w:t xml:space="preserve">Use the Invitations tab to monitor invitations that are still pending.</w:t>
      </w:r>
    </w:p>
    <w:p>
      <w:pPr>
        <w:pStyle w:val="ListParagraph"/>
        <w:numPr>
          <w:ilvl w:val="0"/>
          <w:numId w:val="2"/>
        </w:numPr>
        <w:spacing w:after="40"/>
        <w:ind w:left="892"/>
      </w:pPr>
      <w:r>
        <w:rPr>
          <w:sz w:val="21"/>
          <w:szCs w:val="21"/>
        </w:rPr>
        <w:t xml:space="preserve">If an invitation is still pending, review or resend the existing invitation rather than creating a duplicate. This helps avoid multiple activation emails for the same user.</w:t>
      </w:r>
    </w:p>
    <w:p>
      <w:pPr>
        <w:spacing w:after="40" w:before="70"/>
        <w:ind w:left="403"/>
      </w:pPr>
      <w:r>
        <w:rPr>
          <w:color w:val="8B8FA3"/>
          <w:sz w:val="17"/>
          <w:szCs w:val="17"/>
        </w:rPr>
        <w:t xml:space="preserve">Ref: pro-how-do-i-invite-a-team-member-20</w:t>
      </w:r>
    </w:p>
    <w:p>
      <w:pPr>
        <w:keepNext/>
        <w:spacing w:after="90" w:before="220"/>
      </w:pPr>
      <w:r>
        <w:rPr>
          <w:b/>
          <w:bCs/>
          <w:color w:val="1A1C2E"/>
          <w:sz w:val="24"/>
          <w:szCs w:val="24"/>
        </w:rPr>
        <w:t xml:space="preserve">11.   What are Engagement Types?</w:t>
      </w:r>
    </w:p>
    <w:p>
      <w:pPr>
        <w:spacing w:after="90"/>
        <w:ind w:left="403"/>
      </w:pPr>
      <w:r>
        <w:rPr>
          <w:sz w:val="22"/>
          <w:szCs w:val="22"/>
        </w:rPr>
        <w:t xml:space="preserve">Engagement Types are reusable definitions for the services your firm delivers to clients. They help standardize how different types of client work are created and managed in AssurePro.</w:t>
      </w:r>
    </w:p>
    <w:p>
      <w:pPr>
        <w:spacing w:after="90"/>
        <w:ind w:left="403"/>
      </w:pPr>
      <w:r>
        <w:rPr>
          <w:b/>
          <w:bCs/>
          <w:color w:val="4735BE"/>
          <w:sz w:val="18"/>
          <w:szCs w:val="18"/>
        </w:rPr>
        <w:t xml:space="preserve">More   </w:t>
      </w:r>
      <w:r>
        <w:rPr>
          <w:sz w:val="22"/>
          <w:szCs w:val="22"/>
        </w:rPr>
        <w:t xml:space="preserve">Engagement Types can be organized under service areas such as Bookkeeping, Audit &amp; Assurance, Accounting, Advisory, and Tax. Each Engagement Type can include a name, description, code, and service-specific configuration, and it can also define the Custom fields used to capture information relevant to that type of engagement.</w:t>
      </w:r>
    </w:p>
    <w:p>
      <w:pPr>
        <w:spacing w:after="90"/>
        <w:ind w:left="403"/>
      </w:pPr>
      <w:r>
        <w:rPr>
          <w:b/>
          <w:bCs/>
          <w:color w:val="4735BE"/>
          <w:sz w:val="18"/>
          <w:szCs w:val="18"/>
        </w:rPr>
        <w:t xml:space="preserve">More   </w:t>
      </w:r>
      <w:r>
        <w:rPr>
          <w:sz w:val="22"/>
          <w:szCs w:val="22"/>
        </w:rPr>
        <w:t xml:space="preserve">For example, your firm may create Engagement Types such as Individual Tax Return, Business Tax Return, Monthly Bookkeeping, Financial Statement Audit, and Advisory Engagement.</w:t>
      </w:r>
    </w:p>
    <w:p>
      <w:pPr>
        <w:spacing w:after="90"/>
        <w:ind w:left="403"/>
      </w:pPr>
      <w:r>
        <w:rPr>
          <w:b/>
          <w:bCs/>
          <w:color w:val="4735BE"/>
          <w:sz w:val="18"/>
          <w:szCs w:val="18"/>
        </w:rPr>
        <w:t xml:space="preserve">More   </w:t>
      </w:r>
      <w:r>
        <w:rPr>
          <w:sz w:val="22"/>
          <w:szCs w:val="22"/>
        </w:rPr>
        <w:t xml:space="preserve">When a firm user creates new client work, they select the appropriate Engagement Type instead of starting from a blank engagement. This helps the firm apply a consistent service structure and capture the information required for that type of work. Using standardized Engagement Types also makes it easier to organize, assign, manage, and report on similar engagements consistently across clients.</w:t>
      </w:r>
    </w:p>
    <w:p>
      <w:pPr>
        <w:spacing w:after="40" w:before="70"/>
        <w:ind w:left="403"/>
      </w:pPr>
      <w:r>
        <w:rPr>
          <w:color w:val="8B8FA3"/>
          <w:sz w:val="17"/>
          <w:szCs w:val="17"/>
        </w:rPr>
        <w:t xml:space="preserve">Ref: pro-what-are-engagement-types-21</w:t>
      </w:r>
    </w:p>
    <w:p>
      <w:pPr>
        <w:keepNext/>
        <w:spacing w:after="90" w:before="220"/>
      </w:pPr>
      <w:r>
        <w:rPr>
          <w:b/>
          <w:bCs/>
          <w:color w:val="1A1C2E"/>
          <w:sz w:val="24"/>
          <w:szCs w:val="24"/>
        </w:rPr>
        <w:t xml:space="preserve">12.   How do I configure an engagement type's Custom fields?</w:t>
      </w:r>
    </w:p>
    <w:p>
      <w:pPr>
        <w:spacing w:after="90"/>
        <w:ind w:left="403"/>
      </w:pPr>
      <w:r>
        <w:rPr>
          <w:sz w:val="22"/>
          <w:szCs w:val="22"/>
        </w:rPr>
        <w:t xml:space="preserve">Firm administrators can configure Custom fields for each Engagement Type to capture information specific to that type of client work.</w:t>
      </w:r>
    </w:p>
    <w:p>
      <w:pPr>
        <w:spacing w:after="90"/>
        <w:ind w:left="403"/>
      </w:pPr>
      <w:r>
        <w:rPr>
          <w:b/>
          <w:bCs/>
          <w:color w:val="4735BE"/>
          <w:sz w:val="18"/>
          <w:szCs w:val="18"/>
        </w:rPr>
        <w:t xml:space="preserve">More   </w:t>
      </w:r>
      <w:r>
        <w:rPr>
          <w:sz w:val="22"/>
          <w:szCs w:val="22"/>
        </w:rPr>
        <w:t xml:space="preserve">Available field types include Dropdown, People, Date, Files, Number, Money, Formula, and Text. For example, a tax engagement may use Custom fields for the filing year or entity type, while a bookkeeping engagement may use fields for the accounting period, assigned reviewer, or other service-specific information.</w:t>
      </w:r>
    </w:p>
    <w:p>
      <w:pPr>
        <w:spacing w:after="90"/>
        <w:ind w:left="403"/>
      </w:pPr>
      <w:r>
        <w:rPr>
          <w:b/>
          <w:bCs/>
          <w:color w:val="4735BE"/>
          <w:sz w:val="18"/>
          <w:szCs w:val="18"/>
        </w:rPr>
        <w:t xml:space="preserve">More   </w:t>
      </w:r>
      <w:r>
        <w:rPr>
          <w:sz w:val="22"/>
          <w:szCs w:val="22"/>
        </w:rPr>
        <w:t xml:space="preserve">Custom fields can be reordered or deleted. Depending on the field type, administrators can also configure options such as Required or Active/Inactive. Formula fields are calculated automatically and are read-only for firm users.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Engagement Types.</w:t>
      </w:r>
    </w:p>
    <w:p>
      <w:pPr>
        <w:pStyle w:val="ListParagraph"/>
        <w:numPr>
          <w:ilvl w:val="0"/>
          <w:numId w:val="2"/>
        </w:numPr>
        <w:spacing w:after="40"/>
        <w:ind w:left="892"/>
      </w:pPr>
      <w:r>
        <w:rPr>
          <w:sz w:val="21"/>
          <w:szCs w:val="21"/>
        </w:rPr>
        <w:t xml:space="preserve">Select the Engagement Type you want to update.</w:t>
      </w:r>
    </w:p>
    <w:p>
      <w:pPr>
        <w:pStyle w:val="ListParagraph"/>
        <w:numPr>
          <w:ilvl w:val="0"/>
          <w:numId w:val="2"/>
        </w:numPr>
        <w:spacing w:after="40"/>
        <w:ind w:left="892"/>
      </w:pPr>
      <w:r>
        <w:rPr>
          <w:sz w:val="21"/>
          <w:szCs w:val="21"/>
        </w:rPr>
        <w:t xml:space="preserve">Select Add field and choose the required field type.</w:t>
      </w:r>
    </w:p>
    <w:p>
      <w:pPr>
        <w:pStyle w:val="ListParagraph"/>
        <w:numPr>
          <w:ilvl w:val="0"/>
          <w:numId w:val="2"/>
        </w:numPr>
        <w:spacing w:after="40"/>
        <w:ind w:left="892"/>
      </w:pPr>
      <w:r>
        <w:rPr>
          <w:sz w:val="21"/>
          <w:szCs w:val="21"/>
        </w:rPr>
        <w:t xml:space="preserve">Enter the field label and complete the available configuration.</w:t>
      </w:r>
    </w:p>
    <w:p>
      <w:pPr>
        <w:pStyle w:val="ListParagraph"/>
        <w:numPr>
          <w:ilvl w:val="0"/>
          <w:numId w:val="2"/>
        </w:numPr>
        <w:spacing w:after="40"/>
        <w:ind w:left="892"/>
      </w:pPr>
      <w:r>
        <w:rPr>
          <w:sz w:val="21"/>
          <w:szCs w:val="21"/>
        </w:rPr>
        <w:t xml:space="preserve">For Dropdown fields, add the available choices.</w:t>
      </w:r>
    </w:p>
    <w:p>
      <w:pPr>
        <w:pStyle w:val="ListParagraph"/>
        <w:numPr>
          <w:ilvl w:val="0"/>
          <w:numId w:val="2"/>
        </w:numPr>
        <w:spacing w:after="40"/>
        <w:ind w:left="892"/>
      </w:pPr>
      <w:r>
        <w:rPr>
          <w:sz w:val="21"/>
          <w:szCs w:val="21"/>
        </w:rPr>
        <w:t xml:space="preserve">Set the Required and Active options where supported.</w:t>
      </w:r>
    </w:p>
    <w:p>
      <w:pPr>
        <w:pStyle w:val="ListParagraph"/>
        <w:numPr>
          <w:ilvl w:val="0"/>
          <w:numId w:val="2"/>
        </w:numPr>
        <w:spacing w:after="40"/>
        <w:ind w:left="892"/>
      </w:pPr>
      <w:r>
        <w:rPr>
          <w:sz w:val="21"/>
          <w:szCs w:val="21"/>
        </w:rPr>
        <w:t xml:space="preserve">Use Move up or Move down to arrange the Custom fields in the preferred order.</w:t>
      </w:r>
    </w:p>
    <w:p>
      <w:pPr>
        <w:pStyle w:val="ListParagraph"/>
        <w:numPr>
          <w:ilvl w:val="0"/>
          <w:numId w:val="2"/>
        </w:numPr>
        <w:spacing w:after="40"/>
        <w:ind w:left="892"/>
      </w:pPr>
      <w:r>
        <w:rPr>
          <w:sz w:val="21"/>
          <w:szCs w:val="21"/>
        </w:rPr>
        <w:t xml:space="preserve">Review any required, inactive, or read-only indicators.</w:t>
      </w:r>
    </w:p>
    <w:p>
      <w:pPr>
        <w:pStyle w:val="ListParagraph"/>
        <w:numPr>
          <w:ilvl w:val="0"/>
          <w:numId w:val="2"/>
        </w:numPr>
        <w:spacing w:after="40"/>
        <w:ind w:left="892"/>
      </w:pPr>
      <w:r>
        <w:rPr>
          <w:sz w:val="21"/>
          <w:szCs w:val="21"/>
        </w:rPr>
        <w:t xml:space="preserve">Open an engagement using that Engagement Type and confirm that the Custom fields appear and behave as expected.</w:t>
      </w:r>
    </w:p>
    <w:p>
      <w:pPr>
        <w:pStyle w:val="ListParagraph"/>
        <w:numPr>
          <w:ilvl w:val="0"/>
          <w:numId w:val="2"/>
        </w:numPr>
        <w:spacing w:after="40"/>
        <w:ind w:left="892"/>
      </w:pPr>
      <w:r>
        <w:rPr>
          <w:sz w:val="21"/>
          <w:szCs w:val="21"/>
        </w:rPr>
        <w:t xml:space="preserve">Keep Custom fields focused on information your firm needs to prepare, review, manage, or report on the engagement, so data collection stays standardized without adding unnecessary data entry.</w:t>
      </w:r>
    </w:p>
    <w:p>
      <w:pPr>
        <w:spacing w:after="40" w:before="70"/>
        <w:ind w:left="403"/>
      </w:pPr>
      <w:r>
        <w:rPr>
          <w:color w:val="8B8FA3"/>
          <w:sz w:val="17"/>
          <w:szCs w:val="17"/>
        </w:rPr>
        <w:t xml:space="preserve">Ref: pro-how-do-i-configure-an-engagement-type-s-context-fields-22</w:t>
      </w:r>
    </w:p>
    <w:p>
      <w:pPr>
        <w:keepNext/>
        <w:spacing w:after="90" w:before="220"/>
      </w:pPr>
      <w:r>
        <w:rPr>
          <w:b/>
          <w:bCs/>
          <w:color w:val="1A1C2E"/>
          <w:sz w:val="24"/>
          <w:szCs w:val="24"/>
        </w:rPr>
        <w:t xml:space="preserve">13.   What are Onboarding Defaults?</w:t>
      </w:r>
    </w:p>
    <w:p>
      <w:pPr>
        <w:spacing w:after="90"/>
        <w:ind w:left="403"/>
      </w:pPr>
      <w:r>
        <w:rPr>
          <w:sz w:val="22"/>
          <w:szCs w:val="22"/>
        </w:rPr>
        <w:t xml:space="preserve">Onboarding Defaults allow firm administrators to define the standard setup applied when a new client is created in AssurePro.</w:t>
      </w:r>
    </w:p>
    <w:p>
      <w:pPr>
        <w:spacing w:after="90"/>
        <w:ind w:left="403"/>
      </w:pPr>
      <w:r>
        <w:rPr>
          <w:b/>
          <w:bCs/>
          <w:color w:val="4735BE"/>
          <w:sz w:val="18"/>
          <w:szCs w:val="18"/>
        </w:rPr>
        <w:t xml:space="preserve">More   </w:t>
      </w:r>
      <w:r>
        <w:rPr>
          <w:sz w:val="22"/>
          <w:szCs w:val="22"/>
        </w:rPr>
        <w:t xml:space="preserve">These defaults reduce repetitive setup and help ensure new client records are created consistently across the firm. Administrators can preconfigure items such as the default assignee for the client's first engagement, a default engagement letter template, and a default client folder structure.</w:t>
      </w:r>
    </w:p>
    <w:p>
      <w:pPr>
        <w:spacing w:after="90"/>
        <w:ind w:left="403"/>
      </w:pPr>
      <w:r>
        <w:rPr>
          <w:b/>
          <w:bCs/>
          <w:color w:val="4735BE"/>
          <w:sz w:val="18"/>
          <w:szCs w:val="18"/>
        </w:rPr>
        <w:t xml:space="preserve">More   </w:t>
      </w:r>
      <w:r>
        <w:rPr>
          <w:sz w:val="22"/>
          <w:szCs w:val="22"/>
        </w:rPr>
        <w:t xml:space="preserve">For example, your firm can automatically assign a standard onboarding owner, apply the usual engagement letter template, and create the same folder structure for each new client.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Onboarding Defaults.</w:t>
      </w:r>
    </w:p>
    <w:p>
      <w:pPr>
        <w:pStyle w:val="ListParagraph"/>
        <w:numPr>
          <w:ilvl w:val="0"/>
          <w:numId w:val="2"/>
        </w:numPr>
        <w:spacing w:after="40"/>
        <w:ind w:left="892"/>
      </w:pPr>
      <w:r>
        <w:rPr>
          <w:sz w:val="21"/>
          <w:szCs w:val="21"/>
        </w:rPr>
        <w:t xml:space="preserve">Select the Default assignee for the first engagement, or leave it unset if your firm wants AssurePro to resolve the assignee automatically.</w:t>
      </w:r>
    </w:p>
    <w:p>
      <w:pPr>
        <w:pStyle w:val="ListParagraph"/>
        <w:numPr>
          <w:ilvl w:val="0"/>
          <w:numId w:val="2"/>
        </w:numPr>
        <w:spacing w:after="40"/>
        <w:ind w:left="892"/>
      </w:pPr>
      <w:r>
        <w:rPr>
          <w:sz w:val="21"/>
          <w:szCs w:val="21"/>
        </w:rPr>
        <w:t xml:space="preserve">Select a Default engagement letter template, or choose None (auto-resolve) when appropriate.</w:t>
      </w:r>
    </w:p>
    <w:p>
      <w:pPr>
        <w:pStyle w:val="ListParagraph"/>
        <w:numPr>
          <w:ilvl w:val="0"/>
          <w:numId w:val="2"/>
        </w:numPr>
        <w:spacing w:after="40"/>
        <w:ind w:left="892"/>
      </w:pPr>
      <w:r>
        <w:rPr>
          <w:sz w:val="21"/>
          <w:szCs w:val="21"/>
        </w:rPr>
        <w:t xml:space="preserve">Select the Default folder structure for new clients.</w:t>
      </w:r>
    </w:p>
    <w:p>
      <w:pPr>
        <w:pStyle w:val="ListParagraph"/>
        <w:numPr>
          <w:ilvl w:val="0"/>
          <w:numId w:val="2"/>
        </w:numPr>
        <w:spacing w:after="40"/>
        <w:ind w:left="892"/>
      </w:pPr>
      <w:r>
        <w:rPr>
          <w:sz w:val="21"/>
          <w:szCs w:val="21"/>
        </w:rPr>
        <w:t xml:space="preserve">Choose None only if new clients should be created without a predefined folder structure.</w:t>
      </w:r>
    </w:p>
    <w:p>
      <w:pPr>
        <w:pStyle w:val="ListParagraph"/>
        <w:numPr>
          <w:ilvl w:val="0"/>
          <w:numId w:val="2"/>
        </w:numPr>
        <w:spacing w:after="40"/>
        <w:ind w:left="892"/>
      </w:pPr>
      <w:r>
        <w:rPr>
          <w:sz w:val="21"/>
          <w:szCs w:val="21"/>
        </w:rPr>
        <w:t xml:space="preserve">Confirm that the page shows All changes saved.</w:t>
      </w:r>
    </w:p>
    <w:p>
      <w:pPr>
        <w:pStyle w:val="ListParagraph"/>
        <w:numPr>
          <w:ilvl w:val="0"/>
          <w:numId w:val="2"/>
        </w:numPr>
        <w:spacing w:after="40"/>
        <w:ind w:left="892"/>
      </w:pPr>
      <w:r>
        <w:rPr>
          <w:sz w:val="21"/>
          <w:szCs w:val="21"/>
        </w:rPr>
        <w:t xml:space="preserve">Onboarding Defaults should reflect your firm's standard onboarding process; client- or engagement-specific requirements can still be adjusted on the individual client or engagement.</w:t>
      </w:r>
    </w:p>
    <w:p>
      <w:pPr>
        <w:spacing w:after="40" w:before="70"/>
        <w:ind w:left="403"/>
      </w:pPr>
      <w:r>
        <w:rPr>
          <w:color w:val="8B8FA3"/>
          <w:sz w:val="17"/>
          <w:szCs w:val="17"/>
        </w:rPr>
        <w:t xml:space="preserve">Ref: pro-what-are-onboarding-defaults-23</w:t>
      </w:r>
    </w:p>
    <w:p>
      <w:pPr>
        <w:keepNext/>
        <w:spacing w:after="90" w:before="220"/>
      </w:pPr>
      <w:r>
        <w:rPr>
          <w:b/>
          <w:bCs/>
          <w:color w:val="1A1C2E"/>
          <w:sz w:val="24"/>
          <w:szCs w:val="24"/>
        </w:rPr>
        <w:t xml:space="preserve">14.   How are tags created and maintained?</w:t>
      </w:r>
    </w:p>
    <w:p>
      <w:pPr>
        <w:spacing w:after="90"/>
        <w:ind w:left="403"/>
      </w:pPr>
      <w:r>
        <w:rPr>
          <w:sz w:val="22"/>
          <w:szCs w:val="22"/>
        </w:rPr>
        <w:t xml:space="preserve">Tags help your firm categorize and organize clients and engagements in AssurePro. They can be used to make records easier to identify, filter, and group based on characteristics that matter to your practice.</w:t>
      </w:r>
    </w:p>
    <w:p>
      <w:pPr>
        <w:spacing w:after="90"/>
        <w:ind w:left="403"/>
      </w:pPr>
      <w:r>
        <w:rPr>
          <w:b/>
          <w:bCs/>
          <w:color w:val="4735BE"/>
          <w:sz w:val="18"/>
          <w:szCs w:val="18"/>
        </w:rPr>
        <w:t xml:space="preserve">More   </w:t>
      </w:r>
      <w:r>
        <w:rPr>
          <w:sz w:val="22"/>
          <w:szCs w:val="22"/>
        </w:rPr>
        <w:t xml:space="preserve">For example, your firm might use tags for service type, client segment, industry, priority, location, or other internal classifications.</w:t>
      </w:r>
    </w:p>
    <w:p>
      <w:pPr>
        <w:spacing w:after="90"/>
        <w:ind w:left="403"/>
      </w:pPr>
      <w:r>
        <w:rPr>
          <w:b/>
          <w:bCs/>
          <w:color w:val="4735BE"/>
          <w:sz w:val="18"/>
          <w:szCs w:val="18"/>
        </w:rPr>
        <w:t xml:space="preserve">More   </w:t>
      </w:r>
      <w:r>
        <w:rPr>
          <w:sz w:val="22"/>
          <w:szCs w:val="22"/>
        </w:rPr>
        <w:t xml:space="preserve">Firm administrators can create, rename, and delete tags from Settings &gt; Tags.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Tags.</w:t>
      </w:r>
    </w:p>
    <w:p>
      <w:pPr>
        <w:pStyle w:val="ListParagraph"/>
        <w:numPr>
          <w:ilvl w:val="0"/>
          <w:numId w:val="2"/>
        </w:numPr>
        <w:spacing w:after="40"/>
        <w:ind w:left="892"/>
      </w:pPr>
      <w:r>
        <w:rPr>
          <w:sz w:val="21"/>
          <w:szCs w:val="21"/>
        </w:rPr>
        <w:t xml:space="preserve">Enter the new tag name under Add a tag.</w:t>
      </w:r>
    </w:p>
    <w:p>
      <w:pPr>
        <w:pStyle w:val="ListParagraph"/>
        <w:numPr>
          <w:ilvl w:val="0"/>
          <w:numId w:val="2"/>
        </w:numPr>
        <w:spacing w:after="40"/>
        <w:ind w:left="892"/>
      </w:pPr>
      <w:r>
        <w:rPr>
          <w:sz w:val="21"/>
          <w:szCs w:val="21"/>
        </w:rPr>
        <w:t xml:space="preserve">Select Add Tag.</w:t>
      </w:r>
    </w:p>
    <w:p>
      <w:pPr>
        <w:pStyle w:val="ListParagraph"/>
        <w:numPr>
          <w:ilvl w:val="0"/>
          <w:numId w:val="2"/>
        </w:numPr>
        <w:spacing w:after="40"/>
        <w:ind w:left="892"/>
      </w:pPr>
      <w:r>
        <w:rPr>
          <w:sz w:val="21"/>
          <w:szCs w:val="21"/>
        </w:rPr>
        <w:t xml:space="preserve">To rename an existing tag, select Edit and update the tag name.</w:t>
      </w:r>
    </w:p>
    <w:p>
      <w:pPr>
        <w:pStyle w:val="ListParagraph"/>
        <w:numPr>
          <w:ilvl w:val="0"/>
          <w:numId w:val="2"/>
        </w:numPr>
        <w:spacing w:after="40"/>
        <w:ind w:left="892"/>
      </w:pPr>
      <w:r>
        <w:rPr>
          <w:sz w:val="21"/>
          <w:szCs w:val="21"/>
        </w:rPr>
        <w:t xml:space="preserve">To remove a tag, select Delete after confirming that it is no longer required on client or engagement records.</w:t>
      </w:r>
    </w:p>
    <w:p>
      <w:pPr>
        <w:pStyle w:val="ListParagraph"/>
        <w:numPr>
          <w:ilvl w:val="0"/>
          <w:numId w:val="2"/>
        </w:numPr>
        <w:spacing w:after="40"/>
        <w:ind w:left="892"/>
      </w:pPr>
      <w:r>
        <w:rPr>
          <w:sz w:val="21"/>
          <w:szCs w:val="21"/>
        </w:rPr>
        <w:t xml:space="preserve">Use a consistent naming convention when creating tags and avoid creating multiple tags that represent the same category. This helps keep filtering and reporting consistent across the firm.</w:t>
      </w:r>
    </w:p>
    <w:p>
      <w:pPr>
        <w:spacing w:after="40" w:before="70"/>
        <w:ind w:left="403"/>
      </w:pPr>
      <w:r>
        <w:rPr>
          <w:color w:val="8B8FA3"/>
          <w:sz w:val="17"/>
          <w:szCs w:val="17"/>
        </w:rPr>
        <w:t xml:space="preserve">Ref: pro-how-are-tags-created-and-maintained-24</w:t>
      </w:r>
    </w:p>
    <w:p>
      <w:pPr>
        <w:keepNext/>
        <w:spacing w:after="90" w:before="220"/>
      </w:pPr>
      <w:r>
        <w:rPr>
          <w:b/>
          <w:bCs/>
          <w:color w:val="1A1C2E"/>
          <w:sz w:val="24"/>
          <w:szCs w:val="24"/>
        </w:rPr>
        <w:t xml:space="preserve">15.   How do I configure personal notification preferences?</w:t>
      </w:r>
    </w:p>
    <w:p>
      <w:pPr>
        <w:spacing w:after="90"/>
        <w:ind w:left="403"/>
      </w:pPr>
      <w:r>
        <w:rPr>
          <w:sz w:val="22"/>
          <w:szCs w:val="22"/>
        </w:rPr>
        <w:t xml:space="preserve">Firm users can manage their own notification preferences from Settings &gt; Notifications &amp; Email.</w:t>
      </w:r>
    </w:p>
    <w:p>
      <w:pPr>
        <w:spacing w:after="90"/>
        <w:ind w:left="403"/>
      </w:pPr>
      <w:r>
        <w:rPr>
          <w:b/>
          <w:bCs/>
          <w:color w:val="4735BE"/>
          <w:sz w:val="18"/>
          <w:szCs w:val="18"/>
        </w:rPr>
        <w:t xml:space="preserve">More   </w:t>
      </w:r>
      <w:r>
        <w:rPr>
          <w:sz w:val="22"/>
          <w:szCs w:val="22"/>
        </w:rPr>
        <w:t xml:space="preserve">AssurePro provides separate email and in-app notification options for events such as new document uploads, client messages, invoice payments, upcoming deadlines, overdue invoices, and emails received in a connected client inbox. You can choose one or both notification channels for each event type.</w:t>
      </w:r>
    </w:p>
    <w:p>
      <w:pPr>
        <w:spacing w:after="90"/>
        <w:ind w:left="403"/>
      </w:pPr>
      <w:r>
        <w:rPr>
          <w:b/>
          <w:bCs/>
          <w:color w:val="4735BE"/>
          <w:sz w:val="18"/>
          <w:szCs w:val="18"/>
        </w:rPr>
        <w:t xml:space="preserve">More   </w:t>
      </w:r>
      <w:r>
        <w:rPr>
          <w:sz w:val="22"/>
          <w:szCs w:val="22"/>
        </w:rPr>
        <w:t xml:space="preserve">For example, you may enable both email and in-app notifications for high-priority items such as upcoming deadlines or overdue invoices, while using only in-app notifications for routine activity that you typically review while working in AssurePro.</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Notifications &amp; Email.</w:t>
      </w:r>
    </w:p>
    <w:p>
      <w:pPr>
        <w:pStyle w:val="ListParagraph"/>
        <w:numPr>
          <w:ilvl w:val="0"/>
          <w:numId w:val="2"/>
        </w:numPr>
        <w:spacing w:after="40"/>
        <w:ind w:left="892"/>
      </w:pPr>
      <w:r>
        <w:rPr>
          <w:sz w:val="21"/>
          <w:szCs w:val="21"/>
        </w:rPr>
        <w:t xml:space="preserve">Review each notification type.</w:t>
      </w:r>
    </w:p>
    <w:p>
      <w:pPr>
        <w:pStyle w:val="ListParagraph"/>
        <w:numPr>
          <w:ilvl w:val="0"/>
          <w:numId w:val="2"/>
        </w:numPr>
        <w:spacing w:after="40"/>
        <w:ind w:left="892"/>
      </w:pPr>
      <w:r>
        <w:rPr>
          <w:sz w:val="21"/>
          <w:szCs w:val="21"/>
        </w:rPr>
        <w:t xml:space="preserve">Turn Email and In-app notifications on or off based on how you want to receive that alert.</w:t>
      </w:r>
    </w:p>
    <w:p>
      <w:pPr>
        <w:pStyle w:val="ListParagraph"/>
        <w:numPr>
          <w:ilvl w:val="0"/>
          <w:numId w:val="2"/>
        </w:numPr>
        <w:spacing w:after="40"/>
        <w:ind w:left="892"/>
      </w:pPr>
      <w:r>
        <w:rPr>
          <w:sz w:val="21"/>
          <w:szCs w:val="21"/>
        </w:rPr>
        <w:t xml:space="preserve">Select Save Preferences.</w:t>
      </w:r>
    </w:p>
    <w:p>
      <w:pPr>
        <w:pStyle w:val="ListParagraph"/>
        <w:numPr>
          <w:ilvl w:val="0"/>
          <w:numId w:val="2"/>
        </w:numPr>
        <w:spacing w:after="40"/>
        <w:ind w:left="892"/>
      </w:pPr>
      <w:r>
        <w:rPr>
          <w:sz w:val="21"/>
          <w:szCs w:val="21"/>
        </w:rPr>
        <w:t xml:space="preserve">Choose notification settings that match how you work so important client, billing, and deadline-related activity is visible without creating unnecessary alerts.</w:t>
      </w:r>
    </w:p>
    <w:p>
      <w:pPr>
        <w:spacing w:after="40" w:before="70"/>
        <w:ind w:left="403"/>
      </w:pPr>
      <w:r>
        <w:rPr>
          <w:color w:val="8B8FA3"/>
          <w:sz w:val="17"/>
          <w:szCs w:val="17"/>
        </w:rPr>
        <w:t xml:space="preserve">Ref: pro-how-do-i-configure-personal-notification-preferences-25</w:t>
      </w:r>
    </w:p>
    <w:p>
      <w:pPr>
        <w:keepNext/>
        <w:spacing w:after="90" w:before="220"/>
      </w:pPr>
      <w:r>
        <w:rPr>
          <w:b/>
          <w:bCs/>
          <w:color w:val="1A1C2E"/>
          <w:sz w:val="24"/>
          <w:szCs w:val="24"/>
        </w:rPr>
        <w:t xml:space="preserve">16.   How do report alerts work?</w:t>
      </w:r>
    </w:p>
    <w:p>
      <w:pPr>
        <w:spacing w:after="90"/>
        <w:ind w:left="403"/>
      </w:pPr>
      <w:r>
        <w:rPr>
          <w:sz w:val="22"/>
          <w:szCs w:val="22"/>
        </w:rPr>
        <w:t xml:space="preserve">Report alerts help firm users monitor important KPIs without having to review reports manually throughout the day.</w:t>
      </w:r>
    </w:p>
    <w:p>
      <w:pPr>
        <w:spacing w:after="90"/>
        <w:ind w:left="403"/>
      </w:pPr>
      <w:r>
        <w:rPr>
          <w:b/>
          <w:bCs/>
          <w:color w:val="4735BE"/>
          <w:sz w:val="18"/>
          <w:szCs w:val="18"/>
        </w:rPr>
        <w:t xml:space="preserve">More   </w:t>
      </w:r>
      <w:r>
        <w:rPr>
          <w:sz w:val="22"/>
          <w:szCs w:val="22"/>
        </w:rPr>
        <w:t xml:space="preserve">An alert can either notify selected firm users when a metric reaches a defined threshold or send a scheduled summary of key firm metrics.</w:t>
      </w:r>
    </w:p>
    <w:p>
      <w:pPr>
        <w:spacing w:after="90"/>
        <w:ind w:left="403"/>
      </w:pPr>
      <w:r>
        <w:rPr>
          <w:b/>
          <w:bCs/>
          <w:color w:val="4735BE"/>
          <w:sz w:val="18"/>
          <w:szCs w:val="18"/>
        </w:rPr>
        <w:t xml:space="preserve">More   </w:t>
      </w:r>
      <w:r>
        <w:rPr>
          <w:sz w:val="22"/>
          <w:szCs w:val="22"/>
        </w:rPr>
        <w:t xml:space="preserve">Report alerts can be delivered by email and through the in-app notification bell.</w:t>
      </w:r>
    </w:p>
    <w:p>
      <w:pPr>
        <w:spacing w:after="90"/>
        <w:ind w:left="403"/>
      </w:pPr>
      <w:r>
        <w:rPr>
          <w:b/>
          <w:bCs/>
          <w:color w:val="4735BE"/>
          <w:sz w:val="18"/>
          <w:szCs w:val="18"/>
        </w:rPr>
        <w:t xml:space="preserve">More   </w:t>
      </w:r>
      <w:r>
        <w:rPr>
          <w:sz w:val="22"/>
          <w:szCs w:val="22"/>
        </w:rPr>
        <w:t xml:space="preserve">Two alert types are available:</w:t>
      </w:r>
    </w:p>
    <w:p>
      <w:pPr>
        <w:spacing w:after="90"/>
        <w:ind w:left="403"/>
      </w:pPr>
      <w:r>
        <w:rPr>
          <w:b/>
          <w:bCs/>
          <w:color w:val="4735BE"/>
          <w:sz w:val="18"/>
          <w:szCs w:val="18"/>
        </w:rPr>
        <w:t xml:space="preserve">More   </w:t>
      </w:r>
      <w:r>
        <w:rPr>
          <w:sz w:val="22"/>
          <w:szCs w:val="22"/>
        </w:rPr>
        <w:t xml:space="preserve">KPI threshold — sends an alert when a selected metric meets the condition and threshold you define.</w:t>
      </w:r>
    </w:p>
    <w:p>
      <w:pPr>
        <w:spacing w:after="90"/>
        <w:ind w:left="403"/>
      </w:pPr>
      <w:r>
        <w:rPr>
          <w:b/>
          <w:bCs/>
          <w:color w:val="4735BE"/>
          <w:sz w:val="18"/>
          <w:szCs w:val="18"/>
        </w:rPr>
        <w:t xml:space="preserve">More   </w:t>
      </w:r>
      <w:r>
        <w:rPr>
          <w:sz w:val="22"/>
          <w:szCs w:val="22"/>
        </w:rPr>
        <w:t xml:space="preserve">Scheduled digest — sends selected firm metrics on a recurring schedule.</w:t>
      </w:r>
    </w:p>
    <w:p>
      <w:pPr>
        <w:spacing w:after="90"/>
        <w:ind w:left="403"/>
      </w:pPr>
      <w:r>
        <w:rPr>
          <w:b/>
          <w:bCs/>
          <w:color w:val="4735BE"/>
          <w:sz w:val="18"/>
          <w:szCs w:val="18"/>
        </w:rPr>
        <w:t xml:space="preserve">More   </w:t>
      </w:r>
      <w:r>
        <w:rPr>
          <w:sz w:val="22"/>
          <w:szCs w:val="22"/>
        </w:rPr>
        <w:t xml:space="preserve">For example, a firm may create a threshold alert when overdue receivables exceed a certain value or use a scheduled digest to provide partners and managers with a regular summary of operational or financial KPIs.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Notifications &amp; Email.</w:t>
      </w:r>
    </w:p>
    <w:p>
      <w:pPr>
        <w:pStyle w:val="ListParagraph"/>
        <w:numPr>
          <w:ilvl w:val="0"/>
          <w:numId w:val="2"/>
        </w:numPr>
        <w:spacing w:after="40"/>
        <w:ind w:left="892"/>
      </w:pPr>
      <w:r>
        <w:rPr>
          <w:sz w:val="21"/>
          <w:szCs w:val="21"/>
        </w:rPr>
        <w:t xml:space="preserve">Go to Report alerts and select New alert.</w:t>
      </w:r>
    </w:p>
    <w:p>
      <w:pPr>
        <w:pStyle w:val="ListParagraph"/>
        <w:numPr>
          <w:ilvl w:val="0"/>
          <w:numId w:val="2"/>
        </w:numPr>
        <w:spacing w:after="40"/>
        <w:ind w:left="892"/>
      </w:pPr>
      <w:r>
        <w:rPr>
          <w:sz w:val="21"/>
          <w:szCs w:val="21"/>
        </w:rPr>
        <w:t xml:space="preserve">Enter an alert name.</w:t>
      </w:r>
    </w:p>
    <w:p>
      <w:pPr>
        <w:pStyle w:val="ListParagraph"/>
        <w:numPr>
          <w:ilvl w:val="0"/>
          <w:numId w:val="2"/>
        </w:numPr>
        <w:spacing w:after="40"/>
        <w:ind w:left="892"/>
      </w:pPr>
      <w:r>
        <w:rPr>
          <w:sz w:val="21"/>
          <w:szCs w:val="21"/>
        </w:rPr>
        <w:t xml:space="preserve">Choose KPI threshold or Scheduled digest.</w:t>
      </w:r>
    </w:p>
    <w:p>
      <w:pPr>
        <w:pStyle w:val="ListParagraph"/>
        <w:numPr>
          <w:ilvl w:val="0"/>
          <w:numId w:val="2"/>
        </w:numPr>
        <w:spacing w:after="40"/>
        <w:ind w:left="892"/>
      </w:pPr>
      <w:r>
        <w:rPr>
          <w:sz w:val="21"/>
          <w:szCs w:val="21"/>
        </w:rPr>
        <w:t xml:space="preserve">For a threshold alert, select the metric, condition, threshold value, and reporting window.</w:t>
      </w:r>
    </w:p>
    <w:p>
      <w:pPr>
        <w:pStyle w:val="ListParagraph"/>
        <w:numPr>
          <w:ilvl w:val="0"/>
          <w:numId w:val="2"/>
        </w:numPr>
        <w:spacing w:after="40"/>
        <w:ind w:left="892"/>
      </w:pPr>
      <w:r>
        <w:rPr>
          <w:sz w:val="21"/>
          <w:szCs w:val="21"/>
        </w:rPr>
        <w:t xml:space="preserve">Select the firm users who should receive the alert.</w:t>
      </w:r>
    </w:p>
    <w:p>
      <w:pPr>
        <w:pStyle w:val="ListParagraph"/>
        <w:numPr>
          <w:ilvl w:val="0"/>
          <w:numId w:val="2"/>
        </w:numPr>
        <w:spacing w:after="40"/>
        <w:ind w:left="892"/>
      </w:pPr>
      <w:r>
        <w:rPr>
          <w:sz w:val="21"/>
          <w:szCs w:val="21"/>
        </w:rPr>
        <w:t xml:space="preserve">Create the alert.</w:t>
      </w:r>
    </w:p>
    <w:p>
      <w:pPr>
        <w:pStyle w:val="ListParagraph"/>
        <w:numPr>
          <w:ilvl w:val="0"/>
          <w:numId w:val="2"/>
        </w:numPr>
        <w:spacing w:after="40"/>
        <w:ind w:left="892"/>
      </w:pPr>
      <w:r>
        <w:rPr>
          <w:sz w:val="21"/>
          <w:szCs w:val="21"/>
        </w:rPr>
        <w:t xml:space="preserve">Review existing alerts in the Report alerts list.</w:t>
      </w:r>
    </w:p>
    <w:p>
      <w:pPr>
        <w:pStyle w:val="ListParagraph"/>
        <w:numPr>
          <w:ilvl w:val="0"/>
          <w:numId w:val="2"/>
        </w:numPr>
        <w:spacing w:after="40"/>
        <w:ind w:left="892"/>
      </w:pPr>
      <w:r>
        <w:rPr>
          <w:sz w:val="21"/>
          <w:szCs w:val="21"/>
        </w:rPr>
        <w:t xml:space="preserve">Use report alerts for metrics that require timely attention, and keep the subscriber list focused on the partners, managers, or other firm users responsible for acting on the information.</w:t>
      </w:r>
    </w:p>
    <w:p>
      <w:pPr>
        <w:spacing w:after="40" w:before="70"/>
        <w:ind w:left="403"/>
      </w:pPr>
      <w:r>
        <w:rPr>
          <w:color w:val="8B8FA3"/>
          <w:sz w:val="17"/>
          <w:szCs w:val="17"/>
        </w:rPr>
        <w:t xml:space="preserve">Ref: pro-how-do-report-alerts-work-26</w:t>
      </w:r>
    </w:p>
    <w:p>
      <w:pPr>
        <w:keepNext/>
        <w:spacing w:after="90" w:before="220"/>
      </w:pPr>
      <w:r>
        <w:rPr>
          <w:b/>
          <w:bCs/>
          <w:color w:val="1A1C2E"/>
          <w:sz w:val="24"/>
          <w:szCs w:val="24"/>
        </w:rPr>
        <w:t xml:space="preserve">17.   What is in the Template Library?</w:t>
      </w:r>
    </w:p>
    <w:p>
      <w:pPr>
        <w:spacing w:after="90"/>
        <w:ind w:left="403"/>
      </w:pPr>
      <w:r>
        <w:rPr>
          <w:sz w:val="22"/>
          <w:szCs w:val="22"/>
        </w:rPr>
        <w:t xml:space="preserve">The Template Library provides reusable starting points that help CPA firms standardize recurring work and client communication in AssurePro.</w:t>
      </w:r>
    </w:p>
    <w:p>
      <w:pPr>
        <w:spacing w:after="90"/>
        <w:ind w:left="403"/>
      </w:pPr>
      <w:r>
        <w:rPr>
          <w:b/>
          <w:bCs/>
          <w:color w:val="4735BE"/>
          <w:sz w:val="18"/>
          <w:szCs w:val="18"/>
        </w:rPr>
        <w:t xml:space="preserve">More   </w:t>
      </w:r>
      <w:r>
        <w:rPr>
          <w:sz w:val="22"/>
          <w:szCs w:val="22"/>
        </w:rPr>
        <w:t xml:space="preserve">The library can include templates for engagement letters, workflows, client folder structures, and messages. Firm users can preview a template before adding it to the firm's library, and after it is added, the firm can edit its working copy to reflect its own services, policies, workflow standards, and client communication style.</w:t>
      </w:r>
    </w:p>
    <w:p>
      <w:pPr>
        <w:spacing w:after="90"/>
        <w:ind w:left="403"/>
      </w:pPr>
      <w:r>
        <w:rPr>
          <w:b/>
          <w:bCs/>
          <w:color w:val="4735BE"/>
          <w:sz w:val="18"/>
          <w:szCs w:val="18"/>
        </w:rPr>
        <w:t xml:space="preserve">More   </w:t>
      </w:r>
      <w:r>
        <w:rPr>
          <w:sz w:val="22"/>
          <w:szCs w:val="22"/>
        </w:rPr>
        <w:t xml:space="preserve">For example, a firm may start with a standard tax engagement letter, bookkeeping workflow, client folder structure, or client reminder message and then adapt it before using it in day-to-day work.</w:t>
      </w:r>
    </w:p>
    <w:p>
      <w:pPr>
        <w:spacing w:after="90"/>
        <w:ind w:left="403"/>
      </w:pPr>
      <w:r>
        <w:rPr>
          <w:b/>
          <w:bCs/>
          <w:color w:val="4735BE"/>
          <w:sz w:val="18"/>
          <w:szCs w:val="18"/>
        </w:rPr>
        <w:t xml:space="preserve">More   </w:t>
      </w:r>
      <w:r>
        <w:rPr>
          <w:sz w:val="22"/>
          <w:szCs w:val="22"/>
        </w:rPr>
        <w:t xml:space="preserve">Before adding a template, review its description, tags, and included content to confirm that it matches the firm's intended use. Once added, open the template in the relevant editor and customize it before using it with clients.</w:t>
      </w:r>
    </w:p>
    <w:p>
      <w:pPr>
        <w:spacing w:after="40" w:before="70"/>
        <w:ind w:left="403"/>
      </w:pPr>
      <w:r>
        <w:rPr>
          <w:color w:val="8B8FA3"/>
          <w:sz w:val="17"/>
          <w:szCs w:val="17"/>
        </w:rPr>
        <w:t xml:space="preserve">Ref: pro-what-is-in-the-template-library-27</w:t>
      </w:r>
    </w:p>
    <w:p>
      <w:pPr>
        <w:keepNext/>
        <w:spacing w:after="90" w:before="220"/>
      </w:pPr>
      <w:r>
        <w:rPr>
          <w:b/>
          <w:bCs/>
          <w:color w:val="1A1C2E"/>
          <w:sz w:val="24"/>
          <w:szCs w:val="24"/>
        </w:rPr>
        <w:t xml:space="preserve">18.   How do I find the right Template Library item?</w:t>
      </w:r>
    </w:p>
    <w:p>
      <w:pPr>
        <w:spacing w:after="90"/>
        <w:ind w:left="403"/>
      </w:pPr>
      <w:r>
        <w:rPr>
          <w:sz w:val="22"/>
          <w:szCs w:val="22"/>
        </w:rPr>
        <w:t xml:space="preserve">Use the search, filters, and asset-type tabs in the Template Library to quickly narrow the available templates to the type of work your firm is setting up.</w:t>
      </w:r>
    </w:p>
    <w:p>
      <w:pPr>
        <w:spacing w:after="90"/>
        <w:ind w:left="403"/>
      </w:pPr>
      <w:r>
        <w:rPr>
          <w:b/>
          <w:bCs/>
          <w:color w:val="4735BE"/>
          <w:sz w:val="18"/>
          <w:szCs w:val="18"/>
        </w:rPr>
        <w:t xml:space="preserve">More   </w:t>
      </w:r>
      <w:r>
        <w:rPr>
          <w:sz w:val="22"/>
          <w:szCs w:val="22"/>
        </w:rPr>
        <w:t xml:space="preserve">You can search by name, type, or tag, filter by practice area, review only templates already added to the firm, and sort the available results.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Template Library from Admin.</w:t>
      </w:r>
    </w:p>
    <w:p>
      <w:pPr>
        <w:pStyle w:val="ListParagraph"/>
        <w:numPr>
          <w:ilvl w:val="0"/>
          <w:numId w:val="2"/>
        </w:numPr>
        <w:spacing w:after="40"/>
        <w:ind w:left="892"/>
      </w:pPr>
      <w:r>
        <w:rPr>
          <w:sz w:val="21"/>
          <w:szCs w:val="21"/>
        </w:rPr>
        <w:t xml:space="preserve">Select All, Engagement Letter Templates, Workflows, Folders, or Messages to narrow the library by template type.</w:t>
      </w:r>
    </w:p>
    <w:p>
      <w:pPr>
        <w:pStyle w:val="ListParagraph"/>
        <w:numPr>
          <w:ilvl w:val="0"/>
          <w:numId w:val="2"/>
        </w:numPr>
        <w:spacing w:after="40"/>
        <w:ind w:left="892"/>
      </w:pPr>
      <w:r>
        <w:rPr>
          <w:sz w:val="21"/>
          <w:szCs w:val="21"/>
        </w:rPr>
        <w:t xml:space="preserve">Search by name, type, or tag.</w:t>
      </w:r>
    </w:p>
    <w:p>
      <w:pPr>
        <w:pStyle w:val="ListParagraph"/>
        <w:numPr>
          <w:ilvl w:val="0"/>
          <w:numId w:val="2"/>
        </w:numPr>
        <w:spacing w:after="40"/>
        <w:ind w:left="892"/>
      </w:pPr>
      <w:r>
        <w:rPr>
          <w:sz w:val="21"/>
          <w:szCs w:val="21"/>
        </w:rPr>
        <w:t xml:space="preserve">Select a practice area to focus on templates relevant to that service line.</w:t>
      </w:r>
    </w:p>
    <w:p>
      <w:pPr>
        <w:pStyle w:val="ListParagraph"/>
        <w:numPr>
          <w:ilvl w:val="0"/>
          <w:numId w:val="2"/>
        </w:numPr>
        <w:spacing w:after="40"/>
        <w:ind w:left="892"/>
      </w:pPr>
      <w:r>
        <w:rPr>
          <w:sz w:val="21"/>
          <w:szCs w:val="21"/>
        </w:rPr>
        <w:t xml:space="preserve">Turn on Added only to review templates that have already been added to your firm's library.</w:t>
      </w:r>
    </w:p>
    <w:p>
      <w:pPr>
        <w:pStyle w:val="ListParagraph"/>
        <w:numPr>
          <w:ilvl w:val="0"/>
          <w:numId w:val="2"/>
        </w:numPr>
        <w:spacing w:after="40"/>
        <w:ind w:left="892"/>
      </w:pPr>
      <w:r>
        <w:rPr>
          <w:sz w:val="21"/>
          <w:szCs w:val="21"/>
        </w:rPr>
        <w:t xml:space="preserve">Use Sort to change the order of the results.</w:t>
      </w:r>
    </w:p>
    <w:p>
      <w:pPr>
        <w:pStyle w:val="ListParagraph"/>
        <w:numPr>
          <w:ilvl w:val="0"/>
          <w:numId w:val="2"/>
        </w:numPr>
        <w:spacing w:after="40"/>
        <w:ind w:left="892"/>
      </w:pPr>
      <w:r>
        <w:rPr>
          <w:sz w:val="21"/>
          <w:szCs w:val="21"/>
        </w:rPr>
        <w:t xml:space="preserve">Select Preview to review the template's details and included content before adding it.</w:t>
      </w:r>
    </w:p>
    <w:p>
      <w:pPr>
        <w:pStyle w:val="ListParagraph"/>
        <w:numPr>
          <w:ilvl w:val="0"/>
          <w:numId w:val="2"/>
        </w:numPr>
        <w:spacing w:after="40"/>
        <w:ind w:left="892"/>
      </w:pPr>
      <w:r>
        <w:rPr>
          <w:sz w:val="21"/>
          <w:szCs w:val="21"/>
        </w:rPr>
        <w:t xml:space="preserve">Use Search when you already know the type of template you need. Use the practice-area filters and template tabs when you want to explore available options for a particular service, such as tax, bookkeeping, audit, or advisory work.</w:t>
      </w:r>
    </w:p>
    <w:p>
      <w:pPr>
        <w:spacing w:after="40" w:before="70"/>
        <w:ind w:left="403"/>
      </w:pPr>
      <w:r>
        <w:rPr>
          <w:color w:val="8B8FA3"/>
          <w:sz w:val="17"/>
          <w:szCs w:val="17"/>
        </w:rPr>
        <w:t xml:space="preserve">Ref: pro-how-do-i-find-the-right-template-library-item-28</w:t>
      </w:r>
    </w:p>
    <w:p>
      <w:pPr>
        <w:keepNext/>
        <w:spacing w:after="90" w:before="220"/>
      </w:pPr>
      <w:r>
        <w:rPr>
          <w:b/>
          <w:bCs/>
          <w:color w:val="1A1C2E"/>
          <w:sz w:val="24"/>
          <w:szCs w:val="24"/>
        </w:rPr>
        <w:t xml:space="preserve">19.   How do I add and customize a Template Library item?</w:t>
      </w:r>
    </w:p>
    <w:p>
      <w:pPr>
        <w:spacing w:after="90"/>
        <w:ind w:left="403"/>
      </w:pPr>
      <w:r>
        <w:rPr>
          <w:sz w:val="22"/>
          <w:szCs w:val="22"/>
        </w:rPr>
        <w:t xml:space="preserve">Firm users can add a curated item from the Template Library and then customize the firm's working copy before using it in live client work.</w:t>
      </w:r>
    </w:p>
    <w:p>
      <w:pPr>
        <w:spacing w:after="90"/>
        <w:ind w:left="403"/>
      </w:pPr>
      <w:r>
        <w:rPr>
          <w:b/>
          <w:bCs/>
          <w:color w:val="4735BE"/>
          <w:sz w:val="18"/>
          <w:szCs w:val="18"/>
        </w:rPr>
        <w:t xml:space="preserve">More   </w:t>
      </w:r>
      <w:r>
        <w:rPr>
          <w:sz w:val="22"/>
          <w:szCs w:val="22"/>
        </w:rPr>
        <w:t xml:space="preserve">The original library item remains unchanged. Your firm edits the copy that is added to the appropriate working area in AssurePro.</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template and select Preview.</w:t>
      </w:r>
    </w:p>
    <w:p>
      <w:pPr>
        <w:pStyle w:val="ListParagraph"/>
        <w:numPr>
          <w:ilvl w:val="0"/>
          <w:numId w:val="2"/>
        </w:numPr>
        <w:spacing w:after="40"/>
        <w:ind w:left="892"/>
      </w:pPr>
      <w:r>
        <w:rPr>
          <w:sz w:val="21"/>
          <w:szCs w:val="21"/>
        </w:rPr>
        <w:t xml:space="preserve">Review the template's practice-area and entity tags, along with the available summary of its packages, services, workflow stages, tasks, folders, or communication channel.</w:t>
      </w:r>
    </w:p>
    <w:p>
      <w:pPr>
        <w:pStyle w:val="ListParagraph"/>
        <w:numPr>
          <w:ilvl w:val="0"/>
          <w:numId w:val="2"/>
        </w:numPr>
        <w:spacing w:after="40"/>
        <w:ind w:left="892"/>
      </w:pPr>
      <w:r>
        <w:rPr>
          <w:sz w:val="21"/>
          <w:szCs w:val="21"/>
        </w:rPr>
        <w:t xml:space="preserve">Select Add to Library.</w:t>
      </w:r>
    </w:p>
    <w:p>
      <w:pPr>
        <w:pStyle w:val="ListParagraph"/>
        <w:numPr>
          <w:ilvl w:val="0"/>
          <w:numId w:val="2"/>
        </w:numPr>
        <w:spacing w:after="40"/>
        <w:ind w:left="892"/>
      </w:pPr>
      <w:r>
        <w:rPr>
          <w:sz w:val="21"/>
          <w:szCs w:val="21"/>
        </w:rPr>
        <w:t xml:space="preserve">Use the available Open in… option to open the added copy in the appropriate area: Engagement Letters, Workflow, Folder Templates, Messages.</w:t>
      </w:r>
    </w:p>
    <w:p>
      <w:pPr>
        <w:pStyle w:val="ListParagraph"/>
        <w:numPr>
          <w:ilvl w:val="0"/>
          <w:numId w:val="2"/>
        </w:numPr>
        <w:spacing w:after="40"/>
        <w:ind w:left="892"/>
      </w:pPr>
      <w:r>
        <w:rPr>
          <w:sz w:val="21"/>
          <w:szCs w:val="21"/>
        </w:rPr>
        <w:t xml:space="preserve">Review and update the firm's copy to reflect your services, internal processes, billing approach, document structure, or client communication standards.</w:t>
      </w:r>
    </w:p>
    <w:p>
      <w:pPr>
        <w:pStyle w:val="ListParagraph"/>
        <w:numPr>
          <w:ilvl w:val="0"/>
          <w:numId w:val="2"/>
        </w:numPr>
        <w:spacing w:after="40"/>
        <w:ind w:left="892"/>
      </w:pPr>
      <w:r>
        <w:rPr>
          <w:sz w:val="21"/>
          <w:szCs w:val="21"/>
        </w:rPr>
        <w:t xml:space="preserve">Save and test the customized template before using it with clients.</w:t>
      </w:r>
    </w:p>
    <w:p>
      <w:pPr>
        <w:pStyle w:val="ListParagraph"/>
        <w:numPr>
          <w:ilvl w:val="0"/>
          <w:numId w:val="2"/>
        </w:numPr>
        <w:spacing w:after="40"/>
        <w:ind w:left="892"/>
      </w:pPr>
      <w:r>
        <w:rPr>
          <w:sz w:val="21"/>
          <w:szCs w:val="21"/>
        </w:rPr>
        <w:t xml:space="preserve">Treat curated templates as starting points rather than final firm-approved content. Review each added copy carefully so it aligns with your firm's policies and operating standards.</w:t>
      </w:r>
    </w:p>
    <w:p>
      <w:pPr>
        <w:spacing w:after="40" w:before="70"/>
        <w:ind w:left="403"/>
      </w:pPr>
      <w:r>
        <w:rPr>
          <w:color w:val="8B8FA3"/>
          <w:sz w:val="17"/>
          <w:szCs w:val="17"/>
        </w:rPr>
        <w:t xml:space="preserve">Ref: pro-how-is-a-template-library-item-added-and-edited-29</w:t>
      </w:r>
    </w:p>
    <w:p>
      <w:pPr>
        <w:keepNext/>
        <w:spacing w:after="90" w:before="220"/>
      </w:pPr>
      <w:r>
        <w:rPr>
          <w:b/>
          <w:bCs/>
          <w:color w:val="1A1C2E"/>
          <w:sz w:val="24"/>
          <w:szCs w:val="24"/>
        </w:rPr>
        <w:t xml:space="preserve">20.   What does each Template Library type provide?</w:t>
      </w:r>
    </w:p>
    <w:p>
      <w:pPr>
        <w:spacing w:after="90"/>
        <w:ind w:left="403"/>
      </w:pPr>
      <w:r>
        <w:rPr>
          <w:sz w:val="22"/>
          <w:szCs w:val="22"/>
        </w:rPr>
        <w:t xml:space="preserve">The Template Library includes different template types that help your firm standardize recurring client work, documents, and communication.</w:t>
      </w:r>
    </w:p>
    <w:p>
      <w:pPr>
        <w:spacing w:after="90"/>
        <w:ind w:left="403"/>
      </w:pPr>
      <w:r>
        <w:rPr>
          <w:b/>
          <w:bCs/>
          <w:color w:val="4735BE"/>
          <w:sz w:val="18"/>
          <w:szCs w:val="18"/>
        </w:rPr>
        <w:t xml:space="preserve">More   </w:t>
      </w:r>
      <w:r>
        <w:rPr>
          <w:sz w:val="22"/>
          <w:szCs w:val="22"/>
        </w:rPr>
        <w:t xml:space="preserve">Engagement Letter Templates provide reusable agreement content and can include service packages, services, and billing structures used when setting up client engagements. Workflows provide reusable stages and tasks that define how work moves from setup through preparation, review, completion, and delivery. Folder Templates provide standardized client folder structures so documents are organized consistently across similar engagements or services. Message Templates provide reusable email or SMS content for common client communications, such as reminders, document requests, follow-ups, and status updates.</w:t>
      </w:r>
    </w:p>
    <w:p>
      <w:pPr>
        <w:spacing w:after="90"/>
        <w:ind w:left="403"/>
      </w:pPr>
      <w:r>
        <w:rPr>
          <w:b/>
          <w:bCs/>
          <w:color w:val="4735BE"/>
          <w:sz w:val="18"/>
          <w:szCs w:val="18"/>
        </w:rPr>
        <w:t xml:space="preserve">More   </w:t>
      </w:r>
      <w:r>
        <w:rPr>
          <w:sz w:val="22"/>
          <w:szCs w:val="22"/>
        </w:rPr>
        <w:t xml:space="preserve">These template types can be used together to standardize an end-to-end service. For example, an Engagement Letter Template can define the agreed services and billing structure, a linked Workflow can define the operational stages and tasks, a Folder Template can establish the document structure, and Message Templates can standardize recurring client communications throughout the engagement.</w:t>
      </w:r>
    </w:p>
    <w:p>
      <w:pPr>
        <w:spacing w:after="40" w:before="70"/>
        <w:ind w:left="403"/>
      </w:pPr>
      <w:r>
        <w:rPr>
          <w:color w:val="8B8FA3"/>
          <w:sz w:val="17"/>
          <w:szCs w:val="17"/>
        </w:rPr>
        <w:t xml:space="preserve">Ref: pro-what-does-each-template-library-type-provide-30</w:t>
      </w:r>
    </w:p>
    <w:p>
      <w:r>
        <w:br w:type="page"/>
      </w:r>
    </w:p>
    <w:p>
      <w:pPr>
        <w:pStyle w:val="Heading1"/>
        <w:spacing w:after="40" w:before="60"/>
      </w:pPr>
      <w:r>
        <w:rPr>
          <w:b/>
          <w:bCs/>
          <w:color w:val="1A1C2E"/>
          <w:sz w:val="32"/>
          <w:szCs w:val="32"/>
        </w:rPr>
        <w:t xml:space="preserve">Clients &amp; prospects</w:t>
      </w:r>
    </w:p>
    <w:p>
      <w:pPr>
        <w:pBdr>
          <w:bottom w:val="single" w:color="E4E2F0" w:sz="4"/>
        </w:pBdr>
        <w:spacing w:after="200"/>
      </w:pPr>
      <w:r>
        <w:rPr>
          <w:color w:val="8B8FA3"/>
          <w:sz w:val="20"/>
          <w:szCs w:val="20"/>
        </w:rPr>
        <w:t xml:space="preserve">20 questions</w:t>
      </w:r>
    </w:p>
    <w:p>
      <w:pPr>
        <w:keepNext/>
        <w:spacing w:after="90" w:before="220"/>
      </w:pPr>
      <w:r>
        <w:rPr>
          <w:b/>
          <w:bCs/>
          <w:color w:val="1A1C2E"/>
          <w:sz w:val="24"/>
          <w:szCs w:val="24"/>
        </w:rPr>
        <w:t xml:space="preserve">1.   How is a new client added directly?</w:t>
      </w:r>
    </w:p>
    <w:p>
      <w:pPr>
        <w:spacing w:after="90"/>
        <w:ind w:left="403"/>
      </w:pPr>
      <w:r>
        <w:rPr>
          <w:sz w:val="22"/>
          <w:szCs w:val="22"/>
        </w:rPr>
        <w:t xml:space="preserve">Create a client directly in AssurePro when the relationship is already confirmed and the client does not need to move through the prospect pipeline.</w:t>
      </w:r>
    </w:p>
    <w:p>
      <w:pPr>
        <w:spacing w:after="90"/>
        <w:ind w:left="403"/>
      </w:pPr>
      <w:r>
        <w:rPr>
          <w:b/>
          <w:bCs/>
          <w:color w:val="4735BE"/>
          <w:sz w:val="18"/>
          <w:szCs w:val="18"/>
        </w:rPr>
        <w:t xml:space="preserve">More   </w:t>
      </w:r>
      <w:r>
        <w:rPr>
          <w:sz w:val="22"/>
          <w:szCs w:val="22"/>
        </w:rPr>
        <w:t xml:space="preserve">The client record becomes the central starting point for managing the firm's relationship with that client, including contacts, portal access, documents, engagements, assignments, billing, and other client work.</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Clients and select New Client, or choose Client from the global + New menu.</w:t>
      </w:r>
    </w:p>
    <w:p>
      <w:pPr>
        <w:pStyle w:val="ListParagraph"/>
        <w:numPr>
          <w:ilvl w:val="0"/>
          <w:numId w:val="2"/>
        </w:numPr>
        <w:spacing w:after="40"/>
        <w:ind w:left="892"/>
      </w:pPr>
      <w:r>
        <w:rPr>
          <w:sz w:val="21"/>
          <w:szCs w:val="21"/>
        </w:rPr>
        <w:t xml:space="preserve">Enter the required Client Name and Entity Type.</w:t>
      </w:r>
    </w:p>
    <w:p>
      <w:pPr>
        <w:pStyle w:val="ListParagraph"/>
        <w:numPr>
          <w:ilvl w:val="0"/>
          <w:numId w:val="2"/>
        </w:numPr>
        <w:spacing w:after="40"/>
        <w:ind w:left="892"/>
      </w:pPr>
      <w:r>
        <w:rPr>
          <w:sz w:val="21"/>
          <w:szCs w:val="21"/>
        </w:rPr>
        <w:t xml:space="preserve">Add any applicable details such as status, industry, sub-industry, assigned firm users, folder template, country, and address.</w:t>
      </w:r>
    </w:p>
    <w:p>
      <w:pPr>
        <w:pStyle w:val="ListParagraph"/>
        <w:numPr>
          <w:ilvl w:val="0"/>
          <w:numId w:val="2"/>
        </w:numPr>
        <w:spacing w:after="40"/>
        <w:ind w:left="892"/>
      </w:pPr>
      <w:r>
        <w:rPr>
          <w:sz w:val="21"/>
          <w:szCs w:val="21"/>
        </w:rPr>
        <w:t xml:space="preserve">Optionally add the primary contact's name, phone number, and email address.</w:t>
      </w:r>
    </w:p>
    <w:p>
      <w:pPr>
        <w:pStyle w:val="ListParagraph"/>
        <w:numPr>
          <w:ilvl w:val="0"/>
          <w:numId w:val="2"/>
        </w:numPr>
        <w:spacing w:after="40"/>
        <w:ind w:left="892"/>
      </w:pPr>
      <w:r>
        <w:rPr>
          <w:sz w:val="21"/>
          <w:szCs w:val="21"/>
        </w:rPr>
        <w:t xml:space="preserve">Choose whether Send portal invite should remain selected for the client.</w:t>
      </w:r>
    </w:p>
    <w:p>
      <w:pPr>
        <w:pStyle w:val="ListParagraph"/>
        <w:numPr>
          <w:ilvl w:val="0"/>
          <w:numId w:val="2"/>
        </w:numPr>
        <w:spacing w:after="40"/>
        <w:ind w:left="892"/>
      </w:pPr>
      <w:r>
        <w:rPr>
          <w:sz w:val="21"/>
          <w:szCs w:val="21"/>
        </w:rPr>
        <w:t xml:space="preserve">Review the client information and select Create Client.</w:t>
      </w:r>
    </w:p>
    <w:p>
      <w:pPr>
        <w:pStyle w:val="ListParagraph"/>
        <w:numPr>
          <w:ilvl w:val="0"/>
          <w:numId w:val="2"/>
        </w:numPr>
        <w:spacing w:after="40"/>
        <w:ind w:left="892"/>
      </w:pPr>
      <w:r>
        <w:rPr>
          <w:sz w:val="21"/>
          <w:szCs w:val="21"/>
        </w:rPr>
        <w:t xml:space="preserve">After the client is created, review the client record to confirm the appropriate contacts, firm assignments, portal access, folders, and onboarding defaults have been applied correctly.</w:t>
      </w:r>
    </w:p>
    <w:p>
      <w:pPr>
        <w:spacing w:after="40" w:before="70"/>
        <w:ind w:left="403"/>
      </w:pPr>
      <w:r>
        <w:rPr>
          <w:color w:val="8B8FA3"/>
          <w:sz w:val="17"/>
          <w:szCs w:val="17"/>
        </w:rPr>
        <w:t xml:space="preserve">Ref: pro-how-is-a-new-client-added-directly-31</w:t>
      </w:r>
    </w:p>
    <w:p>
      <w:pPr>
        <w:keepNext/>
        <w:spacing w:after="90" w:before="220"/>
      </w:pPr>
      <w:r>
        <w:rPr>
          <w:b/>
          <w:bCs/>
          <w:color w:val="1A1C2E"/>
          <w:sz w:val="24"/>
          <w:szCs w:val="24"/>
        </w:rPr>
        <w:t xml:space="preserve">2.   What are all the ways to add a client?</w:t>
      </w:r>
    </w:p>
    <w:p>
      <w:pPr>
        <w:spacing w:after="90"/>
        <w:ind w:left="403"/>
      </w:pPr>
      <w:r>
        <w:rPr>
          <w:sz w:val="22"/>
          <w:szCs w:val="22"/>
        </w:rPr>
        <w:t xml:space="preserve">AssurePro provides several ways to add a client, depending on how the relationship was established and how the firm is onboarding the client.</w:t>
      </w:r>
    </w:p>
    <w:p>
      <w:pPr>
        <w:spacing w:after="90"/>
        <w:ind w:left="403"/>
      </w:pPr>
      <w:r>
        <w:rPr>
          <w:b/>
          <w:bCs/>
          <w:color w:val="4735BE"/>
          <w:sz w:val="18"/>
          <w:szCs w:val="18"/>
        </w:rPr>
        <w:t xml:space="preserve">More   </w:t>
      </w:r>
      <w:r>
        <w:rPr>
          <w:sz w:val="22"/>
          <w:szCs w:val="22"/>
        </w:rPr>
        <w:t xml:space="preserve">You can add a client by:</w:t>
      </w:r>
    </w:p>
    <w:p>
      <w:pPr>
        <w:spacing w:after="90"/>
        <w:ind w:left="403"/>
      </w:pPr>
      <w:r>
        <w:rPr>
          <w:b/>
          <w:bCs/>
          <w:color w:val="4735BE"/>
          <w:sz w:val="18"/>
          <w:szCs w:val="18"/>
        </w:rPr>
        <w:t xml:space="preserve">More   </w:t>
      </w:r>
      <w:r>
        <w:rPr>
          <w:sz w:val="22"/>
          <w:szCs w:val="22"/>
        </w:rPr>
        <w:t xml:space="preserve">Creating the client directly — use this when the relationship is already confirmed and the client does not need to move through the prospect pipeline.</w:t>
      </w:r>
    </w:p>
    <w:p>
      <w:pPr>
        <w:spacing w:after="90"/>
        <w:ind w:left="403"/>
      </w:pPr>
      <w:r>
        <w:rPr>
          <w:b/>
          <w:bCs/>
          <w:color w:val="4735BE"/>
          <w:sz w:val="18"/>
          <w:szCs w:val="18"/>
        </w:rPr>
        <w:t xml:space="preserve">More   </w:t>
      </w:r>
      <w:r>
        <w:rPr>
          <w:sz w:val="22"/>
          <w:szCs w:val="22"/>
        </w:rPr>
        <w:t xml:space="preserve">Converting a prospect to Won — use this when the client originated as a lead or prospect and you want to preserve the prospect history.</w:t>
      </w:r>
    </w:p>
    <w:p>
      <w:pPr>
        <w:spacing w:after="90"/>
        <w:ind w:left="403"/>
      </w:pPr>
      <w:r>
        <w:rPr>
          <w:b/>
          <w:bCs/>
          <w:color w:val="4735BE"/>
          <w:sz w:val="18"/>
          <w:szCs w:val="18"/>
        </w:rPr>
        <w:t xml:space="preserve">More   </w:t>
      </w:r>
      <w:r>
        <w:rPr>
          <w:sz w:val="22"/>
          <w:szCs w:val="22"/>
        </w:rPr>
        <w:t xml:space="preserve">Importing clients in bulk — use a CSV or Excel file when onboarding or migrating multiple client records.</w:t>
      </w:r>
    </w:p>
    <w:p>
      <w:pPr>
        <w:spacing w:after="90"/>
        <w:ind w:left="403"/>
      </w:pPr>
      <w:r>
        <w:rPr>
          <w:b/>
          <w:bCs/>
          <w:color w:val="4735BE"/>
          <w:sz w:val="18"/>
          <w:szCs w:val="18"/>
        </w:rPr>
        <w:t xml:space="preserve">More   </w:t>
      </w:r>
      <w:r>
        <w:rPr>
          <w:sz w:val="22"/>
          <w:szCs w:val="22"/>
        </w:rPr>
        <w:t xml:space="preserve">Creating a client while starting an engagement — use this when the required client does not yet exist and you need to create the record as part of the engagement setup.</w:t>
      </w:r>
    </w:p>
    <w:p>
      <w:pPr>
        <w:spacing w:after="90"/>
        <w:ind w:left="403"/>
      </w:pPr>
      <w:r>
        <w:rPr>
          <w:b/>
          <w:bCs/>
          <w:color w:val="4735BE"/>
          <w:sz w:val="18"/>
          <w:szCs w:val="18"/>
        </w:rPr>
        <w:t xml:space="preserve">More   </w:t>
      </w:r>
      <w:r>
        <w:rPr>
          <w:sz w:val="22"/>
          <w:szCs w:val="22"/>
        </w:rPr>
        <w:t xml:space="preserve">Using the global + New menu — provides a shortcut to the standard direct-client creation form.</w:t>
      </w:r>
    </w:p>
    <w:p>
      <w:pPr>
        <w:spacing w:after="90"/>
        <w:ind w:left="403"/>
      </w:pPr>
      <w:r>
        <w:rPr>
          <w:b/>
          <w:bCs/>
          <w:color w:val="4735BE"/>
          <w:sz w:val="18"/>
          <w:szCs w:val="18"/>
        </w:rPr>
        <w:t xml:space="preserve">More   </w:t>
      </w:r>
      <w:r>
        <w:rPr>
          <w:sz w:val="22"/>
          <w:szCs w:val="22"/>
        </w:rPr>
        <w:t xml:space="preserve">Choose the method that best preserves the client's history and avoids duplicate records.</w:t>
      </w:r>
    </w:p>
    <w:p>
      <w:pPr>
        <w:spacing w:after="90"/>
        <w:ind w:left="403"/>
      </w:pPr>
      <w:r>
        <w:rPr>
          <w:b/>
          <w:bCs/>
          <w:color w:val="4735BE"/>
          <w:sz w:val="18"/>
          <w:szCs w:val="18"/>
        </w:rPr>
        <w:t xml:space="preserve">More   </w:t>
      </w:r>
      <w:r>
        <w:rPr>
          <w:sz w:val="22"/>
          <w:szCs w:val="22"/>
        </w:rPr>
        <w:t xml:space="preserve">For example, use direct creation for an established client, prospect conversion for a qualified lead, bulk import for a migration or prepared client list, and contextual creation when setting up an engagement for a client who is not yet in AssurePro.</w:t>
      </w:r>
    </w:p>
    <w:p>
      <w:pPr>
        <w:spacing w:after="90"/>
        <w:ind w:left="403"/>
      </w:pPr>
      <w:r>
        <w:rPr>
          <w:b/>
          <w:bCs/>
          <w:color w:val="4735BE"/>
          <w:sz w:val="18"/>
          <w:szCs w:val="18"/>
        </w:rPr>
        <w:t xml:space="preserve">More   </w:t>
      </w:r>
      <w:r>
        <w:rPr>
          <w:sz w:val="22"/>
          <w:szCs w:val="22"/>
        </w:rPr>
        <w:t xml:space="preserve">Regardless of how the client is added, review the resulting client record for contacts, firm assignments, portal access, folder structure, and onboarding defaults before beginning live client work.</w:t>
      </w:r>
    </w:p>
    <w:p>
      <w:pPr>
        <w:spacing w:after="40" w:before="70"/>
        <w:ind w:left="403"/>
      </w:pPr>
      <w:r>
        <w:rPr>
          <w:color w:val="8B8FA3"/>
          <w:sz w:val="17"/>
          <w:szCs w:val="17"/>
        </w:rPr>
        <w:t xml:space="preserve">Ref: pro-what-are-all-the-ways-to-add-a-client-32</w:t>
      </w:r>
    </w:p>
    <w:p>
      <w:pPr>
        <w:keepNext/>
        <w:spacing w:after="90" w:before="220"/>
      </w:pPr>
      <w:r>
        <w:rPr>
          <w:b/>
          <w:bCs/>
          <w:color w:val="1A1C2E"/>
          <w:sz w:val="24"/>
          <w:szCs w:val="24"/>
        </w:rPr>
        <w:t xml:space="preserve">3.   How do I convert a prospect into a client?</w:t>
      </w:r>
    </w:p>
    <w:p>
      <w:pPr>
        <w:spacing w:after="90"/>
        <w:ind w:left="403"/>
      </w:pPr>
      <w:r>
        <w:rPr>
          <w:sz w:val="22"/>
          <w:szCs w:val="22"/>
        </w:rPr>
        <w:t xml:space="preserve">Convert a prospect to a client when the opportunity has completed your firm's prospect process and the relationship has been confirmed.</w:t>
      </w:r>
    </w:p>
    <w:p>
      <w:pPr>
        <w:spacing w:after="90"/>
        <w:ind w:left="403"/>
      </w:pPr>
      <w:r>
        <w:rPr>
          <w:b/>
          <w:bCs/>
          <w:color w:val="4735BE"/>
          <w:sz w:val="18"/>
          <w:szCs w:val="18"/>
        </w:rPr>
        <w:t xml:space="preserve">More   </w:t>
      </w:r>
      <w:r>
        <w:rPr>
          <w:sz w:val="22"/>
          <w:szCs w:val="22"/>
        </w:rPr>
        <w:t xml:space="preserve">Moving the prospect to Won preserves the prospect history and transitions the record into client onboarding, so the information already captured does not need to be recreated.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Prospects and locate the lead in Board or List view.</w:t>
      </w:r>
    </w:p>
    <w:p>
      <w:pPr>
        <w:pStyle w:val="ListParagraph"/>
        <w:numPr>
          <w:ilvl w:val="0"/>
          <w:numId w:val="2"/>
        </w:numPr>
        <w:spacing w:after="40"/>
        <w:ind w:left="892"/>
      </w:pPr>
      <w:r>
        <w:rPr>
          <w:sz w:val="21"/>
          <w:szCs w:val="21"/>
        </w:rPr>
        <w:t xml:space="preserve">Open the prospect record and review the information that should carry forward, such as: Company and contact details, Service interest, Assigned owners, Deal value, Expected close date, Tags, Notes.</w:t>
      </w:r>
    </w:p>
    <w:p>
      <w:pPr>
        <w:pStyle w:val="ListParagraph"/>
        <w:numPr>
          <w:ilvl w:val="0"/>
          <w:numId w:val="2"/>
        </w:numPr>
        <w:spacing w:after="40"/>
        <w:ind w:left="892"/>
      </w:pPr>
      <w:r>
        <w:rPr>
          <w:sz w:val="21"/>
          <w:szCs w:val="21"/>
        </w:rPr>
        <w:t xml:space="preserve">Open the Stage control and change the prospect to Won.</w:t>
      </w:r>
    </w:p>
    <w:p>
      <w:pPr>
        <w:pStyle w:val="ListParagraph"/>
        <w:numPr>
          <w:ilvl w:val="0"/>
          <w:numId w:val="2"/>
        </w:numPr>
        <w:spacing w:after="40"/>
        <w:ind w:left="892"/>
      </w:pPr>
      <w:r>
        <w:rPr>
          <w:sz w:val="21"/>
          <w:szCs w:val="21"/>
        </w:rPr>
        <w:t xml:space="preserve">Open the resulting client record.</w:t>
      </w:r>
    </w:p>
    <w:p>
      <w:pPr>
        <w:pStyle w:val="ListParagraph"/>
        <w:numPr>
          <w:ilvl w:val="0"/>
          <w:numId w:val="2"/>
        </w:numPr>
        <w:spacing w:after="40"/>
        <w:ind w:left="892"/>
      </w:pPr>
      <w:r>
        <w:rPr>
          <w:sz w:val="21"/>
          <w:szCs w:val="21"/>
        </w:rPr>
        <w:t xml:space="preserve">Complete any client-specific information that was not captured during the prospect stage, including: Firm assignments, Contacts, Portal access, Documents and folder structure, Engagement setup, Other onboarding details.</w:t>
      </w:r>
    </w:p>
    <w:p>
      <w:pPr>
        <w:pStyle w:val="ListParagraph"/>
        <w:numPr>
          <w:ilvl w:val="0"/>
          <w:numId w:val="2"/>
        </w:numPr>
        <w:spacing w:after="40"/>
        <w:ind w:left="892"/>
      </w:pPr>
      <w:r>
        <w:rPr>
          <w:sz w:val="21"/>
          <w:szCs w:val="21"/>
        </w:rPr>
        <w:t xml:space="preserve">Using the Won stage helps your firm maintain continuity from prospecting through onboarding while preserving the history of the relationship.</w:t>
      </w:r>
    </w:p>
    <w:p>
      <w:pPr>
        <w:spacing w:after="40" w:before="70"/>
        <w:ind w:left="403"/>
      </w:pPr>
      <w:r>
        <w:rPr>
          <w:color w:val="8B8FA3"/>
          <w:sz w:val="17"/>
          <w:szCs w:val="17"/>
        </w:rPr>
        <w:t xml:space="preserve">Ref: pro-how-do-i-convert-a-prospect-into-a-client-33</w:t>
      </w:r>
    </w:p>
    <w:p>
      <w:pPr>
        <w:keepNext/>
        <w:spacing w:after="90" w:before="220"/>
      </w:pPr>
      <w:r>
        <w:rPr>
          <w:b/>
          <w:bCs/>
          <w:color w:val="1A1C2E"/>
          <w:sz w:val="24"/>
          <w:szCs w:val="24"/>
        </w:rPr>
        <w:t xml:space="preserve">4.   How do I import multiple clients?</w:t>
      </w:r>
    </w:p>
    <w:p>
      <w:pPr>
        <w:spacing w:after="90"/>
        <w:ind w:left="403"/>
      </w:pPr>
      <w:r>
        <w:rPr>
          <w:sz w:val="22"/>
          <w:szCs w:val="22"/>
        </w:rPr>
        <w:t xml:space="preserve">Use the client import feature when your firm needs to add or migrate multiple client records into AssurePro at the same time.</w:t>
      </w:r>
    </w:p>
    <w:p>
      <w:pPr>
        <w:spacing w:after="90"/>
        <w:ind w:left="403"/>
      </w:pPr>
      <w:r>
        <w:rPr>
          <w:b/>
          <w:bCs/>
          <w:color w:val="4735BE"/>
          <w:sz w:val="18"/>
          <w:szCs w:val="18"/>
        </w:rPr>
        <w:t xml:space="preserve">More   </w:t>
      </w:r>
      <w:r>
        <w:rPr>
          <w:sz w:val="22"/>
          <w:szCs w:val="22"/>
        </w:rPr>
        <w:t xml:space="preserve">AssurePro supports CSV and XLSX files. A downloadable CSV template is also available to help your firm prepare client data in the expected structure before uploading it.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Clients.</w:t>
      </w:r>
    </w:p>
    <w:p>
      <w:pPr>
        <w:pStyle w:val="ListParagraph"/>
        <w:numPr>
          <w:ilvl w:val="0"/>
          <w:numId w:val="2"/>
        </w:numPr>
        <w:spacing w:after="40"/>
        <w:ind w:left="892"/>
      </w:pPr>
      <w:r>
        <w:rPr>
          <w:sz w:val="21"/>
          <w:szCs w:val="21"/>
        </w:rPr>
        <w:t xml:space="preserve">Select More ways to add clients, then choose Import from CSV.</w:t>
      </w:r>
    </w:p>
    <w:p>
      <w:pPr>
        <w:pStyle w:val="ListParagraph"/>
        <w:numPr>
          <w:ilvl w:val="0"/>
          <w:numId w:val="2"/>
        </w:numPr>
        <w:spacing w:after="40"/>
        <w:ind w:left="892"/>
      </w:pPr>
      <w:r>
        <w:rPr>
          <w:sz w:val="21"/>
          <w:szCs w:val="21"/>
        </w:rPr>
        <w:t xml:space="preserve">Download the provided CSV template if you need guidance on the expected file structure, or prepare a supported .csv or .xlsx file.</w:t>
      </w:r>
    </w:p>
    <w:p>
      <w:pPr>
        <w:pStyle w:val="ListParagraph"/>
        <w:numPr>
          <w:ilvl w:val="0"/>
          <w:numId w:val="2"/>
        </w:numPr>
        <w:spacing w:after="40"/>
        <w:ind w:left="892"/>
      </w:pPr>
      <w:r>
        <w:rPr>
          <w:sz w:val="21"/>
          <w:szCs w:val="21"/>
        </w:rPr>
        <w:t xml:space="preserve">Upload the file by dragging it into the import window or selecting it using the file browser.</w:t>
      </w:r>
    </w:p>
    <w:p>
      <w:pPr>
        <w:pStyle w:val="ListParagraph"/>
        <w:numPr>
          <w:ilvl w:val="0"/>
          <w:numId w:val="2"/>
        </w:numPr>
        <w:spacing w:after="40"/>
        <w:ind w:left="892"/>
      </w:pPr>
      <w:r>
        <w:rPr>
          <w:sz w:val="21"/>
          <w:szCs w:val="21"/>
        </w:rPr>
        <w:t xml:space="preserve">Review any validation messages or data issues identified during the import.</w:t>
      </w:r>
    </w:p>
    <w:p>
      <w:pPr>
        <w:pStyle w:val="ListParagraph"/>
        <w:numPr>
          <w:ilvl w:val="0"/>
          <w:numId w:val="2"/>
        </w:numPr>
        <w:spacing w:after="40"/>
        <w:ind w:left="892"/>
      </w:pPr>
      <w:r>
        <w:rPr>
          <w:sz w:val="21"/>
          <w:szCs w:val="21"/>
        </w:rPr>
        <w:t xml:space="preserve">Complete the import once the file is ready.</w:t>
      </w:r>
    </w:p>
    <w:p>
      <w:pPr>
        <w:pStyle w:val="ListParagraph"/>
        <w:numPr>
          <w:ilvl w:val="0"/>
          <w:numId w:val="2"/>
        </w:numPr>
        <w:spacing w:after="40"/>
        <w:ind w:left="892"/>
      </w:pPr>
      <w:r>
        <w:rPr>
          <w:sz w:val="21"/>
          <w:szCs w:val="21"/>
        </w:rPr>
        <w:t xml:space="preserve">Review the imported client records to confirm that the information has been created correctly.</w:t>
      </w:r>
    </w:p>
    <w:p>
      <w:pPr>
        <w:pStyle w:val="ListParagraph"/>
        <w:numPr>
          <w:ilvl w:val="0"/>
          <w:numId w:val="2"/>
        </w:numPr>
        <w:spacing w:after="40"/>
        <w:ind w:left="892"/>
      </w:pPr>
      <w:r>
        <w:rPr>
          <w:sz w:val="21"/>
          <w:szCs w:val="21"/>
        </w:rPr>
        <w:t xml:space="preserve">After the import, review important client information such as contacts, entity details, firm assignments, portal access, folder structure, and onboarding defaults before beginning live client work.</w:t>
      </w:r>
    </w:p>
    <w:p>
      <w:pPr>
        <w:pStyle w:val="ListParagraph"/>
        <w:numPr>
          <w:ilvl w:val="0"/>
          <w:numId w:val="2"/>
        </w:numPr>
        <w:spacing w:after="40"/>
        <w:ind w:left="892"/>
      </w:pPr>
      <w:r>
        <w:rPr>
          <w:sz w:val="21"/>
          <w:szCs w:val="21"/>
        </w:rPr>
        <w:t xml:space="preserve">For large migrations, it is a good practice to test the import with a small sample first so your firm can confirm the file structure and resulting client records before importing the full client list.</w:t>
      </w:r>
    </w:p>
    <w:p>
      <w:pPr>
        <w:spacing w:after="40" w:before="70"/>
        <w:ind w:left="403"/>
      </w:pPr>
      <w:r>
        <w:rPr>
          <w:color w:val="8B8FA3"/>
          <w:sz w:val="17"/>
          <w:szCs w:val="17"/>
        </w:rPr>
        <w:t xml:space="preserve">Ref: pro-how-do-i-import-multiple-clients-34</w:t>
      </w:r>
    </w:p>
    <w:p>
      <w:pPr>
        <w:keepNext/>
        <w:spacing w:after="90" w:before="220"/>
      </w:pPr>
      <w:r>
        <w:rPr>
          <w:b/>
          <w:bCs/>
          <w:color w:val="1A1C2E"/>
          <w:sz w:val="24"/>
          <w:szCs w:val="24"/>
        </w:rPr>
        <w:t xml:space="preserve">5.   Can I create a client while starting an engagement?</w:t>
      </w:r>
    </w:p>
    <w:p>
      <w:pPr>
        <w:spacing w:after="90"/>
        <w:ind w:left="403"/>
      </w:pPr>
      <w:r>
        <w:rPr>
          <w:sz w:val="22"/>
          <w:szCs w:val="22"/>
        </w:rPr>
        <w:t xml:space="preserve">Yes. If the client record does not yet exist, firm users can create it directly while setting up a new engagement.</w:t>
      </w:r>
    </w:p>
    <w:p>
      <w:pPr>
        <w:spacing w:after="90"/>
        <w:ind w:left="403"/>
      </w:pPr>
      <w:r>
        <w:rPr>
          <w:b/>
          <w:bCs/>
          <w:color w:val="4735BE"/>
          <w:sz w:val="18"/>
          <w:szCs w:val="18"/>
        </w:rPr>
        <w:t xml:space="preserve">More   </w:t>
      </w:r>
      <w:r>
        <w:rPr>
          <w:sz w:val="22"/>
          <w:szCs w:val="22"/>
        </w:rPr>
        <w:t xml:space="preserve">The New Engagement client selector includes a Create new client option, so you can continue the engagement setup without leaving the workflow.</w:t>
      </w:r>
    </w:p>
    <w:p>
      <w:pPr>
        <w:spacing w:after="90"/>
        <w:ind w:left="403"/>
      </w:pPr>
      <w:r>
        <w:rPr>
          <w:b/>
          <w:bCs/>
          <w:color w:val="4735BE"/>
          <w:sz w:val="18"/>
          <w:szCs w:val="18"/>
        </w:rPr>
        <w:t xml:space="preserve">More   </w:t>
      </w:r>
      <w:r>
        <w:rPr>
          <w:sz w:val="22"/>
          <w:szCs w:val="22"/>
        </w:rPr>
        <w:t xml:space="preserve">This is useful when the engagement is ready to be created but the client has not yet been added to AssurePro.</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Workflow and select New Engagement.</w:t>
      </w:r>
    </w:p>
    <w:p>
      <w:pPr>
        <w:pStyle w:val="ListParagraph"/>
        <w:numPr>
          <w:ilvl w:val="0"/>
          <w:numId w:val="2"/>
        </w:numPr>
        <w:spacing w:after="40"/>
        <w:ind w:left="892"/>
      </w:pPr>
      <w:r>
        <w:rPr>
          <w:sz w:val="21"/>
          <w:szCs w:val="21"/>
        </w:rPr>
        <w:t xml:space="preserve">Open the Client selector.</w:t>
      </w:r>
    </w:p>
    <w:p>
      <w:pPr>
        <w:pStyle w:val="ListParagraph"/>
        <w:numPr>
          <w:ilvl w:val="0"/>
          <w:numId w:val="2"/>
        </w:numPr>
        <w:spacing w:after="40"/>
        <w:ind w:left="892"/>
      </w:pPr>
      <w:r>
        <w:rPr>
          <w:sz w:val="21"/>
          <w:szCs w:val="21"/>
        </w:rPr>
        <w:t xml:space="preserve">Select Create new client.</w:t>
      </w:r>
    </w:p>
    <w:p>
      <w:pPr>
        <w:pStyle w:val="ListParagraph"/>
        <w:numPr>
          <w:ilvl w:val="0"/>
          <w:numId w:val="2"/>
        </w:numPr>
        <w:spacing w:after="40"/>
        <w:ind w:left="892"/>
      </w:pPr>
      <w:r>
        <w:rPr>
          <w:sz w:val="21"/>
          <w:szCs w:val="21"/>
        </w:rPr>
        <w:t xml:space="preserve">Enter the required client information and create the client record.</w:t>
      </w:r>
    </w:p>
    <w:p>
      <w:pPr>
        <w:pStyle w:val="ListParagraph"/>
        <w:numPr>
          <w:ilvl w:val="0"/>
          <w:numId w:val="2"/>
        </w:numPr>
        <w:spacing w:after="40"/>
        <w:ind w:left="892"/>
      </w:pPr>
      <w:r>
        <w:rPr>
          <w:sz w:val="21"/>
          <w:szCs w:val="21"/>
        </w:rPr>
        <w:t xml:space="preserve">Return to the engagement setup.</w:t>
      </w:r>
    </w:p>
    <w:p>
      <w:pPr>
        <w:pStyle w:val="ListParagraph"/>
        <w:numPr>
          <w:ilvl w:val="0"/>
          <w:numId w:val="2"/>
        </w:numPr>
        <w:spacing w:after="40"/>
        <w:ind w:left="892"/>
      </w:pPr>
      <w:r>
        <w:rPr>
          <w:sz w:val="21"/>
          <w:szCs w:val="21"/>
        </w:rPr>
        <w:t xml:space="preserve">Select the newly created client and the appropriate Engagement Type.</w:t>
      </w:r>
    </w:p>
    <w:p>
      <w:pPr>
        <w:pStyle w:val="ListParagraph"/>
        <w:numPr>
          <w:ilvl w:val="0"/>
          <w:numId w:val="2"/>
        </w:numPr>
        <w:spacing w:after="40"/>
        <w:ind w:left="892"/>
      </w:pPr>
      <w:r>
        <w:rPr>
          <w:sz w:val="21"/>
          <w:szCs w:val="21"/>
        </w:rPr>
        <w:t xml:space="preserve">Complete the remaining engagement details and save the engagement.</w:t>
      </w:r>
    </w:p>
    <w:p>
      <w:pPr>
        <w:pStyle w:val="ListParagraph"/>
        <w:numPr>
          <w:ilvl w:val="0"/>
          <w:numId w:val="2"/>
        </w:numPr>
        <w:spacing w:after="40"/>
        <w:ind w:left="892"/>
      </w:pPr>
      <w:r>
        <w:rPr>
          <w:sz w:val="21"/>
          <w:szCs w:val="21"/>
        </w:rPr>
        <w:t xml:space="preserve">After the engagement is created, open the client's Info tab and complete any additional information that was not captured during the quick client-creation step, such as contacts, entity details, portal access, firm assignments, or relationship information.</w:t>
      </w:r>
    </w:p>
    <w:p>
      <w:pPr>
        <w:spacing w:after="40" w:before="70"/>
        <w:ind w:left="403"/>
      </w:pPr>
      <w:r>
        <w:rPr>
          <w:color w:val="8B8FA3"/>
          <w:sz w:val="17"/>
          <w:szCs w:val="17"/>
        </w:rPr>
        <w:t xml:space="preserve">Ref: pro-can-i-create-a-client-while-starting-an-engagement-35</w:t>
      </w:r>
    </w:p>
    <w:p>
      <w:pPr>
        <w:keepNext/>
        <w:spacing w:after="90" w:before="220"/>
      </w:pPr>
      <w:r>
        <w:rPr>
          <w:b/>
          <w:bCs/>
          <w:color w:val="1A1C2E"/>
          <w:sz w:val="24"/>
          <w:szCs w:val="24"/>
        </w:rPr>
        <w:t xml:space="preserve">6.   What can firm users see in a client workspace?</w:t>
      </w:r>
    </w:p>
    <w:p>
      <w:pPr>
        <w:spacing w:after="90"/>
        <w:ind w:left="403"/>
      </w:pPr>
      <w:r>
        <w:rPr>
          <w:sz w:val="22"/>
          <w:szCs w:val="22"/>
        </w:rPr>
        <w:t xml:space="preserve">The client workspace gives firm users a consolidated view of the client relationship and the work associated with that client.</w:t>
      </w:r>
    </w:p>
    <w:p>
      <w:pPr>
        <w:spacing w:after="90"/>
        <w:ind w:left="403"/>
      </w:pPr>
      <w:r>
        <w:rPr>
          <w:b/>
          <w:bCs/>
          <w:color w:val="4735BE"/>
          <w:sz w:val="18"/>
          <w:szCs w:val="18"/>
        </w:rPr>
        <w:t xml:space="preserve">More   </w:t>
      </w:r>
      <w:r>
        <w:rPr>
          <w:sz w:val="22"/>
          <w:szCs w:val="22"/>
        </w:rPr>
        <w:t xml:space="preserve">Depending on your firm's configuration and access, the workspace can include areas such as Overview, Info, Documents, Communications, Engagements, Billing, Engagement Letter, Credentials, Emails, and AI SOP. The Overview provides a concise operating summary of the client, including items that may require attention, open work, upcoming deadlines, document activity, balances, communications, and recent activity.</w:t>
      </w:r>
    </w:p>
    <w:p>
      <w:pPr>
        <w:spacing w:after="90"/>
        <w:ind w:left="403"/>
      </w:pPr>
      <w:r>
        <w:rPr>
          <w:b/>
          <w:bCs/>
          <w:color w:val="4735BE"/>
          <w:sz w:val="18"/>
          <w:szCs w:val="18"/>
        </w:rPr>
        <w:t xml:space="preserve">More   </w:t>
      </w:r>
      <w:r>
        <w:rPr>
          <w:sz w:val="22"/>
          <w:szCs w:val="22"/>
        </w:rPr>
        <w:t xml:space="preserve">Use the specialized tabs when you need to work with the full underlying record. For example, review overdue invoices or balances in Billing, review an unsigned engagement package in Engagement Letter, check missing or uploaded source files in Documents, review active work, assignments, and delivery progress in Engagements, and review client communication history in Communications or Emails.</w:t>
      </w:r>
    </w:p>
    <w:p>
      <w:pPr>
        <w:spacing w:after="90"/>
        <w:ind w:left="403"/>
      </w:pPr>
      <w:r>
        <w:rPr>
          <w:b/>
          <w:bCs/>
          <w:color w:val="4735BE"/>
          <w:sz w:val="18"/>
          <w:szCs w:val="18"/>
        </w:rPr>
        <w:t xml:space="preserve">More   </w:t>
      </w:r>
      <w:r>
        <w:rPr>
          <w:sz w:val="22"/>
          <w:szCs w:val="22"/>
        </w:rPr>
        <w:t xml:space="preserve">The client workspace helps partners, managers, reviewers, and firm users move between different parts of the client relationship without having to search for or reopen the client record each time.</w:t>
      </w:r>
    </w:p>
    <w:p>
      <w:pPr>
        <w:spacing w:after="40" w:before="70"/>
        <w:ind w:left="403"/>
      </w:pPr>
      <w:r>
        <w:rPr>
          <w:color w:val="8B8FA3"/>
          <w:sz w:val="17"/>
          <w:szCs w:val="17"/>
        </w:rPr>
        <w:t xml:space="preserve">Ref: pro-what-can-staff-see-in-a-client-workspace-36</w:t>
      </w:r>
    </w:p>
    <w:p>
      <w:pPr>
        <w:keepNext/>
        <w:spacing w:after="90" w:before="220"/>
      </w:pPr>
      <w:r>
        <w:rPr>
          <w:b/>
          <w:bCs/>
          <w:color w:val="1A1C2E"/>
          <w:sz w:val="24"/>
          <w:szCs w:val="24"/>
        </w:rPr>
        <w:t xml:space="preserve">7.   What information is kept on the client Info tab?</w:t>
      </w:r>
    </w:p>
    <w:p>
      <w:pPr>
        <w:spacing w:after="90"/>
        <w:ind w:left="403"/>
      </w:pPr>
      <w:r>
        <w:rPr>
          <w:sz w:val="22"/>
          <w:szCs w:val="22"/>
        </w:rPr>
        <w:t xml:space="preserve">The Info tab stores the core profile and relationship information for a client.</w:t>
      </w:r>
    </w:p>
    <w:p>
      <w:pPr>
        <w:spacing w:after="90"/>
        <w:ind w:left="403"/>
      </w:pPr>
      <w:r>
        <w:rPr>
          <w:b/>
          <w:bCs/>
          <w:color w:val="4735BE"/>
          <w:sz w:val="18"/>
          <w:szCs w:val="18"/>
        </w:rPr>
        <w:t xml:space="preserve">More   </w:t>
      </w:r>
      <w:r>
        <w:rPr>
          <w:sz w:val="22"/>
          <w:szCs w:val="22"/>
        </w:rPr>
        <w:t xml:space="preserve">Depending on the client's entity type and your firm's configuration, the tab can include profile completeness, contact information, entity details, Contacts, Tags, Related Entities, Account Roles, and Notes. The fields shown can vary based on the client type — for example, an individual client may include information such as SSN, date of birth, filing status, address, and applicable period, while a business client may display different entity-specific information.</w:t>
      </w:r>
    </w:p>
    <w:p>
      <w:pPr>
        <w:spacing w:after="90"/>
        <w:ind w:left="403"/>
      </w:pPr>
      <w:r>
        <w:rPr>
          <w:b/>
          <w:bCs/>
          <w:color w:val="4735BE"/>
          <w:sz w:val="18"/>
          <w:szCs w:val="18"/>
        </w:rPr>
        <w:t xml:space="preserve">More   </w:t>
      </w:r>
      <w:r>
        <w:rPr>
          <w:sz w:val="22"/>
          <w:szCs w:val="22"/>
        </w:rPr>
        <w:t xml:space="preserve">The Info tab keeps the primary client record separate from related people and entities: use Contacts for people associated with the client, Related Entities for connected businesses or other entities, Account Roles to identify each person's relationship or responsibility, Tags to categorize the client, and Notes for additional internal context.</w:t>
      </w:r>
    </w:p>
    <w:p>
      <w:pPr>
        <w:spacing w:after="90"/>
        <w:ind w:left="403"/>
      </w:pPr>
      <w:r>
        <w:rPr>
          <w:b/>
          <w:bCs/>
          <w:color w:val="4735BE"/>
          <w:sz w:val="18"/>
          <w:szCs w:val="18"/>
        </w:rPr>
        <w:t xml:space="preserve">More   </w:t>
      </w:r>
      <w:r>
        <w:rPr>
          <w:sz w:val="22"/>
          <w:szCs w:val="22"/>
        </w:rPr>
        <w:t xml:space="preserve">Keeping these areas separate helps your firm maintain accurate client records. For example, when a business has multiple owners, employees, or related companies, update the appropriate contact or relationship record instead of replacing information on the primary client profile.</w:t>
      </w:r>
    </w:p>
    <w:p>
      <w:pPr>
        <w:spacing w:after="40" w:before="70"/>
        <w:ind w:left="403"/>
      </w:pPr>
      <w:r>
        <w:rPr>
          <w:color w:val="8B8FA3"/>
          <w:sz w:val="17"/>
          <w:szCs w:val="17"/>
        </w:rPr>
        <w:t xml:space="preserve">Ref: pro-what-information-is-kept-on-the-client-info-tab-37</w:t>
      </w:r>
    </w:p>
    <w:p>
      <w:pPr>
        <w:keepNext/>
        <w:spacing w:after="90" w:before="220"/>
      </w:pPr>
      <w:r>
        <w:rPr>
          <w:b/>
          <w:bCs/>
          <w:color w:val="1A1C2E"/>
          <w:sz w:val="24"/>
          <w:szCs w:val="24"/>
        </w:rPr>
        <w:t xml:space="preserve">8.   Can a client have multiple contacts and relationship details?</w:t>
      </w:r>
    </w:p>
    <w:p>
      <w:pPr>
        <w:spacing w:after="90"/>
        <w:ind w:left="403"/>
      </w:pPr>
      <w:r>
        <w:rPr>
          <w:sz w:val="22"/>
          <w:szCs w:val="22"/>
        </w:rPr>
        <w:t xml:space="preserve">Yes. A client record can include multiple Contacts, Related Entities, and Account Roles, allowing your firm to maintain the different people and relationships associated with the client without combining them into the primary client record.</w:t>
      </w:r>
    </w:p>
    <w:p>
      <w:pPr>
        <w:spacing w:after="90"/>
        <w:ind w:left="403"/>
      </w:pPr>
      <w:r>
        <w:rPr>
          <w:b/>
          <w:bCs/>
          <w:color w:val="4735BE"/>
          <w:sz w:val="18"/>
          <w:szCs w:val="18"/>
        </w:rPr>
        <w:t xml:space="preserve">More   </w:t>
      </w:r>
      <w:r>
        <w:rPr>
          <w:sz w:val="22"/>
          <w:szCs w:val="22"/>
        </w:rPr>
        <w:t xml:space="preserve">For example, a business client may have separate contacts for an owner or partner, bookkeeper or controller, payroll contact, accounts payable contact, authorized signer, and other client representatives. Related Entities can be used to record connected businesses or entities, while Account Roles help identify the role or relationship each person has with the client.</w:t>
      </w:r>
    </w:p>
    <w:p>
      <w:pPr>
        <w:spacing w:after="90"/>
        <w:ind w:left="403"/>
      </w:pPr>
      <w:r>
        <w:rPr>
          <w:b/>
          <w:bCs/>
          <w:color w:val="4735BE"/>
          <w:sz w:val="18"/>
          <w:szCs w:val="18"/>
        </w:rPr>
        <w:t xml:space="preserve">More   </w:t>
      </w:r>
      <w:r>
        <w:rPr>
          <w:sz w:val="22"/>
          <w:szCs w:val="22"/>
        </w:rPr>
        <w:t xml:space="preserve">Keeping these relationships separate allows firm users to work with the correct person or entity when managing client communications, portal access, document requests, engagement activity, and other client-facing work. For example, an engagement letter may need to go to an authorized signer, while a bookkeeping document request may need to go to the client's bookkeeper — maintaining separate contacts and roles helps your firm direct each interaction to the appropriate person.</w:t>
      </w:r>
    </w:p>
    <w:p>
      <w:pPr>
        <w:spacing w:after="40" w:before="70"/>
        <w:ind w:left="403"/>
      </w:pPr>
      <w:r>
        <w:rPr>
          <w:color w:val="8B8FA3"/>
          <w:sz w:val="17"/>
          <w:szCs w:val="17"/>
        </w:rPr>
        <w:t xml:space="preserve">Ref: pro-can-a-client-have-multiple-contacts-and-relationship-details-38</w:t>
      </w:r>
    </w:p>
    <w:p>
      <w:pPr>
        <w:keepNext/>
        <w:spacing w:after="90" w:before="220"/>
      </w:pPr>
      <w:r>
        <w:rPr>
          <w:b/>
          <w:bCs/>
          <w:color w:val="1A1C2E"/>
          <w:sz w:val="24"/>
          <w:szCs w:val="24"/>
        </w:rPr>
        <w:t xml:space="preserve">9.   How does AssurePro help complete a client profile?</w:t>
      </w:r>
    </w:p>
    <w:p>
      <w:pPr>
        <w:spacing w:after="90"/>
        <w:ind w:left="403"/>
      </w:pPr>
      <w:r>
        <w:rPr>
          <w:sz w:val="22"/>
          <w:szCs w:val="22"/>
        </w:rPr>
        <w:t xml:space="preserve">The Info tab includes a profile-completeness checklist that helps firm users identify missing client information during onboarding and ongoing account maintenance.</w:t>
      </w:r>
    </w:p>
    <w:p>
      <w:pPr>
        <w:spacing w:after="90"/>
        <w:ind w:left="403"/>
      </w:pPr>
      <w:r>
        <w:rPr>
          <w:b/>
          <w:bCs/>
          <w:color w:val="4735BE"/>
          <w:sz w:val="18"/>
          <w:szCs w:val="18"/>
        </w:rPr>
        <w:t xml:space="preserve">More   </w:t>
      </w:r>
      <w:r>
        <w:rPr>
          <w:sz w:val="22"/>
          <w:szCs w:val="22"/>
        </w:rPr>
        <w:t xml:space="preserve">The checklist can highlight missing details such as contact information, mailing address, entity information, filing or reporting period, and other required client-profile fields. Firm users can complete the missing information directly from the client record.</w:t>
      </w:r>
    </w:p>
    <w:p>
      <w:pPr>
        <w:spacing w:after="90"/>
        <w:ind w:left="403"/>
      </w:pPr>
      <w:r>
        <w:rPr>
          <w:b/>
          <w:bCs/>
          <w:color w:val="4735BE"/>
          <w:sz w:val="18"/>
          <w:szCs w:val="18"/>
        </w:rPr>
        <w:t xml:space="preserve">More   </w:t>
      </w:r>
      <w:r>
        <w:rPr>
          <w:sz w:val="22"/>
          <w:szCs w:val="22"/>
        </w:rPr>
        <w:t xml:space="preserve">Treat profile completeness as an onboarding quality check, not just a completion score. Maintaining a complete and accurate client profile helps support downstream work such as engagement setup, document requests, client communications, engagement letters, billing, and reporting. Before starting live client work, review the checklist and complete the information your firm needs for that client and service.</w:t>
      </w:r>
    </w:p>
    <w:p>
      <w:pPr>
        <w:spacing w:after="40" w:before="70"/>
        <w:ind w:left="403"/>
      </w:pPr>
      <w:r>
        <w:rPr>
          <w:color w:val="8B8FA3"/>
          <w:sz w:val="17"/>
          <w:szCs w:val="17"/>
        </w:rPr>
        <w:t xml:space="preserve">Ref: pro-how-does-assurepro-help-complete-a-client-profile-39</w:t>
      </w:r>
    </w:p>
    <w:p>
      <w:pPr>
        <w:keepNext/>
        <w:spacing w:after="90" w:before="220"/>
      </w:pPr>
      <w:r>
        <w:rPr>
          <w:b/>
          <w:bCs/>
          <w:color w:val="1A1C2E"/>
          <w:sz w:val="24"/>
          <w:szCs w:val="24"/>
        </w:rPr>
        <w:t xml:space="preserve">10.   Can a portal invitation be sent again?</w:t>
      </w:r>
    </w:p>
    <w:p>
      <w:pPr>
        <w:spacing w:after="90"/>
        <w:ind w:left="403"/>
      </w:pPr>
      <w:r>
        <w:rPr>
          <w:sz w:val="22"/>
          <w:szCs w:val="22"/>
        </w:rPr>
        <w:t xml:space="preserve">Yes. Firm users can resend a client portal invitation when a client has not completed activation or needs a new invitation link.</w:t>
      </w:r>
    </w:p>
    <w:p>
      <w:pPr>
        <w:spacing w:after="90"/>
        <w:ind w:left="403"/>
      </w:pPr>
      <w:r>
        <w:rPr>
          <w:b/>
          <w:bCs/>
          <w:color w:val="4735BE"/>
          <w:sz w:val="18"/>
          <w:szCs w:val="18"/>
        </w:rPr>
        <w:t xml:space="preserve">More   </w:t>
      </w:r>
      <w:r>
        <w:rPr>
          <w:sz w:val="22"/>
          <w:szCs w:val="22"/>
        </w:rPr>
        <w:t xml:space="preserve">Before resending the invitation, confirm that the correct contact is being invited and that the email address on the client record is accurate.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record and select Info.</w:t>
      </w:r>
    </w:p>
    <w:p>
      <w:pPr>
        <w:pStyle w:val="ListParagraph"/>
        <w:numPr>
          <w:ilvl w:val="0"/>
          <w:numId w:val="2"/>
        </w:numPr>
        <w:spacing w:after="40"/>
        <w:ind w:left="892"/>
      </w:pPr>
      <w:r>
        <w:rPr>
          <w:sz w:val="21"/>
          <w:szCs w:val="21"/>
        </w:rPr>
        <w:t xml:space="preserve">Locate the contact who should have portal access.</w:t>
      </w:r>
    </w:p>
    <w:p>
      <w:pPr>
        <w:pStyle w:val="ListParagraph"/>
        <w:numPr>
          <w:ilvl w:val="0"/>
          <w:numId w:val="2"/>
        </w:numPr>
        <w:spacing w:after="40"/>
        <w:ind w:left="892"/>
      </w:pPr>
      <w:r>
        <w:rPr>
          <w:sz w:val="21"/>
          <w:szCs w:val="21"/>
        </w:rPr>
        <w:t xml:space="preserve">Confirm that the contact's email address is correct.</w:t>
      </w:r>
    </w:p>
    <w:p>
      <w:pPr>
        <w:pStyle w:val="ListParagraph"/>
        <w:numPr>
          <w:ilvl w:val="0"/>
          <w:numId w:val="2"/>
        </w:numPr>
        <w:spacing w:after="40"/>
        <w:ind w:left="892"/>
      </w:pPr>
      <w:r>
        <w:rPr>
          <w:sz w:val="21"/>
          <w:szCs w:val="21"/>
        </w:rPr>
        <w:t xml:space="preserve">Select Resend invite.</w:t>
      </w:r>
    </w:p>
    <w:p>
      <w:pPr>
        <w:pStyle w:val="ListParagraph"/>
        <w:numPr>
          <w:ilvl w:val="0"/>
          <w:numId w:val="2"/>
        </w:numPr>
        <w:spacing w:after="40"/>
        <w:ind w:left="892"/>
      </w:pPr>
      <w:r>
        <w:rPr>
          <w:sz w:val="21"/>
          <w:szCs w:val="21"/>
        </w:rPr>
        <w:t xml:space="preserve">Ask the client to open the most recent invitation email and complete the activation steps, including email verification and password setup where prompted.</w:t>
      </w:r>
    </w:p>
    <w:p>
      <w:pPr>
        <w:pStyle w:val="ListParagraph"/>
        <w:numPr>
          <w:ilvl w:val="0"/>
          <w:numId w:val="2"/>
        </w:numPr>
        <w:spacing w:after="40"/>
        <w:ind w:left="892"/>
      </w:pPr>
      <w:r>
        <w:rPr>
          <w:sz w:val="21"/>
          <w:szCs w:val="21"/>
        </w:rPr>
        <w:t xml:space="preserve">Confirm successful portal access using the available portal-access status or client activity history.</w:t>
      </w:r>
    </w:p>
    <w:p>
      <w:pPr>
        <w:pStyle w:val="ListParagraph"/>
        <w:numPr>
          <w:ilvl w:val="0"/>
          <w:numId w:val="2"/>
        </w:numPr>
        <w:spacing w:after="40"/>
        <w:ind w:left="892"/>
      </w:pPr>
      <w:r>
        <w:rPr>
          <w:sz w:val="21"/>
          <w:szCs w:val="21"/>
        </w:rPr>
        <w:t xml:space="preserve">If multiple invitation emails have been sent, the client should use the newest one because an older invitation link may no longer be valid.</w:t>
      </w:r>
    </w:p>
    <w:p>
      <w:pPr>
        <w:spacing w:after="40" w:before="70"/>
        <w:ind w:left="403"/>
      </w:pPr>
      <w:r>
        <w:rPr>
          <w:color w:val="8B8FA3"/>
          <w:sz w:val="17"/>
          <w:szCs w:val="17"/>
        </w:rPr>
        <w:t xml:space="preserve">Ref: pro-can-a-portal-invitation-be-sent-again-40</w:t>
      </w:r>
    </w:p>
    <w:p>
      <w:pPr>
        <w:keepNext/>
        <w:spacing w:after="90" w:before="220"/>
      </w:pPr>
      <w:r>
        <w:rPr>
          <w:b/>
          <w:bCs/>
          <w:color w:val="1A1C2E"/>
          <w:sz w:val="24"/>
          <w:szCs w:val="24"/>
        </w:rPr>
        <w:t xml:space="preserve">11.   What can a client do through the client portal?</w:t>
      </w:r>
    </w:p>
    <w:p>
      <w:pPr>
        <w:spacing w:after="90"/>
        <w:ind w:left="403"/>
      </w:pPr>
      <w:r>
        <w:rPr>
          <w:sz w:val="22"/>
          <w:szCs w:val="22"/>
        </w:rPr>
        <w:t xml:space="preserve">The client portal gives clients a secure, client-facing space to complete the activities your firm makes available to them.</w:t>
      </w:r>
    </w:p>
    <w:p>
      <w:pPr>
        <w:spacing w:after="90"/>
        <w:ind w:left="403"/>
      </w:pPr>
      <w:r>
        <w:rPr>
          <w:b/>
          <w:bCs/>
          <w:color w:val="4735BE"/>
          <w:sz w:val="18"/>
          <w:szCs w:val="18"/>
        </w:rPr>
        <w:t xml:space="preserve">More   </w:t>
      </w:r>
      <w:r>
        <w:rPr>
          <w:sz w:val="22"/>
          <w:szCs w:val="22"/>
        </w:rPr>
        <w:t xml:space="preserve">Depending on the services and features enabled, clients can review and sign engagement letters, respond to document requests, upload requested files and supporting documents, exchange messages with the firm, review invoices, and pay invoices when online payment is enabled.</w:t>
      </w:r>
    </w:p>
    <w:p>
      <w:pPr>
        <w:spacing w:after="90"/>
        <w:ind w:left="403"/>
      </w:pPr>
      <w:r>
        <w:rPr>
          <w:b/>
          <w:bCs/>
          <w:color w:val="4735BE"/>
          <w:sz w:val="18"/>
          <w:szCs w:val="18"/>
        </w:rPr>
        <w:t xml:space="preserve">More   </w:t>
      </w:r>
      <w:r>
        <w:rPr>
          <w:sz w:val="22"/>
          <w:szCs w:val="22"/>
        </w:rPr>
        <w:t xml:space="preserve">Portal access typically begins with an invitation sent during client onboarding or from the client's Info tab. A common client workflow is to accept the portal invitation, set up account access, review requests from the firm, upload required documents, sign the engagement package, and pay an invoice when online payment is enabled.</w:t>
      </w:r>
    </w:p>
    <w:p>
      <w:pPr>
        <w:spacing w:after="90"/>
        <w:ind w:left="403"/>
      </w:pPr>
      <w:r>
        <w:rPr>
          <w:b/>
          <w:bCs/>
          <w:color w:val="4735BE"/>
          <w:sz w:val="18"/>
          <w:szCs w:val="18"/>
        </w:rPr>
        <w:t xml:space="preserve">More   </w:t>
      </w:r>
      <w:r>
        <w:rPr>
          <w:sz w:val="22"/>
          <w:szCs w:val="22"/>
        </w:rPr>
        <w:t xml:space="preserve">Clients see only the information and actions made available through the client-facing portal. They do not have access to the firm's internal AssurePro workspace, internal notes, assignments, or other firm-only information.</w:t>
      </w:r>
    </w:p>
    <w:p>
      <w:pPr>
        <w:spacing w:after="40" w:before="70"/>
        <w:ind w:left="403"/>
      </w:pPr>
      <w:r>
        <w:rPr>
          <w:color w:val="8B8FA3"/>
          <w:sz w:val="17"/>
          <w:szCs w:val="17"/>
        </w:rPr>
        <w:t xml:space="preserve">Ref: pro-what-can-a-client-do-through-the-client-portal-41</w:t>
      </w:r>
    </w:p>
    <w:p>
      <w:pPr>
        <w:keepNext/>
        <w:spacing w:after="90" w:before="220"/>
      </w:pPr>
      <w:r>
        <w:rPr>
          <w:b/>
          <w:bCs/>
          <w:color w:val="1A1C2E"/>
          <w:sz w:val="24"/>
          <w:szCs w:val="24"/>
        </w:rPr>
        <w:t xml:space="preserve">12.   Does a client set a password for the client portal, or use a passwordless link?</w:t>
      </w:r>
    </w:p>
    <w:p>
      <w:pPr>
        <w:spacing w:after="90"/>
        <w:ind w:left="403"/>
      </w:pPr>
      <w:r>
        <w:rPr>
          <w:sz w:val="22"/>
          <w:szCs w:val="22"/>
        </w:rPr>
        <w:t xml:space="preserve">Clients create an account password when activating their AssurePro client portal access. The invitation email is used to begin account activation; it is not a permanent passwordless sign-in link.</w:t>
      </w:r>
    </w:p>
    <w:p>
      <w:pPr>
        <w:spacing w:after="90"/>
        <w:ind w:left="403"/>
      </w:pPr>
      <w:r>
        <w:rPr>
          <w:b/>
          <w:bCs/>
          <w:color w:val="4735BE"/>
          <w:sz w:val="18"/>
          <w:szCs w:val="18"/>
        </w:rPr>
        <w:t xml:space="preserve">More   </w:t>
      </w:r>
      <w:r>
        <w:rPr>
          <w:sz w:val="22"/>
          <w:szCs w:val="22"/>
        </w:rPr>
        <w:t xml:space="preserve">The client typically opens the invitation sent to their email address, accepts the invitation, completes email verification when prompted, creates a password, and then uses the verified email address and password for future portal or mobile-app access. Client access activity, such as invitation acceptance or portal sign-in, may also appear in Recent Activity, giving firm users operational visibility into the activation process.</w:t>
      </w:r>
    </w:p>
    <w:p>
      <w:pPr>
        <w:spacing w:after="90"/>
        <w:ind w:left="403"/>
      </w:pPr>
      <w:r>
        <w:rPr>
          <w:b/>
          <w:bCs/>
          <w:color w:val="4735BE"/>
          <w:sz w:val="18"/>
          <w:szCs w:val="18"/>
        </w:rPr>
        <w:t xml:space="preserve">More   </w:t>
      </w:r>
      <w:r>
        <w:rPr>
          <w:sz w:val="22"/>
          <w:szCs w:val="22"/>
        </w:rPr>
        <w:t xml:space="preserve">If a client reports that the invitation link no longer works, first confirm that the correct email address is stored on the client record, then resend the portal invitation from the client's Info tab. Ask the client to use the most recent invitation email, complete any verification steps shown, and create or confirm their password before signing in again.</w:t>
      </w:r>
    </w:p>
    <w:p>
      <w:pPr>
        <w:spacing w:after="40" w:before="70"/>
        <w:ind w:left="403"/>
      </w:pPr>
      <w:r>
        <w:rPr>
          <w:color w:val="8B8FA3"/>
          <w:sz w:val="17"/>
          <w:szCs w:val="17"/>
        </w:rPr>
        <w:t xml:space="preserve">Ref: pro-does-a-client-set-a-password-for-the-client-portal-or-use-a-passwordle-42</w:t>
      </w:r>
    </w:p>
    <w:p>
      <w:pPr>
        <w:keepNext/>
        <w:spacing w:after="90" w:before="220"/>
      </w:pPr>
      <w:r>
        <w:rPr>
          <w:b/>
          <w:bCs/>
          <w:color w:val="1A1C2E"/>
          <w:sz w:val="24"/>
          <w:szCs w:val="24"/>
        </w:rPr>
        <w:t xml:space="preserve">13.   Is there a mobile app for clients?</w:t>
      </w:r>
    </w:p>
    <w:p>
      <w:pPr>
        <w:spacing w:after="90"/>
        <w:ind w:left="403"/>
      </w:pPr>
      <w:r>
        <w:rPr>
          <w:sz w:val="22"/>
          <w:szCs w:val="22"/>
        </w:rPr>
        <w:t xml:space="preserve">Yes. AssurePro provides a client mobile app for iOS and Android so clients can complete supported activities from a mobile device.</w:t>
      </w:r>
    </w:p>
    <w:p>
      <w:pPr>
        <w:spacing w:after="90"/>
        <w:ind w:left="403"/>
      </w:pPr>
      <w:r>
        <w:rPr>
          <w:b/>
          <w:bCs/>
          <w:color w:val="4735BE"/>
          <w:sz w:val="18"/>
          <w:szCs w:val="18"/>
        </w:rPr>
        <w:t xml:space="preserve">More   </w:t>
      </w:r>
      <w:r>
        <w:rPr>
          <w:sz w:val="22"/>
          <w:szCs w:val="22"/>
        </w:rPr>
        <w:t xml:space="preserve">Depending on what the firm makes available, clients can use the app to review requests from the firm, upload documents, exchange messages, review and sign documents, and review invoices or complete supported billing actions. A client must accept the firm's portal invitation and activate their account before using the app.</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Ask the client to open the invitation sent by the firm and complete account activation, including email verification and password setup.</w:t>
      </w:r>
    </w:p>
    <w:p>
      <w:pPr>
        <w:pStyle w:val="ListParagraph"/>
        <w:numPr>
          <w:ilvl w:val="0"/>
          <w:numId w:val="2"/>
        </w:numPr>
        <w:spacing w:after="40"/>
        <w:ind w:left="892"/>
      </w:pPr>
      <w:r>
        <w:rPr>
          <w:sz w:val="21"/>
          <w:szCs w:val="21"/>
        </w:rPr>
        <w:t xml:space="preserve">Install the AssurePro client app on an iOS or Android device and sign in with the same client account.</w:t>
      </w:r>
    </w:p>
    <w:p>
      <w:pPr>
        <w:pStyle w:val="ListParagraph"/>
        <w:numPr>
          <w:ilvl w:val="0"/>
          <w:numId w:val="2"/>
        </w:numPr>
        <w:spacing w:after="40"/>
        <w:ind w:left="892"/>
      </w:pPr>
      <w:r>
        <w:rPr>
          <w:sz w:val="21"/>
          <w:szCs w:val="21"/>
        </w:rPr>
        <w:t xml:space="preserve">Confirm that the relevant request, message, signing package, or invoice is available to the client before asking them to act.</w:t>
      </w:r>
    </w:p>
    <w:p>
      <w:pPr>
        <w:spacing w:after="40" w:before="70"/>
        <w:ind w:left="403"/>
      </w:pPr>
      <w:r>
        <w:rPr>
          <w:color w:val="8B8FA3"/>
          <w:sz w:val="17"/>
          <w:szCs w:val="17"/>
        </w:rPr>
        <w:t xml:space="preserve">Ref: pro-is-there-a-mobile-app-for-clients-43</w:t>
      </w:r>
    </w:p>
    <w:p>
      <w:pPr>
        <w:keepNext/>
        <w:spacing w:after="90" w:before="220"/>
      </w:pPr>
      <w:r>
        <w:rPr>
          <w:b/>
          <w:bCs/>
          <w:color w:val="1A1C2E"/>
          <w:sz w:val="24"/>
          <w:szCs w:val="24"/>
        </w:rPr>
        <w:t xml:space="preserve">14.   Can we migrate data from our previous practice-management software?</w:t>
      </w:r>
    </w:p>
    <w:p>
      <w:pPr>
        <w:spacing w:after="90"/>
        <w:ind w:left="403"/>
      </w:pPr>
      <w:r>
        <w:rPr>
          <w:sz w:val="22"/>
          <w:szCs w:val="22"/>
        </w:rPr>
        <w:t xml:space="preserve">Yes. The AssureOne implementation team can work with your firm to plan and execute a migration from an existing practice-management system into AssurePro.</w:t>
      </w:r>
    </w:p>
    <w:p>
      <w:pPr>
        <w:spacing w:after="90"/>
        <w:ind w:left="403"/>
      </w:pPr>
      <w:r>
        <w:rPr>
          <w:b/>
          <w:bCs/>
          <w:color w:val="4735BE"/>
          <w:sz w:val="18"/>
          <w:szCs w:val="18"/>
        </w:rPr>
        <w:t xml:space="preserve">More   </w:t>
      </w:r>
      <w:r>
        <w:rPr>
          <w:sz w:val="22"/>
          <w:szCs w:val="22"/>
        </w:rPr>
        <w:t xml:space="preserve">The exact migration scope is agreed during implementation and depends on factors such as the source practice-management system, available export formats, client and contact records to be migrated, historical information required by the firm, documents or other supporting data included in scope, field mapping between the source system and AssurePro, data quality and cleanup requirements, and cutover timing and rollout approach. The implementation team works with your firm to determine what information can be migrated and how it should map into AssurePro.</w:t>
      </w:r>
    </w:p>
    <w:p>
      <w:pPr>
        <w:spacing w:after="90"/>
        <w:ind w:left="403"/>
      </w:pPr>
      <w:r>
        <w:rPr>
          <w:b/>
          <w:bCs/>
          <w:color w:val="4735BE"/>
          <w:sz w:val="18"/>
          <w:szCs w:val="18"/>
        </w:rPr>
        <w:t xml:space="preserve">More   </w:t>
      </w:r>
      <w:r>
        <w:rPr>
          <w:sz w:val="22"/>
          <w:szCs w:val="22"/>
        </w:rPr>
        <w:t xml:space="preserve">Before the migrated data is used for live client work, your firm should review and validate key records, including client information, contacts, assignments, and other agreed migration data. Migration requirements can vary significantly between firms, so the final scope, validation process, and cutover plan should be agreed as part of the implementation process.</w:t>
      </w:r>
    </w:p>
    <w:p>
      <w:pPr>
        <w:spacing w:after="40" w:before="70"/>
        <w:ind w:left="403"/>
      </w:pPr>
      <w:r>
        <w:rPr>
          <w:color w:val="8B8FA3"/>
          <w:sz w:val="17"/>
          <w:szCs w:val="17"/>
        </w:rPr>
        <w:t xml:space="preserve">Ref: pro-can-we-migrate-data-from-our-previous-practice-management-software-44</w:t>
      </w:r>
    </w:p>
    <w:p>
      <w:pPr>
        <w:keepNext/>
        <w:spacing w:after="90" w:before="220"/>
      </w:pPr>
      <w:r>
        <w:rPr>
          <w:b/>
          <w:bCs/>
          <w:color w:val="1A1C2E"/>
          <w:sz w:val="24"/>
          <w:szCs w:val="24"/>
        </w:rPr>
        <w:t xml:space="preserve">15.   Does AssurePro include CRM capabilities?</w:t>
      </w:r>
    </w:p>
    <w:p>
      <w:pPr>
        <w:spacing w:after="90"/>
        <w:ind w:left="403"/>
      </w:pPr>
      <w:r>
        <w:rPr>
          <w:sz w:val="22"/>
          <w:szCs w:val="22"/>
        </w:rPr>
        <w:t xml:space="preserve">Yes. AssurePro includes CRM capabilities that allow your firm to manage both prospects and active client relationships within the same practice-management environment.</w:t>
      </w:r>
    </w:p>
    <w:p>
      <w:pPr>
        <w:spacing w:after="90"/>
        <w:ind w:left="403"/>
      </w:pPr>
      <w:r>
        <w:rPr>
          <w:b/>
          <w:bCs/>
          <w:color w:val="4735BE"/>
          <w:sz w:val="18"/>
          <w:szCs w:val="18"/>
        </w:rPr>
        <w:t xml:space="preserve">More   </w:t>
      </w:r>
      <w:r>
        <w:rPr>
          <w:sz w:val="22"/>
          <w:szCs w:val="22"/>
        </w:rPr>
        <w:t xml:space="preserve">For prospects, firm users can capture and manage prospect and contact details, assigned owner, lead source, service interest, expected close date, deal value, tags, qualification information, and notes and prospect activity. Prospects can then be managed through the firm's sales pipeline until the opportunity is won or otherwise closed. For example, your firm can add a referral as a prospect, assign a relationship owner, record the services being discussed, track the expected value and close date, and move the opportunity through stages such as Discovery and Proposal.</w:t>
      </w:r>
    </w:p>
    <w:p>
      <w:pPr>
        <w:spacing w:after="90"/>
        <w:ind w:left="403"/>
      </w:pPr>
      <w:r>
        <w:rPr>
          <w:b/>
          <w:bCs/>
          <w:color w:val="4735BE"/>
          <w:sz w:val="18"/>
          <w:szCs w:val="18"/>
        </w:rPr>
        <w:t xml:space="preserve">More   </w:t>
      </w:r>
      <w:r>
        <w:rPr>
          <w:sz w:val="22"/>
          <w:szCs w:val="22"/>
        </w:rPr>
        <w:t xml:space="preserve">When the prospect is moved to Won, the relationship can continue into client onboarding without recreating the client from the beginning. The resulting client workspace can then support contacts and relationship information, client portal access, documents, engagements and workflows, engagement letters, communications, and billing. This helps your firm maintain continuity from the initial prospect relationship through onboarding and ongoing client service.</w:t>
      </w:r>
    </w:p>
    <w:p>
      <w:pPr>
        <w:spacing w:after="40" w:before="70"/>
        <w:ind w:left="403"/>
      </w:pPr>
      <w:r>
        <w:rPr>
          <w:color w:val="8B8FA3"/>
          <w:sz w:val="17"/>
          <w:szCs w:val="17"/>
        </w:rPr>
        <w:t xml:space="preserve">Ref: pro-does-assurepro-include-crm-capabilities-45</w:t>
      </w:r>
    </w:p>
    <w:p>
      <w:pPr>
        <w:keepNext/>
        <w:spacing w:after="90" w:before="220"/>
      </w:pPr>
      <w:r>
        <w:rPr>
          <w:b/>
          <w:bCs/>
          <w:color w:val="1A1C2E"/>
          <w:sz w:val="24"/>
          <w:szCs w:val="24"/>
        </w:rPr>
        <w:t xml:space="preserve">16.   How are prospects managed before they become clients?</w:t>
      </w:r>
    </w:p>
    <w:p>
      <w:pPr>
        <w:spacing w:after="90"/>
        <w:ind w:left="403"/>
      </w:pPr>
      <w:r>
        <w:rPr>
          <w:sz w:val="22"/>
          <w:szCs w:val="22"/>
        </w:rPr>
        <w:t xml:space="preserve">AssurePro allows your firm to manage prospects through a configurable sales pipeline before they become clients.</w:t>
      </w:r>
    </w:p>
    <w:p>
      <w:pPr>
        <w:spacing w:after="90"/>
        <w:ind w:left="403"/>
      </w:pPr>
      <w:r>
        <w:rPr>
          <w:b/>
          <w:bCs/>
          <w:color w:val="4735BE"/>
          <w:sz w:val="18"/>
          <w:szCs w:val="18"/>
        </w:rPr>
        <w:t xml:space="preserve">More   </w:t>
      </w:r>
      <w:r>
        <w:rPr>
          <w:sz w:val="22"/>
          <w:szCs w:val="22"/>
        </w:rPr>
        <w:t xml:space="preserve">Prospects can be viewed in either Board or List view: Board view provides a visual view of prospects by pipeline stage and allows firm users to move opportunities as they progress, while List view makes it easier to search, filter, and compare prospect information across multiple opportunities.</w:t>
      </w:r>
    </w:p>
    <w:p>
      <w:pPr>
        <w:spacing w:after="90"/>
        <w:ind w:left="403"/>
      </w:pPr>
      <w:r>
        <w:rPr>
          <w:b/>
          <w:bCs/>
          <w:color w:val="4735BE"/>
          <w:sz w:val="18"/>
          <w:szCs w:val="18"/>
        </w:rPr>
        <w:t xml:space="preserve">More   </w:t>
      </w:r>
      <w:r>
        <w:rPr>
          <w:sz w:val="22"/>
          <w:szCs w:val="22"/>
        </w:rPr>
        <w:t xml:space="preserve">Your firm is not limited to a single predefined sales process — firm administrators can create pipelines and configure their stages to match how the practice qualifies, scopes, proposes, and closes new work, and stages can be added, renamed, reordered, or restructured to match how the firm actually sells. For example, a general pipeline might include New Lead, Discovery, Qualified, Proposal, Decision, and Won / Lost. Your firm can also maintain different pipelines for different service lines: an advisory pipeline may include Assessment and Scoping, while a tax pipeline may use stages that reflect the firm's tax-client acquisition process.</w:t>
      </w:r>
    </w:p>
    <w:p>
      <w:pPr>
        <w:spacing w:after="90"/>
        <w:ind w:left="403"/>
      </w:pPr>
      <w:r>
        <w:rPr>
          <w:b/>
          <w:bCs/>
          <w:color w:val="4735BE"/>
          <w:sz w:val="18"/>
          <w:szCs w:val="18"/>
        </w:rPr>
        <w:t xml:space="preserve">More   </w:t>
      </w:r>
      <w:r>
        <w:rPr>
          <w:sz w:val="22"/>
          <w:szCs w:val="22"/>
        </w:rPr>
        <w:t xml:space="preserve">Within each prospect record, firm users can manage prospect and contact details, assigned owner, service interest, tasks and follow-up activities, notes, emails and calls, deal value, expected close date, tags and qualification information, and engagement letter activity. The selected pipeline also provides visibility into measures such as lead count, pipeline value, won opportunities, won value, win rate, and average deal size, helping partners and other responsible firm users monitor business-development activity.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Prospects and select the pipeline used for the relevant service line or sales process.</w:t>
      </w:r>
    </w:p>
    <w:p>
      <w:pPr>
        <w:pStyle w:val="ListParagraph"/>
        <w:numPr>
          <w:ilvl w:val="0"/>
          <w:numId w:val="2"/>
        </w:numPr>
        <w:spacing w:after="40"/>
        <w:ind w:left="892"/>
      </w:pPr>
      <w:r>
        <w:rPr>
          <w:sz w:val="21"/>
          <w:szCs w:val="21"/>
        </w:rPr>
        <w:t xml:space="preserve">If needed, create or configure the pipeline and arrange its stages in the order your firm follows.</w:t>
      </w:r>
    </w:p>
    <w:p>
      <w:pPr>
        <w:pStyle w:val="ListParagraph"/>
        <w:numPr>
          <w:ilvl w:val="0"/>
          <w:numId w:val="2"/>
        </w:numPr>
        <w:spacing w:after="40"/>
        <w:ind w:left="892"/>
      </w:pPr>
      <w:r>
        <w:rPr>
          <w:sz w:val="21"/>
          <w:szCs w:val="21"/>
        </w:rPr>
        <w:t xml:space="preserve">Use Board view to review and move prospects through stages, or List view to search, filter, and compare prospect records.</w:t>
      </w:r>
    </w:p>
    <w:p>
      <w:pPr>
        <w:pStyle w:val="ListParagraph"/>
        <w:numPr>
          <w:ilvl w:val="0"/>
          <w:numId w:val="2"/>
        </w:numPr>
        <w:spacing w:after="40"/>
        <w:ind w:left="892"/>
      </w:pPr>
      <w:r>
        <w:rPr>
          <w:sz w:val="21"/>
          <w:szCs w:val="21"/>
        </w:rPr>
        <w:t xml:space="preserve">Open a prospect to update its owner, service interest, tasks, notes, communications, deal information, expected close date, and other qualification details.</w:t>
      </w:r>
    </w:p>
    <w:p>
      <w:pPr>
        <w:pStyle w:val="ListParagraph"/>
        <w:numPr>
          <w:ilvl w:val="0"/>
          <w:numId w:val="2"/>
        </w:numPr>
        <w:spacing w:after="40"/>
        <w:ind w:left="892"/>
      </w:pPr>
      <w:r>
        <w:rPr>
          <w:sz w:val="21"/>
          <w:szCs w:val="21"/>
        </w:rPr>
        <w:t xml:space="preserve">Review pipeline metrics to understand the volume, value, and progress of prospective work.</w:t>
      </w:r>
    </w:p>
    <w:p>
      <w:pPr>
        <w:pStyle w:val="ListParagraph"/>
        <w:numPr>
          <w:ilvl w:val="0"/>
          <w:numId w:val="2"/>
        </w:numPr>
        <w:spacing w:after="40"/>
        <w:ind w:left="892"/>
      </w:pPr>
      <w:r>
        <w:rPr>
          <w:sz w:val="21"/>
          <w:szCs w:val="21"/>
        </w:rPr>
        <w:t xml:space="preserve">When the opportunity is accepted, move the prospect to Won.</w:t>
      </w:r>
    </w:p>
    <w:p>
      <w:pPr>
        <w:pStyle w:val="ListParagraph"/>
        <w:numPr>
          <w:ilvl w:val="0"/>
          <w:numId w:val="2"/>
        </w:numPr>
        <w:spacing w:after="40"/>
        <w:ind w:left="892"/>
      </w:pPr>
      <w:r>
        <w:rPr>
          <w:sz w:val="21"/>
          <w:szCs w:val="21"/>
        </w:rPr>
        <w:t xml:space="preserve">AssurePro then converts the prospect into a client record and carries forward the relevant prospect information into the client relationship, so firm users do not need to recreate the client from the beginning.</w:t>
      </w:r>
    </w:p>
    <w:p>
      <w:pPr>
        <w:pStyle w:val="ListParagraph"/>
        <w:numPr>
          <w:ilvl w:val="0"/>
          <w:numId w:val="2"/>
        </w:numPr>
        <w:spacing w:after="40"/>
        <w:ind w:left="892"/>
      </w:pPr>
      <w:r>
        <w:rPr>
          <w:sz w:val="21"/>
          <w:szCs w:val="21"/>
        </w:rPr>
        <w:t xml:space="preserve">Open the new client record and complete any client-specific information that was not captured during the prospect stage, such as portal access, firm assignments, folder structure, contacts, or engagement setup.</w:t>
      </w:r>
    </w:p>
    <w:p>
      <w:pPr>
        <w:pStyle w:val="ListParagraph"/>
        <w:numPr>
          <w:ilvl w:val="0"/>
          <w:numId w:val="2"/>
        </w:numPr>
        <w:spacing w:after="40"/>
        <w:ind w:left="892"/>
      </w:pPr>
      <w:r>
        <w:rPr>
          <w:sz w:val="21"/>
          <w:szCs w:val="21"/>
        </w:rPr>
        <w:t xml:space="preserve">Moving a prospect to Won should be treated as the transition from business development to client onboarding. The prospect history is retained for continuity, while ongoing client work is managed from the client record.</w:t>
      </w:r>
    </w:p>
    <w:p>
      <w:pPr>
        <w:spacing w:after="40" w:before="70"/>
        <w:ind w:left="403"/>
      </w:pPr>
      <w:r>
        <w:rPr>
          <w:color w:val="8B8FA3"/>
          <w:sz w:val="17"/>
          <w:szCs w:val="17"/>
        </w:rPr>
        <w:t xml:space="preserve">Ref: pro-how-are-prospects-managed-before-they-become-clients-46</w:t>
      </w:r>
    </w:p>
    <w:p>
      <w:pPr>
        <w:keepNext/>
        <w:spacing w:after="90" w:before="220"/>
      </w:pPr>
      <w:r>
        <w:rPr>
          <w:b/>
          <w:bCs/>
          <w:color w:val="1A1C2E"/>
          <w:sz w:val="24"/>
          <w:szCs w:val="24"/>
        </w:rPr>
        <w:t xml:space="preserve">17.   How do I create a prospect?</w:t>
      </w:r>
    </w:p>
    <w:p>
      <w:pPr>
        <w:spacing w:after="90"/>
        <w:ind w:left="403"/>
      </w:pPr>
      <w:r>
        <w:rPr>
          <w:sz w:val="22"/>
          <w:szCs w:val="22"/>
        </w:rPr>
        <w:t xml:space="preserve">Create a prospect in AssurePro when your firm wants to track a potential client before the relationship is confirmed.</w:t>
      </w:r>
    </w:p>
    <w:p>
      <w:pPr>
        <w:spacing w:after="90"/>
        <w:ind w:left="403"/>
      </w:pPr>
      <w:r>
        <w:rPr>
          <w:b/>
          <w:bCs/>
          <w:color w:val="4735BE"/>
          <w:sz w:val="18"/>
          <w:szCs w:val="18"/>
        </w:rPr>
        <w:t xml:space="preserve">More   </w:t>
      </w:r>
      <w:r>
        <w:rPr>
          <w:sz w:val="22"/>
          <w:szCs w:val="22"/>
        </w:rPr>
        <w:t xml:space="preserve">A prospect can be added directly to the appropriate sales pipeline and stage, along with the information your firm needs to qualify, follow up, and manage the opportunity.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Prospects and select New prospect.</w:t>
      </w:r>
    </w:p>
    <w:p>
      <w:pPr>
        <w:pStyle w:val="ListParagraph"/>
        <w:numPr>
          <w:ilvl w:val="0"/>
          <w:numId w:val="2"/>
        </w:numPr>
        <w:spacing w:after="40"/>
        <w:ind w:left="892"/>
      </w:pPr>
      <w:r>
        <w:rPr>
          <w:sz w:val="21"/>
          <w:szCs w:val="21"/>
        </w:rPr>
        <w:t xml:space="preserve">Enter the required prospect name and email address.</w:t>
      </w:r>
    </w:p>
    <w:p>
      <w:pPr>
        <w:pStyle w:val="ListParagraph"/>
        <w:numPr>
          <w:ilvl w:val="0"/>
          <w:numId w:val="2"/>
        </w:numPr>
        <w:spacing w:after="40"/>
        <w:ind w:left="892"/>
      </w:pPr>
      <w:r>
        <w:rPr>
          <w:sz w:val="21"/>
          <w:szCs w:val="21"/>
        </w:rPr>
        <w:t xml:space="preserve">Add any additional information that applies, such as: Company, Phone number, Pipeline and stage, Lead source, Assigned owner, Deal value, Expected close date, Tags, Lead type, Referrer, Industry, Company size, Job role or designation, Service interest, Linked contact.</w:t>
      </w:r>
    </w:p>
    <w:p>
      <w:pPr>
        <w:pStyle w:val="ListParagraph"/>
        <w:numPr>
          <w:ilvl w:val="0"/>
          <w:numId w:val="2"/>
        </w:numPr>
        <w:spacing w:after="40"/>
        <w:ind w:left="892"/>
      </w:pPr>
      <w:r>
        <w:rPr>
          <w:sz w:val="21"/>
          <w:szCs w:val="21"/>
        </w:rPr>
        <w:t xml:space="preserve">Review the information and select Add prospect.</w:t>
      </w:r>
    </w:p>
    <w:p>
      <w:pPr>
        <w:pStyle w:val="ListParagraph"/>
        <w:numPr>
          <w:ilvl w:val="0"/>
          <w:numId w:val="2"/>
        </w:numPr>
        <w:spacing w:after="40"/>
        <w:ind w:left="892"/>
      </w:pPr>
      <w:r>
        <w:rPr>
          <w:sz w:val="21"/>
          <w:szCs w:val="21"/>
        </w:rPr>
        <w:t xml:space="preserve">Confirm that the prospect appears in the intended pipeline and stage.</w:t>
      </w:r>
    </w:p>
    <w:p>
      <w:pPr>
        <w:pStyle w:val="ListParagraph"/>
        <w:numPr>
          <w:ilvl w:val="0"/>
          <w:numId w:val="2"/>
        </w:numPr>
        <w:spacing w:after="40"/>
        <w:ind w:left="892"/>
      </w:pPr>
      <w:r>
        <w:rPr>
          <w:sz w:val="21"/>
          <w:szCs w:val="21"/>
        </w:rPr>
        <w:t xml:space="preserve">Review the assigned owner and expected close date, then add a task, note, or other next action where appropriate.</w:t>
      </w:r>
    </w:p>
    <w:p>
      <w:pPr>
        <w:pStyle w:val="ListParagraph"/>
        <w:numPr>
          <w:ilvl w:val="0"/>
          <w:numId w:val="2"/>
        </w:numPr>
        <w:spacing w:after="40"/>
        <w:ind w:left="892"/>
      </w:pPr>
      <w:r>
        <w:rPr>
          <w:sz w:val="21"/>
          <w:szCs w:val="21"/>
        </w:rPr>
        <w:t xml:space="preserve">As the opportunity progresses, update the prospect record and move it through the relevant pipeline stages. When the opportunity is accepted, move the prospect to Won so AssurePro can convert it into a client record while retaining the relevant prospect history.</w:t>
      </w:r>
    </w:p>
    <w:p>
      <w:pPr>
        <w:spacing w:after="40" w:before="70"/>
        <w:ind w:left="403"/>
      </w:pPr>
      <w:r>
        <w:rPr>
          <w:color w:val="8B8FA3"/>
          <w:sz w:val="17"/>
          <w:szCs w:val="17"/>
        </w:rPr>
        <w:t xml:space="preserve">Ref: pro-how-do-i-create-a-prospect-47</w:t>
      </w:r>
    </w:p>
    <w:p>
      <w:pPr>
        <w:keepNext/>
        <w:spacing w:after="90" w:before="220"/>
      </w:pPr>
      <w:r>
        <w:rPr>
          <w:b/>
          <w:bCs/>
          <w:color w:val="1A1C2E"/>
          <w:sz w:val="24"/>
          <w:szCs w:val="24"/>
        </w:rPr>
        <w:t xml:space="preserve">18.   What information can be captured for a prospect?</w:t>
      </w:r>
    </w:p>
    <w:p>
      <w:pPr>
        <w:spacing w:after="90"/>
        <w:ind w:left="403"/>
      </w:pPr>
      <w:r>
        <w:rPr>
          <w:sz w:val="22"/>
          <w:szCs w:val="22"/>
        </w:rPr>
        <w:t xml:space="preserve">A prospect record can store the information your firm needs to qualify, manage, and follow up on a potential client before the relationship is converted into an active client.</w:t>
      </w:r>
    </w:p>
    <w:p>
      <w:pPr>
        <w:spacing w:after="90"/>
        <w:ind w:left="403"/>
      </w:pPr>
      <w:r>
        <w:rPr>
          <w:b/>
          <w:bCs/>
          <w:color w:val="4735BE"/>
          <w:sz w:val="18"/>
          <w:szCs w:val="18"/>
        </w:rPr>
        <w:t xml:space="preserve">More   </w:t>
      </w:r>
      <w:r>
        <w:rPr>
          <w:sz w:val="22"/>
          <w:szCs w:val="22"/>
        </w:rPr>
        <w:t xml:space="preserve">Standard prospect information can include contact and company details, pipeline and stage, lead source, assigned owner, expected close date, deal value, service interest, tags, lead type and referrer, industry and company size, job role or designation, and notes and qualification information.</w:t>
      </w:r>
    </w:p>
    <w:p>
      <w:pPr>
        <w:spacing w:after="90"/>
        <w:ind w:left="403"/>
      </w:pPr>
      <w:r>
        <w:rPr>
          <w:b/>
          <w:bCs/>
          <w:color w:val="4735BE"/>
          <w:sz w:val="18"/>
          <w:szCs w:val="18"/>
        </w:rPr>
        <w:t xml:space="preserve">More   </w:t>
      </w:r>
      <w:r>
        <w:rPr>
          <w:sz w:val="22"/>
          <w:szCs w:val="22"/>
        </w:rPr>
        <w:t xml:space="preserve">If the standard prospect fields do not capture information required by your firm's business-development or onboarding process, administrators can add Custom fields in Settings — for example, for the current accounting or practice-management system, number of entities, annual revenue range, fiscal year-end, tax jurisdictions, audit requirement, current service provider, preferred onboarding date, or other firm-specific qualification criteria.</w:t>
      </w:r>
    </w:p>
    <w:p>
      <w:pPr>
        <w:spacing w:after="90"/>
        <w:ind w:left="403"/>
      </w:pPr>
      <w:r>
        <w:rPr>
          <w:b/>
          <w:bCs/>
          <w:color w:val="4735BE"/>
          <w:sz w:val="18"/>
          <w:szCs w:val="18"/>
        </w:rPr>
        <w:t xml:space="preserve">More   </w:t>
      </w:r>
      <w:r>
        <w:rPr>
          <w:sz w:val="22"/>
          <w:szCs w:val="22"/>
        </w:rPr>
        <w:t xml:space="preserve">Use clear field names and consistent field types so partners, managers, and business-development users capture information in the same way across prospects. Well-designed Custom fields also help preserve useful qualification information when the prospect is converted to a client, reducing the need to collect the same information again during onboarding.</w:t>
      </w:r>
    </w:p>
    <w:p>
      <w:pPr>
        <w:spacing w:after="40" w:before="70"/>
        <w:ind w:left="403"/>
      </w:pPr>
      <w:r>
        <w:rPr>
          <w:color w:val="8B8FA3"/>
          <w:sz w:val="17"/>
          <w:szCs w:val="17"/>
        </w:rPr>
        <w:t xml:space="preserve">Ref: pro-what-information-can-be-captured-for-a-prospect-48</w:t>
      </w:r>
    </w:p>
    <w:p>
      <w:pPr>
        <w:keepNext/>
        <w:spacing w:after="90" w:before="220"/>
      </w:pPr>
      <w:r>
        <w:rPr>
          <w:b/>
          <w:bCs/>
          <w:color w:val="1A1C2E"/>
          <w:sz w:val="24"/>
          <w:szCs w:val="24"/>
        </w:rPr>
        <w:t xml:space="preserve">19.   What work can be managed from a prospect record?</w:t>
      </w:r>
    </w:p>
    <w:p>
      <w:pPr>
        <w:spacing w:after="90"/>
        <w:ind w:left="403"/>
      </w:pPr>
      <w:r>
        <w:rPr>
          <w:sz w:val="22"/>
          <w:szCs w:val="22"/>
        </w:rPr>
        <w:t xml:space="preserve">A prospect record gives firm users one place to manage the information and activities associated with a potential client before the relationship becomes active.</w:t>
      </w:r>
    </w:p>
    <w:p>
      <w:pPr>
        <w:spacing w:after="90"/>
        <w:ind w:left="403"/>
      </w:pPr>
      <w:r>
        <w:rPr>
          <w:b/>
          <w:bCs/>
          <w:color w:val="4735BE"/>
          <w:sz w:val="18"/>
          <w:szCs w:val="18"/>
        </w:rPr>
        <w:t xml:space="preserve">More   </w:t>
      </w:r>
      <w:r>
        <w:rPr>
          <w:sz w:val="22"/>
          <w:szCs w:val="22"/>
        </w:rPr>
        <w:t xml:space="preserve">Depending on your firm's configuration, the prospect record can include the following areas. Overview: key prospect, ownership, qualification, and pipeline information. Tasks: follow-ups and next actions assigned to firm users. Email: prospect-related email communication. Calls: calls and outreach activity. Engagement Letters: engagement-letter activity prepared during the proposal or closing process. Notes: internal notes from discovery calls, meetings, and other interactions. Pipeline and Stage: the prospect's current position in the firm's sales process.</w:t>
      </w:r>
    </w:p>
    <w:p>
      <w:pPr>
        <w:spacing w:after="90"/>
        <w:ind w:left="403"/>
      </w:pPr>
      <w:r>
        <w:rPr>
          <w:b/>
          <w:bCs/>
          <w:color w:val="4735BE"/>
          <w:sz w:val="18"/>
          <w:szCs w:val="18"/>
        </w:rPr>
        <w:t xml:space="preserve">More   </w:t>
      </w:r>
      <w:r>
        <w:rPr>
          <w:sz w:val="22"/>
          <w:szCs w:val="22"/>
        </w:rPr>
        <w:t xml:space="preserve">Firm users can also maintain the assigned owner, service interest, deal value, expected close date, tags, qualification details, and other firm-defined prospect information. Use the prospect record as the working history of the opportunity so tasks, communications, notes, and qualification details remain connected as the prospect moves through the pipeline.</w:t>
      </w:r>
    </w:p>
    <w:p>
      <w:pPr>
        <w:spacing w:after="40" w:before="70"/>
        <w:ind w:left="403"/>
      </w:pPr>
      <w:r>
        <w:rPr>
          <w:color w:val="8B8FA3"/>
          <w:sz w:val="17"/>
          <w:szCs w:val="17"/>
        </w:rPr>
        <w:t xml:space="preserve">Ref: pro-what-work-can-be-managed-from-a-prospect-record-49</w:t>
      </w:r>
    </w:p>
    <w:p>
      <w:pPr>
        <w:keepNext/>
        <w:spacing w:after="90" w:before="220"/>
      </w:pPr>
      <w:r>
        <w:rPr>
          <w:b/>
          <w:bCs/>
          <w:color w:val="1A1C2E"/>
          <w:sz w:val="24"/>
          <w:szCs w:val="24"/>
        </w:rPr>
        <w:t xml:space="preserve">20.   What is a typical prospect workflow in AssurePro?</w:t>
      </w:r>
    </w:p>
    <w:p>
      <w:pPr>
        <w:spacing w:after="90"/>
        <w:ind w:left="403"/>
      </w:pPr>
      <w:r>
        <w:rPr>
          <w:sz w:val="22"/>
          <w:szCs w:val="22"/>
        </w:rPr>
        <w:t xml:space="preserve">A prospect typically moves through a series of pipeline stages as your firm qualifies the opportunity and determines whether it should become a client.</w:t>
      </w:r>
    </w:p>
    <w:p>
      <w:pPr>
        <w:spacing w:after="90"/>
        <w:ind w:left="403"/>
      </w:pPr>
      <w:r>
        <w:rPr>
          <w:b/>
          <w:bCs/>
          <w:color w:val="4735BE"/>
          <w:sz w:val="18"/>
          <w:szCs w:val="18"/>
        </w:rPr>
        <w:t xml:space="preserve">More   </w:t>
      </w:r>
      <w:r>
        <w:rPr>
          <w:sz w:val="22"/>
          <w:szCs w:val="22"/>
        </w:rPr>
        <w:t xml:space="preserve">For example, a pipeline can run Prospect, Discovery, Proposal, then Won or Lost. A typical process: Prospect captures the lead, assigns an owner, records service interest, and creates the first follow-up task; Discovery documents calls and meetings, captures qualification details, and updates the expected deal value or close date; Proposal defines the proposed services, manages follow-up actions, and prepares or tracks the engagement letter.</w:t>
      </w:r>
    </w:p>
    <w:p>
      <w:pPr>
        <w:spacing w:after="90"/>
        <w:ind w:left="403"/>
      </w:pPr>
      <w:r>
        <w:rPr>
          <w:b/>
          <w:bCs/>
          <w:color w:val="4735BE"/>
          <w:sz w:val="18"/>
          <w:szCs w:val="18"/>
        </w:rPr>
        <w:t xml:space="preserve">More   </w:t>
      </w:r>
      <w:r>
        <w:rPr>
          <w:sz w:val="22"/>
          <w:szCs w:val="22"/>
        </w:rPr>
        <w:t xml:space="preserve">Won is used when the prospect has accepted the opportunity and is ready for client onboarding — AssurePro converts the prospect into a client record and carries forward the relevant prospect information. Lost is used when the opportunity will not proceed; the prospect stays available for historical reference but is not converted into a client. Firm users should keep updating the prospect's stage, next actions, communications, and notes as the opportunity progresses.</w:t>
      </w:r>
    </w:p>
    <w:p>
      <w:pPr>
        <w:spacing w:after="40" w:before="70"/>
        <w:ind w:left="403"/>
      </w:pPr>
      <w:r>
        <w:rPr>
          <w:color w:val="8B8FA3"/>
          <w:sz w:val="17"/>
          <w:szCs w:val="17"/>
        </w:rPr>
        <w:t xml:space="preserve">Ref: pro-what-is-a-typical-prospect-workflow-in-assurepro-174</w:t>
      </w:r>
    </w:p>
    <w:p>
      <w:r>
        <w:br w:type="page"/>
      </w:r>
    </w:p>
    <w:p>
      <w:pPr>
        <w:pStyle w:val="Heading1"/>
        <w:spacing w:after="40" w:before="60"/>
      </w:pPr>
      <w:r>
        <w:rPr>
          <w:b/>
          <w:bCs/>
          <w:color w:val="1A1C2E"/>
          <w:sz w:val="32"/>
          <w:szCs w:val="32"/>
        </w:rPr>
        <w:t xml:space="preserve">Documents</w:t>
      </w:r>
    </w:p>
    <w:p>
      <w:pPr>
        <w:pBdr>
          <w:bottom w:val="single" w:color="E4E2F0" w:sz="4"/>
        </w:pBdr>
        <w:spacing w:after="200"/>
      </w:pPr>
      <w:r>
        <w:rPr>
          <w:color w:val="8B8FA3"/>
          <w:sz w:val="20"/>
          <w:szCs w:val="20"/>
        </w:rPr>
        <w:t xml:space="preserve">14 questions</w:t>
      </w:r>
    </w:p>
    <w:p>
      <w:pPr>
        <w:keepNext/>
        <w:spacing w:after="90" w:before="220"/>
      </w:pPr>
      <w:r>
        <w:rPr>
          <w:b/>
          <w:bCs/>
          <w:color w:val="1A1C2E"/>
          <w:sz w:val="24"/>
          <w:szCs w:val="24"/>
        </w:rPr>
        <w:t xml:space="preserve">1.   How are documents organized across the firm?</w:t>
      </w:r>
    </w:p>
    <w:p>
      <w:pPr>
        <w:spacing w:after="90"/>
        <w:ind w:left="403"/>
      </w:pPr>
      <w:r>
        <w:rPr>
          <w:sz w:val="22"/>
          <w:szCs w:val="22"/>
        </w:rPr>
        <w:t xml:space="preserve">AssurePro organizes documents at both the firm level and the client level so users can quickly find missing, requested, uploaded, and completed documents.</w:t>
      </w:r>
    </w:p>
    <w:p>
      <w:pPr>
        <w:spacing w:after="90"/>
        <w:ind w:left="403"/>
      </w:pPr>
      <w:r>
        <w:rPr>
          <w:b/>
          <w:bCs/>
          <w:color w:val="4735BE"/>
          <w:sz w:val="18"/>
          <w:szCs w:val="18"/>
        </w:rPr>
        <w:t xml:space="preserve">More   </w:t>
      </w:r>
      <w:r>
        <w:rPr>
          <w:sz w:val="22"/>
          <w:szCs w:val="22"/>
        </w:rPr>
        <w:t xml:space="preserve">At the firm level, the Documents screen groups document activity by client and can highlight clients that are still waiting on required documents. Within an individual client workspace, documents are organized into folders and can be reviewed by source or purpose, including client uploads, document requests, engagement letters, tax returns, source documents, signed forms, correspondence, messaging-related files, and other miscellaneous documents.</w:t>
      </w:r>
    </w:p>
    <w:p>
      <w:pPr>
        <w:spacing w:after="90"/>
        <w:ind w:left="403"/>
      </w:pPr>
      <w:r>
        <w:rPr>
          <w:b/>
          <w:bCs/>
          <w:color w:val="4735BE"/>
          <w:sz w:val="18"/>
          <w:szCs w:val="18"/>
        </w:rPr>
        <w:t xml:space="preserve">More   </w:t>
      </w:r>
      <w:r>
        <w:rPr>
          <w:sz w:val="22"/>
          <w:szCs w:val="22"/>
        </w:rPr>
        <w:t xml:space="preserve">Use the firm-level Documents view to identify clients with outstanding document needs, then open the client workspace to review the actual files, folder structure, and request history. To keep document management consistent across the practice, use Folder Templates to standardize folder structures, use Document Types to classify documents consistently, and use available source filters to distinguish client uploads, requested documents, internal files, and imported files. This structure helps partners, managers, reviewers, and firm users locate the right documents without searching across separate client records or systems.</w:t>
      </w:r>
    </w:p>
    <w:p>
      <w:pPr>
        <w:spacing w:after="40" w:before="70"/>
        <w:ind w:left="403"/>
      </w:pPr>
      <w:r>
        <w:rPr>
          <w:color w:val="8B8FA3"/>
          <w:sz w:val="17"/>
          <w:szCs w:val="17"/>
        </w:rPr>
        <w:t xml:space="preserve">Ref: pro-how-are-documents-organized-across-the-firm-50</w:t>
      </w:r>
    </w:p>
    <w:p>
      <w:pPr>
        <w:keepNext/>
        <w:spacing w:after="90" w:before="220"/>
      </w:pPr>
      <w:r>
        <w:rPr>
          <w:b/>
          <w:bCs/>
          <w:color w:val="1A1C2E"/>
          <w:sz w:val="24"/>
          <w:szCs w:val="24"/>
        </w:rPr>
        <w:t xml:space="preserve">2.   Can firms standardize folder structures and document labels?</w:t>
      </w:r>
    </w:p>
    <w:p>
      <w:pPr>
        <w:spacing w:after="90"/>
        <w:ind w:left="403"/>
      </w:pPr>
      <w:r>
        <w:rPr>
          <w:sz w:val="22"/>
          <w:szCs w:val="22"/>
        </w:rPr>
        <w:t xml:space="preserve">Yes. Firm administrators can use the Documents settings to standardize how client files are organized and classified across the practice.</w:t>
      </w:r>
    </w:p>
    <w:p>
      <w:pPr>
        <w:spacing w:after="90"/>
        <w:ind w:left="403"/>
      </w:pPr>
      <w:r>
        <w:rPr>
          <w:b/>
          <w:bCs/>
          <w:color w:val="4735BE"/>
          <w:sz w:val="18"/>
          <w:szCs w:val="18"/>
        </w:rPr>
        <w:t xml:space="preserve">More   </w:t>
      </w:r>
      <w:r>
        <w:rPr>
          <w:sz w:val="22"/>
          <w:szCs w:val="22"/>
        </w:rPr>
        <w:t xml:space="preserve">The available configuration includes Folder Templates, Document Types, and Work Types. Administrators can use these settings to define reusable folder structures and document classifications, including folder names and hierarchy, document codes, document labels, categories, descriptions, custom fields, and active or inactive status.</w:t>
      </w:r>
    </w:p>
    <w:p>
      <w:pPr>
        <w:spacing w:after="90"/>
        <w:ind w:left="403"/>
      </w:pPr>
      <w:r>
        <w:rPr>
          <w:b/>
          <w:bCs/>
          <w:color w:val="4735BE"/>
          <w:sz w:val="18"/>
          <w:szCs w:val="18"/>
        </w:rPr>
        <w:t xml:space="preserve">More   </w:t>
      </w:r>
      <w:r>
        <w:rPr>
          <w:sz w:val="22"/>
          <w:szCs w:val="22"/>
        </w:rPr>
        <w:t xml:space="preserve">For example, a tax folder template might include Intake, Source Documents, Workpapers, Review, Filed Return, and Correspondence. Document Types can then be used to classify files such as W-2, 1099, K-1, identification documents, signed forms, or other tax records.</w:t>
      </w:r>
    </w:p>
    <w:p>
      <w:pPr>
        <w:spacing w:after="90"/>
        <w:ind w:left="403"/>
      </w:pPr>
      <w:r>
        <w:rPr>
          <w:b/>
          <w:bCs/>
          <w:color w:val="4735BE"/>
          <w:sz w:val="18"/>
          <w:szCs w:val="18"/>
        </w:rPr>
        <w:t xml:space="preserve">More   </w:t>
      </w:r>
      <w:r>
        <w:rPr>
          <w:sz w:val="22"/>
          <w:szCs w:val="22"/>
        </w:rPr>
        <w:t xml:space="preserve">Applying these standards during onboarding helps ensure that firm users work with a consistent document structure across similar clients and engagements. It also gives clients a more predictable experience when they are asked to upload or review documents.</w:t>
      </w:r>
    </w:p>
    <w:p>
      <w:pPr>
        <w:spacing w:after="40" w:before="70"/>
        <w:ind w:left="403"/>
      </w:pPr>
      <w:r>
        <w:rPr>
          <w:color w:val="8B8FA3"/>
          <w:sz w:val="17"/>
          <w:szCs w:val="17"/>
        </w:rPr>
        <w:t xml:space="preserve">Ref: pro-can-firms-standardize-folder-structures-and-document-labels-51</w:t>
      </w:r>
    </w:p>
    <w:p>
      <w:pPr>
        <w:keepNext/>
        <w:spacing w:after="90" w:before="220"/>
      </w:pPr>
      <w:r>
        <w:rPr>
          <w:b/>
          <w:bCs/>
          <w:color w:val="1A1C2E"/>
          <w:sz w:val="24"/>
          <w:szCs w:val="24"/>
        </w:rPr>
        <w:t xml:space="preserve">3.   How do I create or update a folder template?</w:t>
      </w:r>
    </w:p>
    <w:p>
      <w:pPr>
        <w:spacing w:after="90"/>
        <w:ind w:left="403"/>
      </w:pPr>
      <w:r>
        <w:rPr>
          <w:sz w:val="22"/>
          <w:szCs w:val="22"/>
        </w:rPr>
        <w:t xml:space="preserve">Firm administrators can create reusable Folder Templates to standardize how documents are organized for clients and recurring service types.</w:t>
      </w:r>
    </w:p>
    <w:p>
      <w:pPr>
        <w:spacing w:after="90"/>
        <w:ind w:left="403"/>
      </w:pPr>
      <w:r>
        <w:rPr>
          <w:b/>
          <w:bCs/>
          <w:color w:val="4735BE"/>
          <w:sz w:val="18"/>
          <w:szCs w:val="18"/>
        </w:rPr>
        <w:t xml:space="preserve">More   </w:t>
      </w:r>
      <w:r>
        <w:rPr>
          <w:sz w:val="22"/>
          <w:szCs w:val="22"/>
        </w:rPr>
        <w:t xml:space="preserve">A folder template should reflect a repeatable service or engagement structure rather than the needs of one exceptional client.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Documents.</w:t>
      </w:r>
    </w:p>
    <w:p>
      <w:pPr>
        <w:pStyle w:val="ListParagraph"/>
        <w:numPr>
          <w:ilvl w:val="0"/>
          <w:numId w:val="2"/>
        </w:numPr>
        <w:spacing w:after="40"/>
        <w:ind w:left="892"/>
      </w:pPr>
      <w:r>
        <w:rPr>
          <w:sz w:val="21"/>
          <w:szCs w:val="21"/>
        </w:rPr>
        <w:t xml:space="preserve">Stay on the Folder Templates tab.</w:t>
      </w:r>
    </w:p>
    <w:p>
      <w:pPr>
        <w:pStyle w:val="ListParagraph"/>
        <w:numPr>
          <w:ilvl w:val="0"/>
          <w:numId w:val="2"/>
        </w:numPr>
        <w:spacing w:after="40"/>
        <w:ind w:left="892"/>
      </w:pPr>
      <w:r>
        <w:rPr>
          <w:sz w:val="21"/>
          <w:szCs w:val="21"/>
        </w:rPr>
        <w:t xml:space="preserve">Select New template to create a new structure, or open an existing template to update it.</w:t>
      </w:r>
    </w:p>
    <w:p>
      <w:pPr>
        <w:pStyle w:val="ListParagraph"/>
        <w:numPr>
          <w:ilvl w:val="0"/>
          <w:numId w:val="2"/>
        </w:numPr>
        <w:spacing w:after="40"/>
        <w:ind w:left="892"/>
      </w:pPr>
      <w:r>
        <w:rPr>
          <w:sz w:val="21"/>
          <w:szCs w:val="21"/>
        </w:rPr>
        <w:t xml:space="preserve">Enter the template name and any other available details.</w:t>
      </w:r>
    </w:p>
    <w:p>
      <w:pPr>
        <w:pStyle w:val="ListParagraph"/>
        <w:numPr>
          <w:ilvl w:val="0"/>
          <w:numId w:val="2"/>
        </w:numPr>
        <w:spacing w:after="40"/>
        <w:ind w:left="892"/>
      </w:pPr>
      <w:r>
        <w:rPr>
          <w:sz w:val="21"/>
          <w:szCs w:val="21"/>
        </w:rPr>
        <w:t xml:space="preserve">Use Add Folder to create the required folders and build the hierarchy.</w:t>
      </w:r>
    </w:p>
    <w:p>
      <w:pPr>
        <w:pStyle w:val="ListParagraph"/>
        <w:numPr>
          <w:ilvl w:val="0"/>
          <w:numId w:val="2"/>
        </w:numPr>
        <w:spacing w:after="40"/>
        <w:ind w:left="892"/>
      </w:pPr>
      <w:r>
        <w:rPr>
          <w:sz w:val="21"/>
          <w:szCs w:val="21"/>
        </w:rPr>
        <w:t xml:space="preserve">Arrange the folders in the order and structure your firm wants users to follow.</w:t>
      </w:r>
    </w:p>
    <w:p>
      <w:pPr>
        <w:pStyle w:val="ListParagraph"/>
        <w:numPr>
          <w:ilvl w:val="0"/>
          <w:numId w:val="2"/>
        </w:numPr>
        <w:spacing w:after="40"/>
        <w:ind w:left="892"/>
      </w:pPr>
      <w:r>
        <w:rPr>
          <w:sz w:val="21"/>
          <w:szCs w:val="21"/>
        </w:rPr>
        <w:t xml:space="preserve">Save the template.</w:t>
      </w:r>
    </w:p>
    <w:p>
      <w:pPr>
        <w:pStyle w:val="ListParagraph"/>
        <w:numPr>
          <w:ilvl w:val="0"/>
          <w:numId w:val="2"/>
        </w:numPr>
        <w:spacing w:after="40"/>
        <w:ind w:left="892"/>
      </w:pPr>
      <w:r>
        <w:rPr>
          <w:sz w:val="21"/>
          <w:szCs w:val="21"/>
        </w:rPr>
        <w:t xml:space="preserve">Apply the template to a demo or internal client from the client's Documents tab to confirm that the folder names and hierarchy appear as expected.</w:t>
      </w:r>
    </w:p>
    <w:p>
      <w:pPr>
        <w:pStyle w:val="ListParagraph"/>
        <w:numPr>
          <w:ilvl w:val="0"/>
          <w:numId w:val="2"/>
        </w:numPr>
        <w:spacing w:after="40"/>
        <w:ind w:left="892"/>
      </w:pPr>
      <w:r>
        <w:rPr>
          <w:sz w:val="21"/>
          <w:szCs w:val="21"/>
        </w:rPr>
        <w:t xml:space="preserve">If the template should be applied automatically to future clients, select it under Settings &gt; Onboarding Defaults.</w:t>
      </w:r>
    </w:p>
    <w:p>
      <w:pPr>
        <w:pStyle w:val="ListParagraph"/>
        <w:numPr>
          <w:ilvl w:val="0"/>
          <w:numId w:val="2"/>
        </w:numPr>
        <w:spacing w:after="40"/>
        <w:ind w:left="892"/>
      </w:pPr>
      <w:r>
        <w:rPr>
          <w:sz w:val="21"/>
          <w:szCs w:val="21"/>
        </w:rPr>
        <w:t xml:space="preserve">For example, your firm may maintain separate folder templates for Individual Tax, Business Tax, Monthly Bookkeeping, Audit, or Advisory work so teams follow a consistent document structure across similar clients.</w:t>
      </w:r>
    </w:p>
    <w:p>
      <w:pPr>
        <w:spacing w:after="40" w:before="70"/>
        <w:ind w:left="403"/>
      </w:pPr>
      <w:r>
        <w:rPr>
          <w:color w:val="8B8FA3"/>
          <w:sz w:val="17"/>
          <w:szCs w:val="17"/>
        </w:rPr>
        <w:t xml:space="preserve">Ref: pro-how-do-i-create-or-update-a-folder-template-52</w:t>
      </w:r>
    </w:p>
    <w:p>
      <w:pPr>
        <w:keepNext/>
        <w:spacing w:after="90" w:before="220"/>
      </w:pPr>
      <w:r>
        <w:rPr>
          <w:b/>
          <w:bCs/>
          <w:color w:val="1A1C2E"/>
          <w:sz w:val="24"/>
          <w:szCs w:val="24"/>
        </w:rPr>
        <w:t xml:space="preserve">4.   What can be configured for Document Types?</w:t>
      </w:r>
    </w:p>
    <w:p>
      <w:pPr>
        <w:spacing w:after="90"/>
        <w:ind w:left="403"/>
      </w:pPr>
      <w:r>
        <w:rPr>
          <w:sz w:val="22"/>
          <w:szCs w:val="22"/>
        </w:rPr>
        <w:t xml:space="preserve">Document Types help your firm classify files consistently and define the information that should be captured for each type of document.</w:t>
      </w:r>
    </w:p>
    <w:p>
      <w:pPr>
        <w:spacing w:after="90"/>
        <w:ind w:left="403"/>
      </w:pPr>
      <w:r>
        <w:rPr>
          <w:b/>
          <w:bCs/>
          <w:color w:val="4735BE"/>
          <w:sz w:val="18"/>
          <w:szCs w:val="18"/>
        </w:rPr>
        <w:t xml:space="preserve">More   </w:t>
      </w:r>
      <w:r>
        <w:rPr>
          <w:sz w:val="22"/>
          <w:szCs w:val="22"/>
        </w:rPr>
        <w:t xml:space="preserve">Firm administrators can maintain document categories and create firm-specific Document Types with a name, description, category, code or label, custom fields, and active or inactive status. System-provided Document Types are identified separately from the definitions created by your firm.</w:t>
      </w:r>
    </w:p>
    <w:p>
      <w:pPr>
        <w:spacing w:after="90"/>
        <w:ind w:left="403"/>
      </w:pPr>
      <w:r>
        <w:rPr>
          <w:b/>
          <w:bCs/>
          <w:color w:val="4735BE"/>
          <w:sz w:val="18"/>
          <w:szCs w:val="18"/>
        </w:rPr>
        <w:t xml:space="preserve">More   </w:t>
      </w:r>
      <w:r>
        <w:rPr>
          <w:sz w:val="22"/>
          <w:szCs w:val="22"/>
        </w:rPr>
        <w:t xml:space="preserve">For example, your firm may maintain Document Types for items such as W-2, 1099, K-1, bank statement, identification document, signed engagement letter, or tax return. Each type can then carry the classification and additional information your firm needs when organizing or reviewing documents. Use clear and consistent Document Type names so partners, managers, reviewers, and firm users classify similar documents in the same way across clients and engagements.</w:t>
      </w:r>
    </w:p>
    <w:p>
      <w:pPr>
        <w:spacing w:after="40" w:before="70"/>
        <w:ind w:left="403"/>
      </w:pPr>
      <w:r>
        <w:rPr>
          <w:color w:val="8B8FA3"/>
          <w:sz w:val="17"/>
          <w:szCs w:val="17"/>
        </w:rPr>
        <w:t xml:space="preserve">Ref: pro-what-can-be-configured-for-document-types-53</w:t>
      </w:r>
    </w:p>
    <w:p>
      <w:pPr>
        <w:keepNext/>
        <w:spacing w:after="90" w:before="220"/>
      </w:pPr>
      <w:r>
        <w:rPr>
          <w:b/>
          <w:bCs/>
          <w:color w:val="1A1C2E"/>
          <w:sz w:val="24"/>
          <w:szCs w:val="24"/>
        </w:rPr>
        <w:t xml:space="preserve">5.   What is available under Work Types in Documents settings?</w:t>
      </w:r>
    </w:p>
    <w:p>
      <w:pPr>
        <w:spacing w:after="90"/>
        <w:ind w:left="403"/>
      </w:pPr>
      <w:r>
        <w:rPr>
          <w:sz w:val="22"/>
          <w:szCs w:val="22"/>
        </w:rPr>
        <w:t xml:space="preserve">Work Types define the categories of client work that can be used when your firm creates document-intake templates.</w:t>
      </w:r>
    </w:p>
    <w:p>
      <w:pPr>
        <w:spacing w:after="90"/>
        <w:ind w:left="403"/>
      </w:pPr>
      <w:r>
        <w:rPr>
          <w:b/>
          <w:bCs/>
          <w:color w:val="4735BE"/>
          <w:sz w:val="18"/>
          <w:szCs w:val="18"/>
        </w:rPr>
        <w:t xml:space="preserve">More   </w:t>
      </w:r>
      <w:r>
        <w:rPr>
          <w:sz w:val="22"/>
          <w:szCs w:val="22"/>
        </w:rPr>
        <w:t xml:space="preserve">They help organize document collection around the type of service being performed, such as Bookkeeping, Audit &amp; Assurance, Accounting, Advisory, and Tax. AssurePro includes system-provided Work Types, and firm administrators can also create additional custom Work Types when the standard options do not match the firm's service structure.</w:t>
      </w:r>
    </w:p>
    <w:p>
      <w:pPr>
        <w:spacing w:after="90"/>
        <w:ind w:left="403"/>
      </w:pPr>
      <w:r>
        <w:rPr>
          <w:b/>
          <w:bCs/>
          <w:color w:val="4735BE"/>
          <w:sz w:val="18"/>
          <w:szCs w:val="18"/>
        </w:rPr>
        <w:t xml:space="preserve">More   </w:t>
      </w:r>
      <w:r>
        <w:rPr>
          <w:sz w:val="22"/>
          <w:szCs w:val="22"/>
        </w:rPr>
        <w:t xml:space="preserve">A custom Work Type can include a code, label, description, and active or inactive status. For example, your firm may create separate Work Types for Individual Tax, Business Tax, Monthly Bookkeeping, Payroll, Financial Statement Audit, or Advisory work. Set a Work Type to Inactive when it should no longer be available for new document-intake setup, while preserving its use on existing documents.</w:t>
      </w:r>
    </w:p>
    <w:p>
      <w:pPr>
        <w:spacing w:after="40" w:before="70"/>
        <w:ind w:left="403"/>
      </w:pPr>
      <w:r>
        <w:rPr>
          <w:color w:val="8B8FA3"/>
          <w:sz w:val="17"/>
          <w:szCs w:val="17"/>
        </w:rPr>
        <w:t xml:space="preserve">Ref: pro-what-is-available-under-work-types-in-documents-settings-54</w:t>
      </w:r>
    </w:p>
    <w:p>
      <w:pPr>
        <w:keepNext/>
        <w:spacing w:after="90" w:before="220"/>
      </w:pPr>
      <w:r>
        <w:rPr>
          <w:b/>
          <w:bCs/>
          <w:color w:val="1A1C2E"/>
          <w:sz w:val="24"/>
          <w:szCs w:val="24"/>
        </w:rPr>
        <w:t xml:space="preserve">6.   How is a folder template applied to a client?</w:t>
      </w:r>
    </w:p>
    <w:p>
      <w:pPr>
        <w:spacing w:after="90"/>
        <w:ind w:left="403"/>
      </w:pPr>
      <w:r>
        <w:rPr>
          <w:sz w:val="22"/>
          <w:szCs w:val="22"/>
        </w:rPr>
        <w:t xml:space="preserve">Firm users can apply a Folder Template from the client's Documents tab to quickly create the standard folder structure used for that client or service.</w:t>
      </w:r>
    </w:p>
    <w:p>
      <w:pPr>
        <w:spacing w:after="90"/>
        <w:ind w:left="403"/>
      </w:pPr>
      <w:r>
        <w:rPr>
          <w:b/>
          <w:bCs/>
          <w:color w:val="4735BE"/>
          <w:sz w:val="18"/>
          <w:szCs w:val="18"/>
        </w:rPr>
        <w:t xml:space="preserve">More   </w:t>
      </w:r>
      <w:r>
        <w:rPr>
          <w:sz w:val="22"/>
          <w:szCs w:val="22"/>
        </w:rPr>
        <w:t xml:space="preserve">Applying a template adds the saved folders to the client workspace. It does not prevent firm users from adding additional folders when a client has requirements that fall outside the standard structure.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record and select Documents.</w:t>
      </w:r>
    </w:p>
    <w:p>
      <w:pPr>
        <w:pStyle w:val="ListParagraph"/>
        <w:numPr>
          <w:ilvl w:val="0"/>
          <w:numId w:val="2"/>
        </w:numPr>
        <w:spacing w:after="40"/>
        <w:ind w:left="892"/>
      </w:pPr>
      <w:r>
        <w:rPr>
          <w:sz w:val="21"/>
          <w:szCs w:val="21"/>
        </w:rPr>
        <w:t xml:space="preserve">Select Apply Template.</w:t>
      </w:r>
    </w:p>
    <w:p>
      <w:pPr>
        <w:pStyle w:val="ListParagraph"/>
        <w:numPr>
          <w:ilvl w:val="0"/>
          <w:numId w:val="2"/>
        </w:numPr>
        <w:spacing w:after="40"/>
        <w:ind w:left="892"/>
      </w:pPr>
      <w:r>
        <w:rPr>
          <w:sz w:val="21"/>
          <w:szCs w:val="21"/>
        </w:rPr>
        <w:t xml:space="preserve">Choose the Folder Template that matches the client's service, engagement, year, or reporting period.</w:t>
      </w:r>
    </w:p>
    <w:p>
      <w:pPr>
        <w:pStyle w:val="ListParagraph"/>
        <w:numPr>
          <w:ilvl w:val="0"/>
          <w:numId w:val="2"/>
        </w:numPr>
        <w:spacing w:after="40"/>
        <w:ind w:left="892"/>
      </w:pPr>
      <w:r>
        <w:rPr>
          <w:sz w:val="21"/>
          <w:szCs w:val="21"/>
        </w:rPr>
        <w:t xml:space="preserve">Review the folders that will be added.</w:t>
      </w:r>
    </w:p>
    <w:p>
      <w:pPr>
        <w:pStyle w:val="ListParagraph"/>
        <w:numPr>
          <w:ilvl w:val="0"/>
          <w:numId w:val="2"/>
        </w:numPr>
        <w:spacing w:after="40"/>
        <w:ind w:left="892"/>
      </w:pPr>
      <w:r>
        <w:rPr>
          <w:sz w:val="21"/>
          <w:szCs w:val="21"/>
        </w:rPr>
        <w:t xml:space="preserve">Apply the template.</w:t>
      </w:r>
    </w:p>
    <w:p>
      <w:pPr>
        <w:pStyle w:val="ListParagraph"/>
        <w:numPr>
          <w:ilvl w:val="0"/>
          <w:numId w:val="2"/>
        </w:numPr>
        <w:spacing w:after="40"/>
        <w:ind w:left="892"/>
      </w:pPr>
      <w:r>
        <w:rPr>
          <w:sz w:val="21"/>
          <w:szCs w:val="21"/>
        </w:rPr>
        <w:t xml:space="preserve">Use New Folder if the client needs an additional folder that is not part of the standard template.</w:t>
      </w:r>
    </w:p>
    <w:p>
      <w:pPr>
        <w:pStyle w:val="ListParagraph"/>
        <w:numPr>
          <w:ilvl w:val="0"/>
          <w:numId w:val="2"/>
        </w:numPr>
        <w:spacing w:after="40"/>
        <w:ind w:left="892"/>
      </w:pPr>
      <w:r>
        <w:rPr>
          <w:sz w:val="21"/>
          <w:szCs w:val="21"/>
        </w:rPr>
        <w:t xml:space="preserve">For example, a tax client may receive a standard structure such as Intake, Source Documents, Workpapers, Review, Filed Return, and Correspondence, and additional client-specific folders can still be added to it.</w:t>
      </w:r>
    </w:p>
    <w:p>
      <w:pPr>
        <w:pStyle w:val="ListParagraph"/>
        <w:numPr>
          <w:ilvl w:val="0"/>
          <w:numId w:val="2"/>
        </w:numPr>
        <w:spacing w:after="40"/>
        <w:ind w:left="892"/>
      </w:pPr>
      <w:r>
        <w:rPr>
          <w:sz w:val="21"/>
          <w:szCs w:val="21"/>
        </w:rPr>
        <w:t xml:space="preserve">If the same Folder Template should be used for most new clients, select it during client creation or configure it under Settings &gt; Onboarding Defaults.</w:t>
      </w:r>
    </w:p>
    <w:p>
      <w:pPr>
        <w:spacing w:after="40" w:before="70"/>
        <w:ind w:left="403"/>
      </w:pPr>
      <w:r>
        <w:rPr>
          <w:color w:val="8B8FA3"/>
          <w:sz w:val="17"/>
          <w:szCs w:val="17"/>
        </w:rPr>
        <w:t xml:space="preserve">Ref: pro-how-is-a-folder-template-applied-to-a-client-55</w:t>
      </w:r>
    </w:p>
    <w:p>
      <w:pPr>
        <w:keepNext/>
        <w:spacing w:after="90" w:before="220"/>
      </w:pPr>
      <w:r>
        <w:rPr>
          <w:b/>
          <w:bCs/>
          <w:color w:val="1A1C2E"/>
          <w:sz w:val="24"/>
          <w:szCs w:val="24"/>
        </w:rPr>
        <w:t xml:space="preserve">7.   How do I request documents from a client?</w:t>
      </w:r>
    </w:p>
    <w:p>
      <w:pPr>
        <w:spacing w:after="90"/>
        <w:ind w:left="403"/>
      </w:pPr>
      <w:r>
        <w:rPr>
          <w:sz w:val="22"/>
          <w:szCs w:val="22"/>
        </w:rPr>
        <w:t xml:space="preserve">Use a document request when your firm needs the client to provide specific files or information through the client portal.</w:t>
      </w:r>
    </w:p>
    <w:p>
      <w:pPr>
        <w:spacing w:after="90"/>
        <w:ind w:left="403"/>
      </w:pPr>
      <w:r>
        <w:rPr>
          <w:b/>
          <w:bCs/>
          <w:color w:val="4735BE"/>
          <w:sz w:val="18"/>
          <w:szCs w:val="18"/>
        </w:rPr>
        <w:t xml:space="preserve">More   </w:t>
      </w:r>
      <w:r>
        <w:rPr>
          <w:sz w:val="22"/>
          <w:szCs w:val="22"/>
        </w:rPr>
        <w:t xml:space="preserve">The request tells the client what is needed, where to provide it, and when it is due. Files uploaded in response remain connected to the request and the client workspace, allowing firm users to track outstanding items without relying on separate email follow-up.</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record and select Documents.</w:t>
      </w:r>
    </w:p>
    <w:p>
      <w:pPr>
        <w:pStyle w:val="ListParagraph"/>
        <w:numPr>
          <w:ilvl w:val="0"/>
          <w:numId w:val="2"/>
        </w:numPr>
        <w:spacing w:after="40"/>
        <w:ind w:left="892"/>
      </w:pPr>
      <w:r>
        <w:rPr>
          <w:sz w:val="21"/>
          <w:szCs w:val="21"/>
        </w:rPr>
        <w:t xml:space="preserve">Select Request.</w:t>
      </w:r>
    </w:p>
    <w:p>
      <w:pPr>
        <w:pStyle w:val="ListParagraph"/>
        <w:numPr>
          <w:ilvl w:val="0"/>
          <w:numId w:val="2"/>
        </w:numPr>
        <w:spacing w:after="40"/>
        <w:ind w:left="892"/>
      </w:pPr>
      <w:r>
        <w:rPr>
          <w:sz w:val="21"/>
          <w:szCs w:val="21"/>
        </w:rPr>
        <w:t xml:space="preserve">Describe each document or item the client needs to provide.</w:t>
      </w:r>
    </w:p>
    <w:p>
      <w:pPr>
        <w:pStyle w:val="ListParagraph"/>
        <w:numPr>
          <w:ilvl w:val="0"/>
          <w:numId w:val="2"/>
        </w:numPr>
        <w:spacing w:after="40"/>
        <w:ind w:left="892"/>
      </w:pPr>
      <w:r>
        <w:rPr>
          <w:sz w:val="21"/>
          <w:szCs w:val="21"/>
        </w:rPr>
        <w:t xml:space="preserve">Select the destination folder where the returned files should be stored.</w:t>
      </w:r>
    </w:p>
    <w:p>
      <w:pPr>
        <w:pStyle w:val="ListParagraph"/>
        <w:numPr>
          <w:ilvl w:val="0"/>
          <w:numId w:val="2"/>
        </w:numPr>
        <w:spacing w:after="40"/>
        <w:ind w:left="892"/>
      </w:pPr>
      <w:r>
        <w:rPr>
          <w:sz w:val="21"/>
          <w:szCs w:val="21"/>
        </w:rPr>
        <w:t xml:space="preserve">Set the due date and complete the recipient and other request details shown in the form.</w:t>
      </w:r>
    </w:p>
    <w:p>
      <w:pPr>
        <w:pStyle w:val="ListParagraph"/>
        <w:numPr>
          <w:ilvl w:val="0"/>
          <w:numId w:val="2"/>
        </w:numPr>
        <w:spacing w:after="40"/>
        <w:ind w:left="892"/>
      </w:pPr>
      <w:r>
        <w:rPr>
          <w:sz w:val="21"/>
          <w:szCs w:val="21"/>
        </w:rPr>
        <w:t xml:space="preserve">Review the request and confirm that it is being sent to the correct client contact.</w:t>
      </w:r>
    </w:p>
    <w:p>
      <w:pPr>
        <w:pStyle w:val="ListParagraph"/>
        <w:numPr>
          <w:ilvl w:val="0"/>
          <w:numId w:val="2"/>
        </w:numPr>
        <w:spacing w:after="40"/>
        <w:ind w:left="892"/>
      </w:pPr>
      <w:r>
        <w:rPr>
          <w:sz w:val="21"/>
          <w:szCs w:val="21"/>
        </w:rPr>
        <w:t xml:space="preserve">Send the request.</w:t>
      </w:r>
    </w:p>
    <w:p>
      <w:pPr>
        <w:pStyle w:val="ListParagraph"/>
        <w:numPr>
          <w:ilvl w:val="0"/>
          <w:numId w:val="2"/>
        </w:numPr>
        <w:spacing w:after="40"/>
        <w:ind w:left="892"/>
      </w:pPr>
      <w:r>
        <w:rPr>
          <w:sz w:val="21"/>
          <w:szCs w:val="21"/>
        </w:rPr>
        <w:t xml:space="preserve">Use the Requests view to monitor outstanding and completed requests.</w:t>
      </w:r>
    </w:p>
    <w:p>
      <w:pPr>
        <w:pStyle w:val="ListParagraph"/>
        <w:numPr>
          <w:ilvl w:val="0"/>
          <w:numId w:val="2"/>
        </w:numPr>
        <w:spacing w:after="40"/>
        <w:ind w:left="892"/>
      </w:pPr>
      <w:r>
        <w:rPr>
          <w:sz w:val="21"/>
          <w:szCs w:val="21"/>
        </w:rPr>
        <w:t xml:space="preserve">The client receives the request through the client-facing experience and can upload the requested files against it. Once received, the documents remain available in the client's Documents workspace.</w:t>
      </w:r>
    </w:p>
    <w:p>
      <w:pPr>
        <w:pStyle w:val="ListParagraph"/>
        <w:numPr>
          <w:ilvl w:val="0"/>
          <w:numId w:val="2"/>
        </w:numPr>
        <w:spacing w:after="40"/>
        <w:ind w:left="892"/>
      </w:pPr>
      <w:r>
        <w:rPr>
          <w:sz w:val="21"/>
          <w:szCs w:val="21"/>
        </w:rPr>
        <w:t xml:space="preserve">For example, your firm might request W-2s, 1099s, bank statements, payroll reports, identification documents, or other source documents required for an engagement.</w:t>
      </w:r>
    </w:p>
    <w:p>
      <w:pPr>
        <w:spacing w:after="40" w:before="70"/>
        <w:ind w:left="403"/>
      </w:pPr>
      <w:r>
        <w:rPr>
          <w:color w:val="8B8FA3"/>
          <w:sz w:val="17"/>
          <w:szCs w:val="17"/>
        </w:rPr>
        <w:t xml:space="preserve">Ref: pro-how-do-i-request-documents-from-a-client-56</w:t>
      </w:r>
    </w:p>
    <w:p>
      <w:pPr>
        <w:keepNext/>
        <w:spacing w:after="90" w:before="220"/>
      </w:pPr>
      <w:r>
        <w:rPr>
          <w:b/>
          <w:bCs/>
          <w:color w:val="1A1C2E"/>
          <w:sz w:val="24"/>
          <w:szCs w:val="24"/>
        </w:rPr>
        <w:t xml:space="preserve">8.   What happens if a client doesn't respond to a document request?</w:t>
      </w:r>
    </w:p>
    <w:p>
      <w:pPr>
        <w:spacing w:after="90"/>
        <w:ind w:left="403"/>
      </w:pPr>
      <w:r>
        <w:rPr>
          <w:sz w:val="22"/>
          <w:szCs w:val="22"/>
        </w:rPr>
        <w:t xml:space="preserve">If a document request remains outstanding, AssurePro can follow the firm's configured Document requests reminder schedule to remind the client automatically.</w:t>
      </w:r>
    </w:p>
    <w:p>
      <w:pPr>
        <w:spacing w:after="90"/>
        <w:ind w:left="403"/>
      </w:pPr>
      <w:r>
        <w:rPr>
          <w:b/>
          <w:bCs/>
          <w:color w:val="4735BE"/>
          <w:sz w:val="18"/>
          <w:szCs w:val="18"/>
        </w:rPr>
        <w:t xml:space="preserve">More   </w:t>
      </w:r>
      <w:r>
        <w:rPr>
          <w:sz w:val="22"/>
          <w:szCs w:val="22"/>
        </w:rPr>
        <w:t xml:space="preserve">Firm administrators can control whether these reminders are enabled and configure items such as the initial delay, reminder frequency, and number of reminders sent.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Reminders.</w:t>
      </w:r>
    </w:p>
    <w:p>
      <w:pPr>
        <w:pStyle w:val="ListParagraph"/>
        <w:numPr>
          <w:ilvl w:val="0"/>
          <w:numId w:val="2"/>
        </w:numPr>
        <w:spacing w:after="40"/>
        <w:ind w:left="892"/>
      </w:pPr>
      <w:r>
        <w:rPr>
          <w:sz w:val="21"/>
          <w:szCs w:val="21"/>
        </w:rPr>
        <w:t xml:space="preserve">Confirm that Document requests reminders are enabled.</w:t>
      </w:r>
    </w:p>
    <w:p>
      <w:pPr>
        <w:pStyle w:val="ListParagraph"/>
        <w:numPr>
          <w:ilvl w:val="0"/>
          <w:numId w:val="2"/>
        </w:numPr>
        <w:spacing w:after="40"/>
        <w:ind w:left="892"/>
      </w:pPr>
      <w:r>
        <w:rPr>
          <w:sz w:val="21"/>
          <w:szCs w:val="21"/>
        </w:rPr>
        <w:t xml:space="preserve">Review or update the: Initial reminder delay, Repeat interval, Total number of reminders.</w:t>
      </w:r>
    </w:p>
    <w:p>
      <w:pPr>
        <w:pStyle w:val="ListParagraph"/>
        <w:numPr>
          <w:ilvl w:val="0"/>
          <w:numId w:val="2"/>
        </w:numPr>
        <w:spacing w:after="40"/>
        <w:ind w:left="892"/>
      </w:pPr>
      <w:r>
        <w:rPr>
          <w:sz w:val="21"/>
          <w:szCs w:val="21"/>
        </w:rPr>
        <w:t xml:space="preserve">Monitor the request from the client's Documents &gt; Requests view.</w:t>
      </w:r>
    </w:p>
    <w:p>
      <w:pPr>
        <w:pStyle w:val="ListParagraph"/>
        <w:numPr>
          <w:ilvl w:val="0"/>
          <w:numId w:val="2"/>
        </w:numPr>
        <w:spacing w:after="40"/>
        <w:ind w:left="892"/>
      </w:pPr>
      <w:r>
        <w:rPr>
          <w:sz w:val="21"/>
          <w:szCs w:val="21"/>
        </w:rPr>
        <w:t xml:space="preserve">If the request remains outstanding after the automated reminder sequence, follow up with the client directly.</w:t>
      </w:r>
    </w:p>
    <w:p>
      <w:pPr>
        <w:pStyle w:val="ListParagraph"/>
        <w:numPr>
          <w:ilvl w:val="0"/>
          <w:numId w:val="2"/>
        </w:numPr>
        <w:spacing w:after="40"/>
        <w:ind w:left="892"/>
      </w:pPr>
      <w:r>
        <w:rPr>
          <w:sz w:val="21"/>
          <w:szCs w:val="21"/>
        </w:rPr>
        <w:t xml:space="preserve">Use Communications to keep the follow-up connected to the client relationship where appropriate.</w:t>
      </w:r>
    </w:p>
    <w:p>
      <w:pPr>
        <w:pStyle w:val="ListParagraph"/>
        <w:numPr>
          <w:ilvl w:val="0"/>
          <w:numId w:val="2"/>
        </w:numPr>
        <w:spacing w:after="40"/>
        <w:ind w:left="892"/>
      </w:pPr>
      <w:r>
        <w:rPr>
          <w:sz w:val="21"/>
          <w:szCs w:val="21"/>
        </w:rPr>
        <w:t xml:space="preserve">Automated reminders help reduce routine follow-up work, while firm users can still step in when a deadline is approaching, a client needs clarification, or the requested documents remain outstanding.</w:t>
      </w:r>
    </w:p>
    <w:p>
      <w:pPr>
        <w:spacing w:after="40" w:before="70"/>
        <w:ind w:left="403"/>
      </w:pPr>
      <w:r>
        <w:rPr>
          <w:color w:val="8B8FA3"/>
          <w:sz w:val="17"/>
          <w:szCs w:val="17"/>
        </w:rPr>
        <w:t xml:space="preserve">Ref: pro-what-happens-if-a-client-doesn-t-respond-to-a-document-request-57</w:t>
      </w:r>
    </w:p>
    <w:p>
      <w:pPr>
        <w:keepNext/>
        <w:spacing w:after="90" w:before="220"/>
      </w:pPr>
      <w:r>
        <w:rPr>
          <w:b/>
          <w:bCs/>
          <w:color w:val="1A1C2E"/>
          <w:sz w:val="24"/>
          <w:szCs w:val="24"/>
        </w:rPr>
        <w:t xml:space="preserve">9.   What is the difference between Request, Import, and Upload?</w:t>
      </w:r>
    </w:p>
    <w:p>
      <w:pPr>
        <w:spacing w:after="90"/>
        <w:ind w:left="403"/>
      </w:pPr>
      <w:r>
        <w:rPr>
          <w:sz w:val="22"/>
          <w:szCs w:val="22"/>
        </w:rPr>
        <w:t xml:space="preserve">Use Request, Import, or Upload based on who currently has the document and where the file is stored.</w:t>
      </w:r>
    </w:p>
    <w:p>
      <w:pPr>
        <w:spacing w:after="90"/>
        <w:ind w:left="403"/>
      </w:pPr>
      <w:r>
        <w:rPr>
          <w:b/>
          <w:bCs/>
          <w:color w:val="4735BE"/>
          <w:sz w:val="18"/>
          <w:szCs w:val="18"/>
        </w:rPr>
        <w:t xml:space="preserve">More   </w:t>
      </w:r>
      <w:r>
        <w:rPr>
          <w:sz w:val="22"/>
          <w:szCs w:val="22"/>
        </w:rPr>
        <w:t xml:space="preserve">Request: use when the client still needs to provide the document — AssurePro sends a document request through the client experience and tracks the response. Import: use when the document already exists in a supported connected storage service, such as OneDrive or Dropbox. Upload: use when a firm user already has the file on their computer and wants to add it directly to the client workspace.</w:t>
      </w:r>
    </w:p>
    <w:p>
      <w:pPr>
        <w:spacing w:after="90"/>
        <w:ind w:left="403"/>
      </w:pPr>
      <w:r>
        <w:rPr>
          <w:b/>
          <w:bCs/>
          <w:color w:val="4735BE"/>
          <w:sz w:val="18"/>
          <w:szCs w:val="18"/>
        </w:rPr>
        <w:t xml:space="preserve">More   </w:t>
      </w:r>
      <w:r>
        <w:rPr>
          <w:sz w:val="22"/>
          <w:szCs w:val="22"/>
        </w:rPr>
        <w:t xml:space="preserve">For example, use Request when the client still needs to provide a W-2, use Import when the W-2 already exists in the firm's connected OneDrive or Dropbox account, and use Upload when a firm user has the W-2 saved locally. Before completing any of these actions, confirm that you are working in the correct client record and select the appropriate destination folder so the document is stored in the right location.</w:t>
      </w:r>
    </w:p>
    <w:p>
      <w:pPr>
        <w:spacing w:after="40" w:before="70"/>
        <w:ind w:left="403"/>
      </w:pPr>
      <w:r>
        <w:rPr>
          <w:color w:val="8B8FA3"/>
          <w:sz w:val="17"/>
          <w:szCs w:val="17"/>
        </w:rPr>
        <w:t xml:space="preserve">Ref: pro-what-is-the-difference-between-request-import-and-upload-58</w:t>
      </w:r>
    </w:p>
    <w:p>
      <w:pPr>
        <w:keepNext/>
        <w:spacing w:after="90" w:before="220"/>
      </w:pPr>
      <w:r>
        <w:rPr>
          <w:b/>
          <w:bCs/>
          <w:color w:val="1A1C2E"/>
          <w:sz w:val="24"/>
          <w:szCs w:val="24"/>
        </w:rPr>
        <w:t xml:space="preserve">10.   How do I upload a document to a client workspace?</w:t>
      </w:r>
    </w:p>
    <w:p>
      <w:pPr>
        <w:spacing w:after="90"/>
        <w:ind w:left="403"/>
      </w:pPr>
      <w:r>
        <w:rPr>
          <w:sz w:val="22"/>
          <w:szCs w:val="22"/>
        </w:rPr>
        <w:t xml:space="preserve">Use Upload when a firm user already has the document saved locally and needs to add it to a client's Documents workspace.</w:t>
      </w:r>
    </w:p>
    <w:p>
      <w:pPr>
        <w:spacing w:after="90"/>
        <w:ind w:left="403"/>
      </w:pPr>
      <w:r>
        <w:rPr>
          <w:b/>
          <w:bCs/>
          <w:color w:val="4735BE"/>
          <w:sz w:val="18"/>
          <w:szCs w:val="18"/>
        </w:rPr>
        <w:t xml:space="preserve">More   </w:t>
      </w:r>
      <w:r>
        <w:rPr>
          <w:sz w:val="22"/>
          <w:szCs w:val="22"/>
        </w:rPr>
        <w:t xml:space="preserve">Before uploading, confirm that you are working in the correct client record and destination folder so the file is stored in the right location.</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Documents and select the client.</w:t>
      </w:r>
    </w:p>
    <w:p>
      <w:pPr>
        <w:pStyle w:val="ListParagraph"/>
        <w:numPr>
          <w:ilvl w:val="0"/>
          <w:numId w:val="2"/>
        </w:numPr>
        <w:spacing w:after="40"/>
        <w:ind w:left="892"/>
      </w:pPr>
      <w:r>
        <w:rPr>
          <w:sz w:val="21"/>
          <w:szCs w:val="21"/>
        </w:rPr>
        <w:t xml:space="preserve">Choose the destination folder in the folder tree. If the required folder does not exist, create one using New Folder.</w:t>
      </w:r>
    </w:p>
    <w:p>
      <w:pPr>
        <w:pStyle w:val="ListParagraph"/>
        <w:numPr>
          <w:ilvl w:val="0"/>
          <w:numId w:val="2"/>
        </w:numPr>
        <w:spacing w:after="40"/>
        <w:ind w:left="892"/>
      </w:pPr>
      <w:r>
        <w:rPr>
          <w:sz w:val="21"/>
          <w:szCs w:val="21"/>
        </w:rPr>
        <w:t xml:space="preserve">Select Upload.</w:t>
      </w:r>
    </w:p>
    <w:p>
      <w:pPr>
        <w:pStyle w:val="ListParagraph"/>
        <w:numPr>
          <w:ilvl w:val="0"/>
          <w:numId w:val="2"/>
        </w:numPr>
        <w:spacing w:after="40"/>
        <w:ind w:left="892"/>
      </w:pPr>
      <w:r>
        <w:rPr>
          <w:sz w:val="21"/>
          <w:szCs w:val="21"/>
        </w:rPr>
        <w:t xml:space="preserve">Choose the file from your computer.</w:t>
      </w:r>
    </w:p>
    <w:p>
      <w:pPr>
        <w:pStyle w:val="ListParagraph"/>
        <w:numPr>
          <w:ilvl w:val="0"/>
          <w:numId w:val="2"/>
        </w:numPr>
        <w:spacing w:after="40"/>
        <w:ind w:left="892"/>
      </w:pPr>
      <w:r>
        <w:rPr>
          <w:sz w:val="21"/>
          <w:szCs w:val="21"/>
        </w:rPr>
        <w:t xml:space="preserve">Confirm the destination and complete the upload.</w:t>
      </w:r>
    </w:p>
    <w:p>
      <w:pPr>
        <w:pStyle w:val="ListParagraph"/>
        <w:numPr>
          <w:ilvl w:val="0"/>
          <w:numId w:val="2"/>
        </w:numPr>
        <w:spacing w:after="40"/>
        <w:ind w:left="892"/>
      </w:pPr>
      <w:r>
        <w:rPr>
          <w:sz w:val="21"/>
          <w:szCs w:val="21"/>
        </w:rPr>
        <w:t xml:space="preserve">Open the uploaded file from the client workspace to verify that the correct file was added.</w:t>
      </w:r>
    </w:p>
    <w:p>
      <w:pPr>
        <w:pStyle w:val="ListParagraph"/>
        <w:numPr>
          <w:ilvl w:val="0"/>
          <w:numId w:val="2"/>
        </w:numPr>
        <w:spacing w:after="40"/>
        <w:ind w:left="892"/>
      </w:pPr>
      <w:r>
        <w:rPr>
          <w:sz w:val="21"/>
          <w:szCs w:val="21"/>
        </w:rPr>
        <w:t xml:space="preserve">If multiple versions of a document exist, check the filename and file contents after upload to make sure the final or intended version was stored.</w:t>
      </w:r>
    </w:p>
    <w:p>
      <w:pPr>
        <w:pStyle w:val="ListParagraph"/>
        <w:numPr>
          <w:ilvl w:val="0"/>
          <w:numId w:val="2"/>
        </w:numPr>
        <w:spacing w:after="40"/>
        <w:ind w:left="892"/>
      </w:pPr>
      <w:r>
        <w:rPr>
          <w:sz w:val="21"/>
          <w:szCs w:val="21"/>
        </w:rPr>
        <w:t xml:space="preserve">If the uploaded file is meant to satisfy an outstanding document request, also review the client's Requests view. A general file upload may not automatically complete or match the outstanding request unless it is associated with that request.</w:t>
      </w:r>
    </w:p>
    <w:p>
      <w:pPr>
        <w:spacing w:after="40" w:before="70"/>
        <w:ind w:left="403"/>
      </w:pPr>
      <w:r>
        <w:rPr>
          <w:color w:val="8B8FA3"/>
          <w:sz w:val="17"/>
          <w:szCs w:val="17"/>
        </w:rPr>
        <w:t xml:space="preserve">Ref: pro-how-do-i-upload-a-document-to-a-client-workspace-59</w:t>
      </w:r>
    </w:p>
    <w:p>
      <w:pPr>
        <w:keepNext/>
        <w:spacing w:after="90" w:before="220"/>
      </w:pPr>
      <w:r>
        <w:rPr>
          <w:b/>
          <w:bCs/>
          <w:color w:val="1A1C2E"/>
          <w:sz w:val="24"/>
          <w:szCs w:val="24"/>
        </w:rPr>
        <w:t xml:space="preserve">11.   How do I import documents from Dropbox or OneDrive?</w:t>
      </w:r>
    </w:p>
    <w:p>
      <w:pPr>
        <w:spacing w:after="90"/>
        <w:ind w:left="403"/>
      </w:pPr>
      <w:r>
        <w:rPr>
          <w:sz w:val="22"/>
          <w:szCs w:val="22"/>
        </w:rPr>
        <w:t xml:space="preserve">Firm users can import documents from a connected Dropbox or OneDrive account directly into a client's Documents workspace.</w:t>
      </w:r>
    </w:p>
    <w:p>
      <w:pPr>
        <w:spacing w:after="90"/>
        <w:ind w:left="403"/>
      </w:pPr>
      <w:r>
        <w:rPr>
          <w:b/>
          <w:bCs/>
          <w:color w:val="4735BE"/>
          <w:sz w:val="18"/>
          <w:szCs w:val="18"/>
        </w:rPr>
        <w:t xml:space="preserve">More   </w:t>
      </w:r>
      <w:r>
        <w:rPr>
          <w:sz w:val="22"/>
          <w:szCs w:val="22"/>
        </w:rPr>
        <w:t xml:space="preserve">The storage provider must first be connected to AssurePro. If no supported storage integration is configured, AssurePro directs the user to Settings &gt; Integrations before cloud import can be used.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Integrations.</w:t>
      </w:r>
    </w:p>
    <w:p>
      <w:pPr>
        <w:pStyle w:val="ListParagraph"/>
        <w:numPr>
          <w:ilvl w:val="0"/>
          <w:numId w:val="2"/>
        </w:numPr>
        <w:spacing w:after="40"/>
        <w:ind w:left="892"/>
      </w:pPr>
      <w:r>
        <w:rPr>
          <w:sz w:val="21"/>
          <w:szCs w:val="21"/>
        </w:rPr>
        <w:t xml:space="preserve">Connect the firm's supported Dropbox or OneDrive account if it has not already been configured.</w:t>
      </w:r>
    </w:p>
    <w:p>
      <w:pPr>
        <w:pStyle w:val="ListParagraph"/>
        <w:numPr>
          <w:ilvl w:val="0"/>
          <w:numId w:val="2"/>
        </w:numPr>
        <w:spacing w:after="40"/>
        <w:ind w:left="892"/>
      </w:pPr>
      <w:r>
        <w:rPr>
          <w:sz w:val="21"/>
          <w:szCs w:val="21"/>
        </w:rPr>
        <w:t xml:space="preserve">Return to Documents and select the appropriate client.</w:t>
      </w:r>
    </w:p>
    <w:p>
      <w:pPr>
        <w:pStyle w:val="ListParagraph"/>
        <w:numPr>
          <w:ilvl w:val="0"/>
          <w:numId w:val="2"/>
        </w:numPr>
        <w:spacing w:after="40"/>
        <w:ind w:left="892"/>
      </w:pPr>
      <w:r>
        <w:rPr>
          <w:sz w:val="21"/>
          <w:szCs w:val="21"/>
        </w:rPr>
        <w:t xml:space="preserve">Choose the destination folder where the imported files should be stored.</w:t>
      </w:r>
    </w:p>
    <w:p>
      <w:pPr>
        <w:pStyle w:val="ListParagraph"/>
        <w:numPr>
          <w:ilvl w:val="0"/>
          <w:numId w:val="2"/>
        </w:numPr>
        <w:spacing w:after="40"/>
        <w:ind w:left="892"/>
      </w:pPr>
      <w:r>
        <w:rPr>
          <w:sz w:val="21"/>
          <w:szCs w:val="21"/>
        </w:rPr>
        <w:t xml:space="preserve">Select Import.</w:t>
      </w:r>
    </w:p>
    <w:p>
      <w:pPr>
        <w:pStyle w:val="ListParagraph"/>
        <w:numPr>
          <w:ilvl w:val="0"/>
          <w:numId w:val="2"/>
        </w:numPr>
        <w:spacing w:after="40"/>
        <w:ind w:left="892"/>
      </w:pPr>
      <w:r>
        <w:rPr>
          <w:sz w:val="21"/>
          <w:szCs w:val="21"/>
        </w:rPr>
        <w:t xml:space="preserve">Choose the connected storage provider and select the required files.</w:t>
      </w:r>
    </w:p>
    <w:p>
      <w:pPr>
        <w:pStyle w:val="ListParagraph"/>
        <w:numPr>
          <w:ilvl w:val="0"/>
          <w:numId w:val="2"/>
        </w:numPr>
        <w:spacing w:after="40"/>
        <w:ind w:left="892"/>
      </w:pPr>
      <w:r>
        <w:rPr>
          <w:sz w:val="21"/>
          <w:szCs w:val="21"/>
        </w:rPr>
        <w:t xml:space="preserve">Complete the import.</w:t>
      </w:r>
    </w:p>
    <w:p>
      <w:pPr>
        <w:pStyle w:val="ListParagraph"/>
        <w:numPr>
          <w:ilvl w:val="0"/>
          <w:numId w:val="2"/>
        </w:numPr>
        <w:spacing w:after="40"/>
        <w:ind w:left="892"/>
      </w:pPr>
      <w:r>
        <w:rPr>
          <w:sz w:val="21"/>
          <w:szCs w:val="21"/>
        </w:rPr>
        <w:t xml:space="preserve">Review the client's document list to confirm that the correct files were imported into the intended folder.</w:t>
      </w:r>
    </w:p>
    <w:p>
      <w:pPr>
        <w:pStyle w:val="ListParagraph"/>
        <w:numPr>
          <w:ilvl w:val="0"/>
          <w:numId w:val="2"/>
        </w:numPr>
        <w:spacing w:after="40"/>
        <w:ind w:left="892"/>
      </w:pPr>
      <w:r>
        <w:rPr>
          <w:sz w:val="21"/>
          <w:szCs w:val="21"/>
        </w:rPr>
        <w:t xml:space="preserve">Use Import when the required documents already exist in your firm's connected cloud storage. This avoids downloading the files locally and uploading them again manually.</w:t>
      </w:r>
    </w:p>
    <w:p>
      <w:pPr>
        <w:spacing w:after="40" w:before="70"/>
        <w:ind w:left="403"/>
      </w:pPr>
      <w:r>
        <w:rPr>
          <w:color w:val="8B8FA3"/>
          <w:sz w:val="17"/>
          <w:szCs w:val="17"/>
        </w:rPr>
        <w:t xml:space="preserve">Ref: pro-how-do-i-import-documents-from-dropbox-or-onedrive-60</w:t>
      </w:r>
    </w:p>
    <w:p>
      <w:pPr>
        <w:keepNext/>
        <w:spacing w:after="90" w:before="220"/>
      </w:pPr>
      <w:r>
        <w:rPr>
          <w:b/>
          <w:bCs/>
          <w:color w:val="1A1C2E"/>
          <w:sz w:val="24"/>
          <w:szCs w:val="24"/>
        </w:rPr>
        <w:t xml:space="preserve">12.   How do I find a file or review outstanding requests?</w:t>
      </w:r>
    </w:p>
    <w:p>
      <w:pPr>
        <w:spacing w:after="90"/>
        <w:ind w:left="403"/>
      </w:pPr>
      <w:r>
        <w:rPr>
          <w:sz w:val="22"/>
          <w:szCs w:val="22"/>
        </w:rPr>
        <w:t xml:space="preserve">Use the Files view to find documents already stored in a client workspace, and use the Requests view to review document requests that are still outstanding or have been completed.</w:t>
      </w:r>
    </w:p>
    <w:p>
      <w:pPr>
        <w:spacing w:after="90"/>
        <w:ind w:left="403"/>
      </w:pPr>
      <w:r>
        <w:rPr>
          <w:b/>
          <w:bCs/>
          <w:color w:val="4735BE"/>
          <w:sz w:val="18"/>
          <w:szCs w:val="18"/>
        </w:rPr>
        <w:t xml:space="preserve">More   </w:t>
      </w:r>
      <w:r>
        <w:rPr>
          <w:sz w:val="22"/>
          <w:szCs w:val="22"/>
        </w:rPr>
        <w:t xml:space="preserve">In the Files view, firm users can search and filter documents by filename, folder, source, and file type. Source filters can help distinguish documents that were Requested from files that were added internally.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Documents and select the client.</w:t>
      </w:r>
    </w:p>
    <w:p>
      <w:pPr>
        <w:pStyle w:val="ListParagraph"/>
        <w:numPr>
          <w:ilvl w:val="0"/>
          <w:numId w:val="2"/>
        </w:numPr>
        <w:spacing w:after="40"/>
        <w:ind w:left="892"/>
      </w:pPr>
      <w:r>
        <w:rPr>
          <w:sz w:val="21"/>
          <w:szCs w:val="21"/>
        </w:rPr>
        <w:t xml:space="preserve">Use the folder tree or All Documents to define where you want to search.</w:t>
      </w:r>
    </w:p>
    <w:p>
      <w:pPr>
        <w:pStyle w:val="ListParagraph"/>
        <w:numPr>
          <w:ilvl w:val="0"/>
          <w:numId w:val="2"/>
        </w:numPr>
        <w:spacing w:after="40"/>
        <w:ind w:left="892"/>
      </w:pPr>
      <w:r>
        <w:rPr>
          <w:sz w:val="21"/>
          <w:szCs w:val="21"/>
        </w:rPr>
        <w:t xml:space="preserve">Search by filename.</w:t>
      </w:r>
    </w:p>
    <w:p>
      <w:pPr>
        <w:pStyle w:val="ListParagraph"/>
        <w:numPr>
          <w:ilvl w:val="0"/>
          <w:numId w:val="2"/>
        </w:numPr>
        <w:spacing w:after="40"/>
        <w:ind w:left="892"/>
      </w:pPr>
      <w:r>
        <w:rPr>
          <w:sz w:val="21"/>
          <w:szCs w:val="21"/>
        </w:rPr>
        <w:t xml:space="preserve">Use the source filter, such as All, Requested, or Internal, to narrow the results.</w:t>
      </w:r>
    </w:p>
    <w:p>
      <w:pPr>
        <w:pStyle w:val="ListParagraph"/>
        <w:numPr>
          <w:ilvl w:val="0"/>
          <w:numId w:val="2"/>
        </w:numPr>
        <w:spacing w:after="40"/>
        <w:ind w:left="892"/>
      </w:pPr>
      <w:r>
        <w:rPr>
          <w:sz w:val="21"/>
          <w:szCs w:val="21"/>
        </w:rPr>
        <w:t xml:space="preserve">Apply the file-type filter or switch between list and grid view when helpful.</w:t>
      </w:r>
    </w:p>
    <w:p>
      <w:pPr>
        <w:pStyle w:val="ListParagraph"/>
        <w:numPr>
          <w:ilvl w:val="0"/>
          <w:numId w:val="2"/>
        </w:numPr>
        <w:spacing w:after="40"/>
        <w:ind w:left="892"/>
      </w:pPr>
      <w:r>
        <w:rPr>
          <w:sz w:val="21"/>
          <w:szCs w:val="21"/>
        </w:rPr>
        <w:t xml:space="preserve">Switch to Requests to review items that are still awaiting a client response or to review completed requests.</w:t>
      </w:r>
    </w:p>
    <w:p>
      <w:pPr>
        <w:pStyle w:val="ListParagraph"/>
        <w:numPr>
          <w:ilvl w:val="0"/>
          <w:numId w:val="2"/>
        </w:numPr>
        <w:spacing w:after="40"/>
        <w:ind w:left="892"/>
      </w:pPr>
      <w:r>
        <w:rPr>
          <w:sz w:val="21"/>
          <w:szCs w:val="21"/>
        </w:rPr>
        <w:t xml:space="preserve">If a file you expect to find does not appear, clear or reset the active filters before uploading another copy. This helps reduce duplicate documents in the client workspace.</w:t>
      </w:r>
    </w:p>
    <w:p>
      <w:pPr>
        <w:spacing w:after="40" w:before="70"/>
        <w:ind w:left="403"/>
      </w:pPr>
      <w:r>
        <w:rPr>
          <w:color w:val="8B8FA3"/>
          <w:sz w:val="17"/>
          <w:szCs w:val="17"/>
        </w:rPr>
        <w:t xml:space="preserve">Ref: pro-how-do-i-find-a-file-or-review-outstanding-requests-61</w:t>
      </w:r>
    </w:p>
    <w:p>
      <w:pPr>
        <w:keepNext/>
        <w:spacing w:after="90" w:before="220"/>
      </w:pPr>
      <w:r>
        <w:rPr>
          <w:b/>
          <w:bCs/>
          <w:color w:val="1A1C2E"/>
          <w:sz w:val="24"/>
          <w:szCs w:val="24"/>
        </w:rPr>
        <w:t xml:space="preserve">13.   Can client documents be organized by tax year or reporting period?</w:t>
      </w:r>
    </w:p>
    <w:p>
      <w:pPr>
        <w:spacing w:after="90"/>
        <w:ind w:left="403"/>
      </w:pPr>
      <w:r>
        <w:rPr>
          <w:sz w:val="22"/>
          <w:szCs w:val="22"/>
        </w:rPr>
        <w:t xml:space="preserve">Yes. Your firm can organize client documents by tax year, fiscal year, month, quarter, or other reporting period.</w:t>
      </w:r>
    </w:p>
    <w:p>
      <w:pPr>
        <w:spacing w:after="90"/>
        <w:ind w:left="403"/>
      </w:pPr>
      <w:r>
        <w:rPr>
          <w:b/>
          <w:bCs/>
          <w:color w:val="4735BE"/>
          <w:sz w:val="18"/>
          <w:szCs w:val="18"/>
        </w:rPr>
        <w:t xml:space="preserve">More   </w:t>
      </w:r>
      <w:r>
        <w:rPr>
          <w:sz w:val="22"/>
          <w:szCs w:val="22"/>
        </w:rPr>
        <w:t xml:space="preserve">Firm administrators can include period-based folders in a Folder Template, while firm users can also create additional folders directly in the client's Documents workspace. For example, a recurring client may use a structure such as Tax &gt; 2025 &gt; Source Documents / Workpapers / Filed Return, or Bookkeeping &gt; 2026 &gt; January / February / March.</w:t>
      </w:r>
    </w:p>
    <w:p>
      <w:pPr>
        <w:spacing w:after="90"/>
        <w:ind w:left="403"/>
      </w:pPr>
      <w:r>
        <w:rPr>
          <w:b/>
          <w:bCs/>
          <w:color w:val="4735BE"/>
          <w:sz w:val="18"/>
          <w:szCs w:val="18"/>
        </w:rPr>
        <w:t xml:space="preserve">More   </w:t>
      </w:r>
      <w:r>
        <w:rPr>
          <w:sz w:val="22"/>
          <w:szCs w:val="22"/>
        </w:rPr>
        <w:t xml:space="preserve">AssurePro does not require every firm to follow one fixed folder structure — your firm can choose the convention that best matches its services and operating process. Before rollout, decide whether the period should be reflected in the folder structure, filename, engagement record, or a combination of these, and use the same convention consistently across similar clients.</w:t>
      </w:r>
    </w:p>
    <w:p>
      <w:pPr>
        <w:spacing w:after="90"/>
        <w:ind w:left="403"/>
      </w:pPr>
      <w:r>
        <w:rPr>
          <w:b/>
          <w:bCs/>
          <w:color w:val="4735BE"/>
          <w:sz w:val="18"/>
          <w:szCs w:val="18"/>
        </w:rPr>
        <w:t xml:space="preserve">More   </w:t>
      </w:r>
      <w:r>
        <w:rPr>
          <w:sz w:val="22"/>
          <w:szCs w:val="22"/>
        </w:rPr>
        <w:t xml:space="preserve">Using a consistent year- or period-based structure makes it easier for preparers, reviewers, and managers to locate the correct documents and reduces the risk of working from files belonging to the wrong period.</w:t>
      </w:r>
    </w:p>
    <w:p>
      <w:pPr>
        <w:spacing w:after="40" w:before="70"/>
        <w:ind w:left="403"/>
      </w:pPr>
      <w:r>
        <w:rPr>
          <w:color w:val="8B8FA3"/>
          <w:sz w:val="17"/>
          <w:szCs w:val="17"/>
        </w:rPr>
        <w:t xml:space="preserve">Ref: pro-can-client-documents-be-organized-by-tax-year-or-reporting-period-62</w:t>
      </w:r>
    </w:p>
    <w:p>
      <w:pPr>
        <w:keepNext/>
        <w:spacing w:after="90" w:before="220"/>
      </w:pPr>
      <w:r>
        <w:rPr>
          <w:b/>
          <w:bCs/>
          <w:color w:val="1A1C2E"/>
          <w:sz w:val="24"/>
          <w:szCs w:val="24"/>
        </w:rPr>
        <w:t xml:space="preserve">14.   Can documents be brought in from cloud storage?</w:t>
      </w:r>
    </w:p>
    <w:p>
      <w:pPr>
        <w:spacing w:after="90"/>
        <w:ind w:left="403"/>
      </w:pPr>
      <w:r>
        <w:rPr>
          <w:sz w:val="22"/>
          <w:szCs w:val="22"/>
        </w:rPr>
        <w:t xml:space="preserve">Yes. AssurePro supports document import from connected Dropbox and OneDrive storage.</w:t>
      </w:r>
    </w:p>
    <w:p>
      <w:pPr>
        <w:spacing w:after="90"/>
        <w:ind w:left="403"/>
      </w:pPr>
      <w:r>
        <w:rPr>
          <w:b/>
          <w:bCs/>
          <w:color w:val="4735BE"/>
          <w:sz w:val="18"/>
          <w:szCs w:val="18"/>
        </w:rPr>
        <w:t xml:space="preserve">More   </w:t>
      </w:r>
      <w:r>
        <w:rPr>
          <w:sz w:val="22"/>
          <w:szCs w:val="22"/>
        </w:rPr>
        <w:t xml:space="preserve">Firm users can bring documents into a client workspace without first downloading them to a local computer and uploading them again. There are two common ways to use connected cloud storage. Import: use this for a one-time selection of files from a connected Dropbox or OneDrive account. Synced folder: use this when new files placed in a connected cloud folder should continue to flow into the client's Documents workspace. For example, use Import when you need to bring in a set of historical source documents once, and use a synced folder when your firm or client regularly places new files into a designated cloud-storage location.</w:t>
      </w:r>
    </w:p>
    <w:p>
      <w:pPr>
        <w:spacing w:after="90"/>
        <w:ind w:left="403"/>
      </w:pPr>
      <w:r>
        <w:rPr>
          <w:b/>
          <w:bCs/>
          <w:color w:val="4735BE"/>
          <w:sz w:val="18"/>
          <w:szCs w:val="18"/>
        </w:rPr>
        <w:t xml:space="preserve">More   </w:t>
      </w:r>
      <w:r>
        <w:rPr>
          <w:sz w:val="22"/>
          <w:szCs w:val="22"/>
        </w:rPr>
        <w:t xml:space="preserve">Before importing or configuring a sync, confirm the correct client and destination folder — a connected Dropbox or OneDrive account may contain files for multiple clients, so verifying the destination helps prevent documents from being stored against the wrong client record. Cloud storage must first be connected under Settings &gt; Integrations before Import or synced-folder functionality is available.</w:t>
      </w:r>
    </w:p>
    <w:p>
      <w:pPr>
        <w:spacing w:after="40" w:before="70"/>
        <w:ind w:left="403"/>
      </w:pPr>
      <w:r>
        <w:rPr>
          <w:color w:val="8B8FA3"/>
          <w:sz w:val="17"/>
          <w:szCs w:val="17"/>
        </w:rPr>
        <w:t xml:space="preserve">Ref: pro-can-documents-be-brought-in-from-cloud-storage-63</w:t>
      </w:r>
    </w:p>
    <w:p>
      <w:r>
        <w:br w:type="page"/>
      </w:r>
    </w:p>
    <w:p>
      <w:pPr>
        <w:pStyle w:val="Heading1"/>
        <w:spacing w:after="40" w:before="60"/>
      </w:pPr>
      <w:r>
        <w:rPr>
          <w:b/>
          <w:bCs/>
          <w:color w:val="1A1C2E"/>
          <w:sz w:val="32"/>
          <w:szCs w:val="32"/>
        </w:rPr>
        <w:t xml:space="preserve">Workflow</w:t>
      </w:r>
    </w:p>
    <w:p>
      <w:pPr>
        <w:pBdr>
          <w:bottom w:val="single" w:color="E4E2F0" w:sz="4"/>
        </w:pBdr>
        <w:spacing w:after="200"/>
      </w:pPr>
      <w:r>
        <w:rPr>
          <w:color w:val="8B8FA3"/>
          <w:sz w:val="20"/>
          <w:szCs w:val="20"/>
        </w:rPr>
        <w:t xml:space="preserve">11 questions</w:t>
      </w:r>
    </w:p>
    <w:p>
      <w:pPr>
        <w:keepNext/>
        <w:spacing w:after="90" w:before="220"/>
      </w:pPr>
      <w:r>
        <w:rPr>
          <w:b/>
          <w:bCs/>
          <w:color w:val="1A1C2E"/>
          <w:sz w:val="24"/>
          <w:szCs w:val="24"/>
        </w:rPr>
        <w:t xml:space="preserve">1.   What views are available for engagement work?</w:t>
      </w:r>
    </w:p>
    <w:p>
      <w:pPr>
        <w:spacing w:after="90"/>
        <w:ind w:left="403"/>
      </w:pPr>
      <w:r>
        <w:rPr>
          <w:sz w:val="22"/>
          <w:szCs w:val="22"/>
        </w:rPr>
        <w:t xml:space="preserve">The Workflow area provides three main views for managing engagement work:</w:t>
      </w:r>
    </w:p>
    <w:p>
      <w:pPr>
        <w:spacing w:after="90"/>
        <w:ind w:left="403"/>
      </w:pPr>
      <w:r>
        <w:rPr>
          <w:b/>
          <w:bCs/>
          <w:color w:val="4735BE"/>
          <w:sz w:val="18"/>
          <w:szCs w:val="18"/>
        </w:rPr>
        <w:t xml:space="preserve">More   </w:t>
      </w:r>
      <w:r>
        <w:rPr>
          <w:sz w:val="22"/>
          <w:szCs w:val="22"/>
        </w:rPr>
        <w:t xml:space="preserve">Board — shows engagements by workflow stage and is useful for understanding where work is in the process and moving engagements between stages.</w:t>
      </w:r>
    </w:p>
    <w:p>
      <w:pPr>
        <w:spacing w:after="90"/>
        <w:ind w:left="403"/>
      </w:pPr>
      <w:r>
        <w:rPr>
          <w:b/>
          <w:bCs/>
          <w:color w:val="4735BE"/>
          <w:sz w:val="18"/>
          <w:szCs w:val="18"/>
        </w:rPr>
        <w:t xml:space="preserve">More   </w:t>
      </w:r>
      <w:r>
        <w:rPr>
          <w:sz w:val="22"/>
          <w:szCs w:val="22"/>
        </w:rPr>
        <w:t xml:space="preserve">List — displays engagement information in rows and is useful for searching, filtering, sorting, and comparing engagement details.</w:t>
      </w:r>
    </w:p>
    <w:p>
      <w:pPr>
        <w:spacing w:after="90"/>
        <w:ind w:left="403"/>
      </w:pPr>
      <w:r>
        <w:rPr>
          <w:b/>
          <w:bCs/>
          <w:color w:val="4735BE"/>
          <w:sz w:val="18"/>
          <w:szCs w:val="18"/>
        </w:rPr>
        <w:t xml:space="preserve">More   </w:t>
      </w:r>
      <w:r>
        <w:rPr>
          <w:sz w:val="22"/>
          <w:szCs w:val="22"/>
        </w:rPr>
        <w:t xml:space="preserve">Tasks — focuses on actionable tasks across engagements so firm users can review work that needs to be completed.</w:t>
      </w:r>
    </w:p>
    <w:p>
      <w:pPr>
        <w:spacing w:after="90"/>
        <w:ind w:left="403"/>
      </w:pPr>
      <w:r>
        <w:rPr>
          <w:b/>
          <w:bCs/>
          <w:color w:val="4735BE"/>
          <w:sz w:val="18"/>
          <w:szCs w:val="18"/>
        </w:rPr>
        <w:t xml:space="preserve">More   </w:t>
      </w:r>
      <w:r>
        <w:rPr>
          <w:sz w:val="22"/>
          <w:szCs w:val="22"/>
        </w:rPr>
        <w:t xml:space="preserve">Firm users can switch between these views without changing the underlying engagement.</w:t>
      </w:r>
    </w:p>
    <w:p>
      <w:pPr>
        <w:spacing w:after="90"/>
        <w:ind w:left="403"/>
      </w:pPr>
      <w:r>
        <w:rPr>
          <w:b/>
          <w:bCs/>
          <w:color w:val="4735BE"/>
          <w:sz w:val="18"/>
          <w:szCs w:val="18"/>
        </w:rPr>
        <w:t xml:space="preserve">More   </w:t>
      </w:r>
      <w:r>
        <w:rPr>
          <w:sz w:val="22"/>
          <w:szCs w:val="22"/>
        </w:rPr>
        <w:t xml:space="preserve">For example, a manager may use Board to identify work accumulating in Review, switch to List to compare due dates and assignments, and use Tasks to see the specific actions that are still outstanding.</w:t>
      </w:r>
    </w:p>
    <w:p>
      <w:pPr>
        <w:spacing w:after="90"/>
        <w:ind w:left="403"/>
      </w:pPr>
      <w:r>
        <w:rPr>
          <w:b/>
          <w:bCs/>
          <w:color w:val="4735BE"/>
          <w:sz w:val="18"/>
          <w:szCs w:val="18"/>
        </w:rPr>
        <w:t xml:space="preserve">More   </w:t>
      </w:r>
      <w:r>
        <w:rPr>
          <w:sz w:val="22"/>
          <w:szCs w:val="22"/>
        </w:rPr>
        <w:t xml:space="preserve">The Workflow area also allows users to select a workflow, search for engagements, create a new engagement, customize the information displayed, and open the related workflow configuration where permitted.</w:t>
      </w:r>
    </w:p>
    <w:p>
      <w:pPr>
        <w:spacing w:after="40" w:before="70"/>
        <w:ind w:left="403"/>
      </w:pPr>
      <w:r>
        <w:rPr>
          <w:color w:val="8B8FA3"/>
          <w:sz w:val="17"/>
          <w:szCs w:val="17"/>
        </w:rPr>
        <w:t xml:space="preserve">Ref: pro-what-views-are-available-for-engagement-work-64</w:t>
      </w:r>
    </w:p>
    <w:p>
      <w:pPr>
        <w:keepNext/>
        <w:spacing w:after="90" w:before="220"/>
      </w:pPr>
      <w:r>
        <w:rPr>
          <w:b/>
          <w:bCs/>
          <w:color w:val="1A1C2E"/>
          <w:sz w:val="24"/>
          <w:szCs w:val="24"/>
        </w:rPr>
        <w:t xml:space="preserve">2.   What does the Workflow board show?</w:t>
      </w:r>
    </w:p>
    <w:p>
      <w:pPr>
        <w:spacing w:after="90"/>
        <w:ind w:left="403"/>
      </w:pPr>
      <w:r>
        <w:rPr>
          <w:sz w:val="22"/>
          <w:szCs w:val="22"/>
        </w:rPr>
        <w:t xml:space="preserve">The Workflow Board gives firm users a visual view of engagements grouped by their current workflow stage.</w:t>
      </w:r>
    </w:p>
    <w:p>
      <w:pPr>
        <w:spacing w:after="90"/>
        <w:ind w:left="403"/>
      </w:pPr>
      <w:r>
        <w:rPr>
          <w:b/>
          <w:bCs/>
          <w:color w:val="4735BE"/>
          <w:sz w:val="18"/>
          <w:szCs w:val="18"/>
        </w:rPr>
        <w:t xml:space="preserve">More   </w:t>
      </w:r>
      <w:r>
        <w:rPr>
          <w:sz w:val="22"/>
          <w:szCs w:val="22"/>
        </w:rPr>
        <w:t xml:space="preserve">Depending on the information configured for the workflow, engagement cards and stage summaries can show the engagement name and client, current workflow stage, priority, assigned roles or firm users, due date, start date, time spent in the current stage, engagement value, task-completion progress, and active or overdue work. For example, a manager may see a high-priority 1040 engagement in the Review stage along with its assigned reviewer, due date, number of days in Review, engagement value, and completed-task progress.</w:t>
      </w:r>
    </w:p>
    <w:p>
      <w:pPr>
        <w:spacing w:after="90"/>
        <w:ind w:left="403"/>
      </w:pPr>
      <w:r>
        <w:rPr>
          <w:b/>
          <w:bCs/>
          <w:color w:val="4735BE"/>
          <w:sz w:val="18"/>
          <w:szCs w:val="18"/>
        </w:rPr>
        <w:t xml:space="preserve">More   </w:t>
      </w:r>
      <w:r>
        <w:rPr>
          <w:sz w:val="22"/>
          <w:szCs w:val="22"/>
        </w:rPr>
        <w:t xml:space="preserve">Stage-level totals can also help managers identify broader operational issues — one overdue engagement may require individual follow-up, while multiple overdue engagements accumulating in the same stage may indicate a workflow bottleneck or capacity issue. The Overview dashboard can complement the Workflow Board by surfacing open, due-soon, past-due, stalled, and review-related work that may require attention.</w:t>
      </w:r>
    </w:p>
    <w:p>
      <w:pPr>
        <w:spacing w:after="40" w:before="70"/>
        <w:ind w:left="403"/>
      </w:pPr>
      <w:r>
        <w:rPr>
          <w:color w:val="8B8FA3"/>
          <w:sz w:val="17"/>
          <w:szCs w:val="17"/>
        </w:rPr>
        <w:t xml:space="preserve">Ref: pro-what-does-the-workflow-board-show-65</w:t>
      </w:r>
    </w:p>
    <w:p>
      <w:pPr>
        <w:keepNext/>
        <w:spacing w:after="90" w:before="220"/>
      </w:pPr>
      <w:r>
        <w:rPr>
          <w:b/>
          <w:bCs/>
          <w:color w:val="1A1C2E"/>
          <w:sz w:val="24"/>
          <w:szCs w:val="24"/>
        </w:rPr>
        <w:t xml:space="preserve">3.   How are engagement workflows configured?</w:t>
      </w:r>
    </w:p>
    <w:p>
      <w:pPr>
        <w:spacing w:after="90"/>
        <w:ind w:left="403"/>
      </w:pPr>
      <w:r>
        <w:rPr>
          <w:sz w:val="22"/>
          <w:szCs w:val="22"/>
        </w:rPr>
        <w:t xml:space="preserve">A workflow defines the repeatable process the firm follows to deliver an engagement from start to completion, including its stages, their order, the requirements for advancing, and the tasks created as work reaches each stage.</w:t>
      </w:r>
    </w:p>
    <w:p>
      <w:pPr>
        <w:spacing w:after="90"/>
        <w:ind w:left="403"/>
      </w:pPr>
      <w:r>
        <w:rPr>
          <w:b/>
          <w:bCs/>
          <w:color w:val="4735BE"/>
          <w:sz w:val="18"/>
          <w:szCs w:val="18"/>
        </w:rPr>
        <w:t xml:space="preserve">More   </w:t>
      </w:r>
      <w:r>
        <w:rPr>
          <w:sz w:val="22"/>
          <w:szCs w:val="22"/>
        </w:rPr>
        <w:t xml:space="preserve">For example, a workflow may run Intake, Document Collection, Preparation, Review, Client Approval, Complete. A strict stage can require its gates to be satisfied before an engagement advances; a flexible stage lets firm users move work forward with fewer mandatory controls. Reusable task templates make the workflow operational: when an engagement enters a stage, AssurePro can create its predefined tasks, assign them to the right role, and calculate due dates relative to the date the engagement entered that stage.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Workflow, then open an existing workflow or select New Workflow.</w:t>
      </w:r>
    </w:p>
    <w:p>
      <w:pPr>
        <w:pStyle w:val="ListParagraph"/>
        <w:numPr>
          <w:ilvl w:val="0"/>
          <w:numId w:val="2"/>
        </w:numPr>
        <w:spacing w:after="40"/>
        <w:ind w:left="892"/>
      </w:pPr>
      <w:r>
        <w:rPr>
          <w:sz w:val="21"/>
          <w:szCs w:val="21"/>
        </w:rPr>
        <w:t xml:space="preserve">Name the workflow and add the stages that represent the firm's delivery process.</w:t>
      </w:r>
    </w:p>
    <w:p>
      <w:pPr>
        <w:pStyle w:val="ListParagraph"/>
        <w:numPr>
          <w:ilvl w:val="0"/>
          <w:numId w:val="2"/>
        </w:numPr>
        <w:spacing w:after="40"/>
        <w:ind w:left="892"/>
      </w:pPr>
      <w:r>
        <w:rPr>
          <w:sz w:val="21"/>
          <w:szCs w:val="21"/>
        </w:rPr>
        <w:t xml:space="preserve">Drag the stages into the order work should progress.</w:t>
      </w:r>
    </w:p>
    <w:p>
      <w:pPr>
        <w:pStyle w:val="ListParagraph"/>
        <w:numPr>
          <w:ilvl w:val="0"/>
          <w:numId w:val="2"/>
        </w:numPr>
        <w:spacing w:after="40"/>
        <w:ind w:left="892"/>
      </w:pPr>
      <w:r>
        <w:rPr>
          <w:sz w:val="21"/>
          <w:szCs w:val="21"/>
        </w:rPr>
        <w:t xml:space="preserve">Configure each stage as strict or flexible, and add any stage gates or progression requirements.</w:t>
      </w:r>
    </w:p>
    <w:p>
      <w:pPr>
        <w:pStyle w:val="ListParagraph"/>
        <w:numPr>
          <w:ilvl w:val="0"/>
          <w:numId w:val="2"/>
        </w:numPr>
        <w:spacing w:after="40"/>
        <w:ind w:left="892"/>
      </w:pPr>
      <w:r>
        <w:rPr>
          <w:sz w:val="21"/>
          <w:szCs w:val="21"/>
        </w:rPr>
        <w:t xml:space="preserve">Add reusable task templates to the appropriate stages; for each one, enter a clear task name, assign the responsible role, set its relative due date, and mark it Required when completion should be mandatory.</w:t>
      </w:r>
    </w:p>
    <w:p>
      <w:pPr>
        <w:pStyle w:val="ListParagraph"/>
        <w:numPr>
          <w:ilvl w:val="0"/>
          <w:numId w:val="2"/>
        </w:numPr>
        <w:spacing w:after="40"/>
        <w:ind w:left="892"/>
      </w:pPr>
      <w:r>
        <w:rPr>
          <w:sz w:val="21"/>
          <w:szCs w:val="21"/>
        </w:rPr>
        <w:t xml:space="preserve">Arrange the tasks in the order firm users should follow, then save the workflow.</w:t>
      </w:r>
    </w:p>
    <w:p>
      <w:pPr>
        <w:pStyle w:val="ListParagraph"/>
        <w:numPr>
          <w:ilvl w:val="0"/>
          <w:numId w:val="2"/>
        </w:numPr>
        <w:spacing w:after="40"/>
        <w:ind w:left="892"/>
      </w:pPr>
      <w:r>
        <w:rPr>
          <w:sz w:val="21"/>
          <w:szCs w:val="21"/>
        </w:rPr>
        <w:t xml:space="preserve">Test it with a demo engagement and confirm the stages, tasks, assignments, due dates, and progression controls behave as intended.</w:t>
      </w:r>
    </w:p>
    <w:p>
      <w:pPr>
        <w:pStyle w:val="ListParagraph"/>
        <w:numPr>
          <w:ilvl w:val="0"/>
          <w:numId w:val="2"/>
        </w:numPr>
        <w:spacing w:after="40"/>
        <w:ind w:left="892"/>
      </w:pPr>
      <w:r>
        <w:rPr>
          <w:sz w:val="21"/>
          <w:szCs w:val="21"/>
        </w:rPr>
        <w:t xml:space="preserve">After rollout, use each stage's active and overdue counts to identify recurring delays and refine the workflow.</w:t>
      </w:r>
    </w:p>
    <w:p>
      <w:pPr>
        <w:spacing w:after="40" w:before="70"/>
        <w:ind w:left="403"/>
      </w:pPr>
      <w:r>
        <w:rPr>
          <w:color w:val="8B8FA3"/>
          <w:sz w:val="17"/>
          <w:szCs w:val="17"/>
        </w:rPr>
        <w:t xml:space="preserve">Ref: pro-how-are-engagement-workflows-configured-66</w:t>
      </w:r>
    </w:p>
    <w:p>
      <w:pPr>
        <w:keepNext/>
        <w:spacing w:after="90" w:before="220"/>
      </w:pPr>
      <w:r>
        <w:rPr>
          <w:b/>
          <w:bCs/>
          <w:color w:val="1A1C2E"/>
          <w:sz w:val="24"/>
          <w:szCs w:val="24"/>
        </w:rPr>
        <w:t xml:space="preserve">4.   How do I create a workflow?</w:t>
      </w:r>
    </w:p>
    <w:p>
      <w:pPr>
        <w:spacing w:after="90"/>
        <w:ind w:left="403"/>
      </w:pPr>
      <w:r>
        <w:rPr>
          <w:sz w:val="22"/>
          <w:szCs w:val="22"/>
        </w:rPr>
        <w:t xml:space="preserve">Firm administrators can create a workflow from Settings &gt; Workflow to define the standard process used for a recurring type of engagement.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Workflow.</w:t>
      </w:r>
    </w:p>
    <w:p>
      <w:pPr>
        <w:pStyle w:val="ListParagraph"/>
        <w:numPr>
          <w:ilvl w:val="0"/>
          <w:numId w:val="2"/>
        </w:numPr>
        <w:spacing w:after="40"/>
        <w:ind w:left="892"/>
      </w:pPr>
      <w:r>
        <w:rPr>
          <w:sz w:val="21"/>
          <w:szCs w:val="21"/>
        </w:rPr>
        <w:t xml:space="preserve">Select New Workflow.</w:t>
      </w:r>
    </w:p>
    <w:p>
      <w:pPr>
        <w:pStyle w:val="ListParagraph"/>
        <w:numPr>
          <w:ilvl w:val="0"/>
          <w:numId w:val="2"/>
        </w:numPr>
        <w:spacing w:after="40"/>
        <w:ind w:left="892"/>
      </w:pPr>
      <w:r>
        <w:rPr>
          <w:sz w:val="21"/>
          <w:szCs w:val="21"/>
        </w:rPr>
        <w:t xml:space="preserve">Enter a clear workflow name that identifies the service or process it supports.</w:t>
      </w:r>
    </w:p>
    <w:p>
      <w:pPr>
        <w:pStyle w:val="ListParagraph"/>
        <w:numPr>
          <w:ilvl w:val="0"/>
          <w:numId w:val="2"/>
        </w:numPr>
        <w:spacing w:after="40"/>
        <w:ind w:left="892"/>
      </w:pPr>
      <w:r>
        <w:rPr>
          <w:sz w:val="21"/>
          <w:szCs w:val="21"/>
        </w:rPr>
        <w:t xml:space="preserve">Add the required workflow stages.</w:t>
      </w:r>
    </w:p>
    <w:p>
      <w:pPr>
        <w:pStyle w:val="ListParagraph"/>
        <w:numPr>
          <w:ilvl w:val="0"/>
          <w:numId w:val="2"/>
        </w:numPr>
        <w:spacing w:after="40"/>
        <w:ind w:left="892"/>
      </w:pPr>
      <w:r>
        <w:rPr>
          <w:sz w:val="21"/>
          <w:szCs w:val="21"/>
        </w:rPr>
        <w:t xml:space="preserve">Arrange the stages in the order the engagement should follow.</w:t>
      </w:r>
    </w:p>
    <w:p>
      <w:pPr>
        <w:pStyle w:val="ListParagraph"/>
        <w:numPr>
          <w:ilvl w:val="0"/>
          <w:numId w:val="2"/>
        </w:numPr>
        <w:spacing w:after="40"/>
        <w:ind w:left="892"/>
      </w:pPr>
      <w:r>
        <w:rPr>
          <w:sz w:val="21"/>
          <w:szCs w:val="21"/>
        </w:rPr>
        <w:t xml:space="preserve">Configure any stage gates or progression controls.</w:t>
      </w:r>
    </w:p>
    <w:p>
      <w:pPr>
        <w:pStyle w:val="ListParagraph"/>
        <w:numPr>
          <w:ilvl w:val="0"/>
          <w:numId w:val="2"/>
        </w:numPr>
        <w:spacing w:after="40"/>
        <w:ind w:left="892"/>
      </w:pPr>
      <w:r>
        <w:rPr>
          <w:sz w:val="21"/>
          <w:szCs w:val="21"/>
        </w:rPr>
        <w:t xml:space="preserve">Add task templates to the appropriate stages.</w:t>
      </w:r>
    </w:p>
    <w:p>
      <w:pPr>
        <w:pStyle w:val="ListParagraph"/>
        <w:numPr>
          <w:ilvl w:val="0"/>
          <w:numId w:val="2"/>
        </w:numPr>
        <w:spacing w:after="40"/>
        <w:ind w:left="892"/>
      </w:pPr>
      <w:r>
        <w:rPr>
          <w:sz w:val="21"/>
          <w:szCs w:val="21"/>
        </w:rPr>
        <w:t xml:space="preserve">For each task, select the responsible role, set the relative due date, and mark it as required where appropriate.</w:t>
      </w:r>
    </w:p>
    <w:p>
      <w:pPr>
        <w:pStyle w:val="ListParagraph"/>
        <w:numPr>
          <w:ilvl w:val="0"/>
          <w:numId w:val="2"/>
        </w:numPr>
        <w:spacing w:after="40"/>
        <w:ind w:left="892"/>
      </w:pPr>
      <w:r>
        <w:rPr>
          <w:sz w:val="21"/>
          <w:szCs w:val="21"/>
        </w:rPr>
        <w:t xml:space="preserve">Save the workflow.</w:t>
      </w:r>
    </w:p>
    <w:p>
      <w:pPr>
        <w:pStyle w:val="ListParagraph"/>
        <w:numPr>
          <w:ilvl w:val="0"/>
          <w:numId w:val="2"/>
        </w:numPr>
        <w:spacing w:after="40"/>
        <w:ind w:left="892"/>
      </w:pPr>
      <w:r>
        <w:rPr>
          <w:sz w:val="21"/>
          <w:szCs w:val="21"/>
        </w:rPr>
        <w:t xml:space="preserve">Create a demo engagement that uses the workflow.</w:t>
      </w:r>
    </w:p>
    <w:p>
      <w:pPr>
        <w:pStyle w:val="ListParagraph"/>
        <w:numPr>
          <w:ilvl w:val="0"/>
          <w:numId w:val="2"/>
        </w:numPr>
        <w:spacing w:after="40"/>
        <w:ind w:left="892"/>
      </w:pPr>
      <w:r>
        <w:rPr>
          <w:sz w:val="21"/>
          <w:szCs w:val="21"/>
        </w:rPr>
        <w:t xml:space="preserve">Confirm that the stage order, generated tasks, assignments, due dates, and progression rules appear as expected before using it for live client work.</w:t>
      </w:r>
    </w:p>
    <w:p>
      <w:pPr>
        <w:pStyle w:val="ListParagraph"/>
        <w:numPr>
          <w:ilvl w:val="0"/>
          <w:numId w:val="2"/>
        </w:numPr>
        <w:spacing w:after="40"/>
        <w:ind w:left="892"/>
      </w:pPr>
      <w:r>
        <w:rPr>
          <w:sz w:val="21"/>
          <w:szCs w:val="21"/>
        </w:rPr>
        <w:t xml:space="preserve">For example, your firm may create separate workflows for Individual Tax, Business Tax, Monthly Bookkeeping, Audit, or Advisory engagements when the delivery process differs across service lines.</w:t>
      </w:r>
    </w:p>
    <w:p>
      <w:pPr>
        <w:spacing w:after="40" w:before="70"/>
        <w:ind w:left="403"/>
      </w:pPr>
      <w:r>
        <w:rPr>
          <w:color w:val="8B8FA3"/>
          <w:sz w:val="17"/>
          <w:szCs w:val="17"/>
        </w:rPr>
        <w:t xml:space="preserve">Ref: pro-how-do-i-create-a-workflow-67</w:t>
      </w:r>
    </w:p>
    <w:p>
      <w:pPr>
        <w:keepNext/>
        <w:spacing w:after="90" w:before="220"/>
      </w:pPr>
      <w:r>
        <w:rPr>
          <w:b/>
          <w:bCs/>
          <w:color w:val="1A1C2E"/>
          <w:sz w:val="24"/>
          <w:szCs w:val="24"/>
        </w:rPr>
        <w:t xml:space="preserve">5.   What can be configured on workflow task templates?</w:t>
      </w:r>
    </w:p>
    <w:p>
      <w:pPr>
        <w:spacing w:after="90"/>
        <w:ind w:left="403"/>
      </w:pPr>
      <w:r>
        <w:rPr>
          <w:sz w:val="22"/>
          <w:szCs w:val="22"/>
        </w:rPr>
        <w:t xml:space="preserve">Workflow task templates define the repeatable tasks that AssurePro creates when an engagement reaches a particular workflow stage.</w:t>
      </w:r>
    </w:p>
    <w:p>
      <w:pPr>
        <w:spacing w:after="90"/>
        <w:ind w:left="403"/>
      </w:pPr>
      <w:r>
        <w:rPr>
          <w:b/>
          <w:bCs/>
          <w:color w:val="4735BE"/>
          <w:sz w:val="18"/>
          <w:szCs w:val="18"/>
        </w:rPr>
        <w:t xml:space="preserve">More   </w:t>
      </w:r>
      <w:r>
        <w:rPr>
          <w:sz w:val="22"/>
          <w:szCs w:val="22"/>
        </w:rPr>
        <w:t xml:space="preserve">Firm administrators can configure each task template with a task name, responsible role, relative due-date offset, required status, and task order within the stage. The relative due date is calculated from the date the engagement enters the stage, helping the firm create a consistent timeline for recurring work.</w:t>
      </w:r>
    </w:p>
    <w:p>
      <w:pPr>
        <w:spacing w:after="90"/>
        <w:ind w:left="403"/>
      </w:pPr>
      <w:r>
        <w:rPr>
          <w:b/>
          <w:bCs/>
          <w:color w:val="4735BE"/>
          <w:sz w:val="18"/>
          <w:szCs w:val="18"/>
        </w:rPr>
        <w:t xml:space="preserve">More   </w:t>
      </w:r>
      <w:r>
        <w:rPr>
          <w:sz w:val="22"/>
          <w:szCs w:val="22"/>
        </w:rPr>
        <w:t xml:space="preserve">For example, an Intake stage may include a required task such as Confirm signed engagement letter before the engagement can move to Document Collection. Administrators can add, edit, delete, and reorder task templates within each workflow stage. Use clear task names that describe the expected deliverable, assign the role responsible for completing the work, and mark a task as Required when the engagement should not advance without it.</w:t>
      </w:r>
    </w:p>
    <w:p>
      <w:pPr>
        <w:spacing w:after="40" w:before="70"/>
        <w:ind w:left="403"/>
      </w:pPr>
      <w:r>
        <w:rPr>
          <w:color w:val="8B8FA3"/>
          <w:sz w:val="17"/>
          <w:szCs w:val="17"/>
        </w:rPr>
        <w:t xml:space="preserve">Ref: pro-what-can-be-configured-on-workflow-task-templates-68</w:t>
      </w:r>
    </w:p>
    <w:p>
      <w:pPr>
        <w:keepNext/>
        <w:spacing w:after="90" w:before="220"/>
      </w:pPr>
      <w:r>
        <w:rPr>
          <w:b/>
          <w:bCs/>
          <w:color w:val="1A1C2E"/>
          <w:sz w:val="24"/>
          <w:szCs w:val="24"/>
        </w:rPr>
        <w:t xml:space="preserve">6.   What is Firm SOP and how is it managed?</w:t>
      </w:r>
    </w:p>
    <w:p>
      <w:pPr>
        <w:spacing w:after="90"/>
        <w:ind w:left="403"/>
      </w:pPr>
      <w:r>
        <w:rPr>
          <w:sz w:val="22"/>
          <w:szCs w:val="22"/>
        </w:rPr>
        <w:t xml:space="preserve">Firm SOP is the central location for maintaining firm-wide standard operating procedures in AssurePro.</w:t>
      </w:r>
    </w:p>
    <w:p>
      <w:pPr>
        <w:spacing w:after="90"/>
        <w:ind w:left="403"/>
      </w:pPr>
      <w:r>
        <w:rPr>
          <w:b/>
          <w:bCs/>
          <w:color w:val="4735BE"/>
          <w:sz w:val="18"/>
          <w:szCs w:val="18"/>
        </w:rPr>
        <w:t xml:space="preserve">More   </w:t>
      </w:r>
      <w:r>
        <w:rPr>
          <w:sz w:val="22"/>
          <w:szCs w:val="22"/>
        </w:rPr>
        <w:t xml:space="preserve">It helps your firm document repeatable processes so partners, managers, reviewers, and firm users can follow a consistent approach when performing recurring work. The Firm SOP area separates procedures by status: All, Pending, Active, Draft, and Rejected. Use Draft while a procedure is being written or revised, Pending when it is ready for review, Active when it has been approved for firm use, and Rejected when it should not be used.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Firm SOP.</w:t>
      </w:r>
    </w:p>
    <w:p>
      <w:pPr>
        <w:pStyle w:val="ListParagraph"/>
        <w:numPr>
          <w:ilvl w:val="0"/>
          <w:numId w:val="2"/>
        </w:numPr>
        <w:spacing w:after="40"/>
        <w:ind w:left="892"/>
      </w:pPr>
      <w:r>
        <w:rPr>
          <w:sz w:val="21"/>
          <w:szCs w:val="21"/>
        </w:rPr>
        <w:t xml:space="preserve">Select New SOP.</w:t>
      </w:r>
    </w:p>
    <w:p>
      <w:pPr>
        <w:pStyle w:val="ListParagraph"/>
        <w:numPr>
          <w:ilvl w:val="0"/>
          <w:numId w:val="2"/>
        </w:numPr>
        <w:spacing w:after="40"/>
        <w:ind w:left="892"/>
      </w:pPr>
      <w:r>
        <w:rPr>
          <w:sz w:val="21"/>
          <w:szCs w:val="21"/>
        </w:rPr>
        <w:t xml:space="preserve">Enter and document the procedure.</w:t>
      </w:r>
    </w:p>
    <w:p>
      <w:pPr>
        <w:pStyle w:val="ListParagraph"/>
        <w:numPr>
          <w:ilvl w:val="0"/>
          <w:numId w:val="2"/>
        </w:numPr>
        <w:spacing w:after="40"/>
        <w:ind w:left="892"/>
      </w:pPr>
      <w:r>
        <w:rPr>
          <w:sz w:val="21"/>
          <w:szCs w:val="21"/>
        </w:rPr>
        <w:t xml:space="preserve">Save it as Draft while it is being prepared.</w:t>
      </w:r>
    </w:p>
    <w:p>
      <w:pPr>
        <w:pStyle w:val="ListParagraph"/>
        <w:numPr>
          <w:ilvl w:val="0"/>
          <w:numId w:val="2"/>
        </w:numPr>
        <w:spacing w:after="40"/>
        <w:ind w:left="892"/>
      </w:pPr>
      <w:r>
        <w:rPr>
          <w:sz w:val="21"/>
          <w:szCs w:val="21"/>
        </w:rPr>
        <w:t xml:space="preserve">Move it to Pending when it is ready for review.</w:t>
      </w:r>
    </w:p>
    <w:p>
      <w:pPr>
        <w:pStyle w:val="ListParagraph"/>
        <w:numPr>
          <w:ilvl w:val="0"/>
          <w:numId w:val="2"/>
        </w:numPr>
        <w:spacing w:after="40"/>
        <w:ind w:left="892"/>
      </w:pPr>
      <w:r>
        <w:rPr>
          <w:sz w:val="21"/>
          <w:szCs w:val="21"/>
        </w:rPr>
        <w:t xml:space="preserve">Mark it Active once the procedure has been approved for use across the firm.</w:t>
      </w:r>
    </w:p>
    <w:p>
      <w:pPr>
        <w:pStyle w:val="ListParagraph"/>
        <w:numPr>
          <w:ilvl w:val="0"/>
          <w:numId w:val="2"/>
        </w:numPr>
        <w:spacing w:after="40"/>
        <w:ind w:left="892"/>
      </w:pPr>
      <w:r>
        <w:rPr>
          <w:sz w:val="21"/>
          <w:szCs w:val="21"/>
        </w:rPr>
        <w:t xml:space="preserve">Use Rejected when the procedure should not be adopted.</w:t>
      </w:r>
    </w:p>
    <w:p>
      <w:pPr>
        <w:pStyle w:val="ListParagraph"/>
        <w:numPr>
          <w:ilvl w:val="0"/>
          <w:numId w:val="2"/>
        </w:numPr>
        <w:spacing w:after="40"/>
        <w:ind w:left="892"/>
      </w:pPr>
      <w:r>
        <w:rPr>
          <w:sz w:val="21"/>
          <w:szCs w:val="21"/>
        </w:rPr>
        <w:t xml:space="preserve">Use Firm SOP for procedures that apply broadly across the practice. Keep client-specific instructions in that client's AI SOP area so exceptions or unique client requirements remain separate from firm-wide standards.</w:t>
      </w:r>
    </w:p>
    <w:p>
      <w:pPr>
        <w:spacing w:after="40" w:before="70"/>
        <w:ind w:left="403"/>
      </w:pPr>
      <w:r>
        <w:rPr>
          <w:color w:val="8B8FA3"/>
          <w:sz w:val="17"/>
          <w:szCs w:val="17"/>
        </w:rPr>
        <w:t xml:space="preserve">Ref: pro-what-is-firm-sop-and-how-is-it-managed-69</w:t>
      </w:r>
    </w:p>
    <w:p>
      <w:pPr>
        <w:keepNext/>
        <w:spacing w:after="90" w:before="220"/>
      </w:pPr>
      <w:r>
        <w:rPr>
          <w:b/>
          <w:bCs/>
          <w:color w:val="1A1C2E"/>
          <w:sz w:val="24"/>
          <w:szCs w:val="24"/>
        </w:rPr>
        <w:t xml:space="preserve">7.   How is a new engagement created?</w:t>
      </w:r>
    </w:p>
    <w:p>
      <w:pPr>
        <w:spacing w:after="90"/>
        <w:ind w:left="403"/>
      </w:pPr>
      <w:r>
        <w:rPr>
          <w:sz w:val="22"/>
          <w:szCs w:val="22"/>
        </w:rPr>
        <w:t xml:space="preserve">Firm users can create a new engagement either from Workflow or from the client's Engagements tab.</w:t>
      </w:r>
    </w:p>
    <w:p>
      <w:pPr>
        <w:spacing w:after="90"/>
        <w:ind w:left="403"/>
      </w:pPr>
      <w:r>
        <w:rPr>
          <w:b/>
          <w:bCs/>
          <w:color w:val="4735BE"/>
          <w:sz w:val="18"/>
          <w:szCs w:val="18"/>
        </w:rPr>
        <w:t xml:space="preserve">More   </w:t>
      </w:r>
      <w:r>
        <w:rPr>
          <w:sz w:val="22"/>
          <w:szCs w:val="22"/>
        </w:rPr>
        <w:t xml:space="preserve">When the engagement is created, the selected Engagement Type determines the workflow structure and other configured defaults that apply to that type of work, such as stages, tasks, roles, and dates.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New Engagement.</w:t>
      </w:r>
    </w:p>
    <w:p>
      <w:pPr>
        <w:pStyle w:val="ListParagraph"/>
        <w:numPr>
          <w:ilvl w:val="0"/>
          <w:numId w:val="2"/>
        </w:numPr>
        <w:spacing w:after="40"/>
        <w:ind w:left="892"/>
      </w:pPr>
      <w:r>
        <w:rPr>
          <w:sz w:val="21"/>
          <w:szCs w:val="21"/>
        </w:rPr>
        <w:t xml:space="preserve">Search for and select the client.</w:t>
      </w:r>
    </w:p>
    <w:p>
      <w:pPr>
        <w:pStyle w:val="ListParagraph"/>
        <w:numPr>
          <w:ilvl w:val="0"/>
          <w:numId w:val="2"/>
        </w:numPr>
        <w:spacing w:after="40"/>
        <w:ind w:left="892"/>
      </w:pPr>
      <w:r>
        <w:rPr>
          <w:sz w:val="21"/>
          <w:szCs w:val="21"/>
        </w:rPr>
        <w:t xml:space="preserve">If the client does not yet exist, select Create new client and complete the required client information.</w:t>
      </w:r>
    </w:p>
    <w:p>
      <w:pPr>
        <w:pStyle w:val="ListParagraph"/>
        <w:numPr>
          <w:ilvl w:val="0"/>
          <w:numId w:val="2"/>
        </w:numPr>
        <w:spacing w:after="40"/>
        <w:ind w:left="892"/>
      </w:pPr>
      <w:r>
        <w:rPr>
          <w:sz w:val="21"/>
          <w:szCs w:val="21"/>
        </w:rPr>
        <w:t xml:space="preserve">Select the appropriate Engagement Type.</w:t>
      </w:r>
    </w:p>
    <w:p>
      <w:pPr>
        <w:pStyle w:val="ListParagraph"/>
        <w:numPr>
          <w:ilvl w:val="0"/>
          <w:numId w:val="2"/>
        </w:numPr>
        <w:spacing w:after="40"/>
        <w:ind w:left="892"/>
      </w:pPr>
      <w:r>
        <w:rPr>
          <w:sz w:val="21"/>
          <w:szCs w:val="21"/>
        </w:rPr>
        <w:t xml:space="preserve">Enter the engagement details shown for that type, such as the engagement name, start and due dates, priority, assigned roles or firm users, recurrence for a repeating engagement, and any other fields specific to that Engagement Type.</w:t>
      </w:r>
    </w:p>
    <w:p>
      <w:pPr>
        <w:pStyle w:val="ListParagraph"/>
        <w:numPr>
          <w:ilvl w:val="0"/>
          <w:numId w:val="2"/>
        </w:numPr>
        <w:spacing w:after="40"/>
        <w:ind w:left="892"/>
      </w:pPr>
      <w:r>
        <w:rPr>
          <w:sz w:val="21"/>
          <w:szCs w:val="21"/>
        </w:rPr>
        <w:t xml:space="preserve">Select Create Engagement.</w:t>
      </w:r>
    </w:p>
    <w:p>
      <w:pPr>
        <w:pStyle w:val="ListParagraph"/>
        <w:numPr>
          <w:ilvl w:val="0"/>
          <w:numId w:val="2"/>
        </w:numPr>
        <w:spacing w:after="40"/>
        <w:ind w:left="892"/>
      </w:pPr>
      <w:r>
        <w:rPr>
          <w:sz w:val="21"/>
          <w:szCs w:val="21"/>
        </w:rPr>
        <w:t xml:space="preserve">Open the new engagement and review the configured: Workflow stages, Tasks, Role assignments, Due dates, Other engagement details.</w:t>
      </w:r>
    </w:p>
    <w:p>
      <w:pPr>
        <w:pStyle w:val="ListParagraph"/>
        <w:numPr>
          <w:ilvl w:val="0"/>
          <w:numId w:val="2"/>
        </w:numPr>
        <w:spacing w:after="40"/>
        <w:ind w:left="892"/>
      </w:pPr>
      <w:r>
        <w:rPr>
          <w:sz w:val="21"/>
          <w:szCs w:val="21"/>
        </w:rPr>
        <w:t xml:space="preserve">Creating the engagement from the client's Engagements tab starts the process with that client already selected, which can be useful when firm users are already working in the client workspace.</w:t>
      </w:r>
    </w:p>
    <w:p>
      <w:pPr>
        <w:pStyle w:val="ListParagraph"/>
        <w:numPr>
          <w:ilvl w:val="0"/>
          <w:numId w:val="2"/>
        </w:numPr>
        <w:spacing w:after="40"/>
        <w:ind w:left="892"/>
      </w:pPr>
      <w:r>
        <w:rPr>
          <w:sz w:val="21"/>
          <w:szCs w:val="21"/>
        </w:rPr>
        <w:t xml:space="preserve">Before beginning live work, confirm that the Engagement Type, assignments, dates, and generated workflow match the service your firm is delivering.</w:t>
      </w:r>
    </w:p>
    <w:p>
      <w:pPr>
        <w:spacing w:after="40" w:before="70"/>
        <w:ind w:left="403"/>
      </w:pPr>
      <w:r>
        <w:rPr>
          <w:color w:val="8B8FA3"/>
          <w:sz w:val="17"/>
          <w:szCs w:val="17"/>
        </w:rPr>
        <w:t xml:space="preserve">Ref: pro-how-is-a-new-engagement-created-70</w:t>
      </w:r>
    </w:p>
    <w:p>
      <w:pPr>
        <w:keepNext/>
        <w:spacing w:after="90" w:before="220"/>
      </w:pPr>
      <w:r>
        <w:rPr>
          <w:b/>
          <w:bCs/>
          <w:color w:val="1A1C2E"/>
          <w:sz w:val="24"/>
          <w:szCs w:val="24"/>
        </w:rPr>
        <w:t xml:space="preserve">8.   How should firm users use Board, List, and Tasks views?</w:t>
      </w:r>
    </w:p>
    <w:p>
      <w:pPr>
        <w:spacing w:after="90"/>
        <w:ind w:left="403"/>
      </w:pPr>
      <w:r>
        <w:rPr>
          <w:sz w:val="22"/>
          <w:szCs w:val="22"/>
        </w:rPr>
        <w:t xml:space="preserve">The Board, List, and Tasks views provide different ways to review the same underlying engagement work. Switching views does not change an engagement's status or workflow.</w:t>
      </w:r>
    </w:p>
    <w:p>
      <w:pPr>
        <w:spacing w:after="90"/>
        <w:ind w:left="403"/>
      </w:pPr>
      <w:r>
        <w:rPr>
          <w:b/>
          <w:bCs/>
          <w:color w:val="4735BE"/>
          <w:sz w:val="18"/>
          <w:szCs w:val="18"/>
        </w:rPr>
        <w:t xml:space="preserve">More   </w:t>
      </w:r>
      <w:r>
        <w:rPr>
          <w:sz w:val="22"/>
          <w:szCs w:val="22"/>
        </w:rPr>
        <w:t xml:space="preserve">Use each view based on the question you are trying to answer:</w:t>
      </w:r>
    </w:p>
    <w:p>
      <w:pPr>
        <w:spacing w:after="90"/>
        <w:ind w:left="403"/>
      </w:pPr>
      <w:r>
        <w:rPr>
          <w:b/>
          <w:bCs/>
          <w:color w:val="4735BE"/>
          <w:sz w:val="18"/>
          <w:szCs w:val="18"/>
        </w:rPr>
        <w:t xml:space="preserve">More   </w:t>
      </w:r>
      <w:r>
        <w:rPr>
          <w:sz w:val="22"/>
          <w:szCs w:val="22"/>
        </w:rPr>
        <w:t xml:space="preserve">Board — use when you want to understand where engagements are in the workflow. It is useful for reviewing stage volume, overdue work, assignments, due dates, time in stage, and task progress.</w:t>
      </w:r>
    </w:p>
    <w:p>
      <w:pPr>
        <w:spacing w:after="90"/>
        <w:ind w:left="403"/>
      </w:pPr>
      <w:r>
        <w:rPr>
          <w:b/>
          <w:bCs/>
          <w:color w:val="4735BE"/>
          <w:sz w:val="18"/>
          <w:szCs w:val="18"/>
        </w:rPr>
        <w:t xml:space="preserve">More   </w:t>
      </w:r>
      <w:r>
        <w:rPr>
          <w:sz w:val="22"/>
          <w:szCs w:val="22"/>
        </w:rPr>
        <w:t xml:space="preserve">List — use when you need a compact, record-level view for searching, filtering, sorting, or comparing multiple engagements.</w:t>
      </w:r>
    </w:p>
    <w:p>
      <w:pPr>
        <w:spacing w:after="90"/>
        <w:ind w:left="403"/>
      </w:pPr>
      <w:r>
        <w:rPr>
          <w:b/>
          <w:bCs/>
          <w:color w:val="4735BE"/>
          <w:sz w:val="18"/>
          <w:szCs w:val="18"/>
        </w:rPr>
        <w:t xml:space="preserve">More   </w:t>
      </w:r>
      <w:r>
        <w:rPr>
          <w:sz w:val="22"/>
          <w:szCs w:val="22"/>
        </w:rPr>
        <w:t xml:space="preserve">Tasks — use when you want to focus on the individual work items that need to be completed across engagements.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Workflow and select the workflow you want to review.</w:t>
      </w:r>
    </w:p>
    <w:p>
      <w:pPr>
        <w:pStyle w:val="ListParagraph"/>
        <w:numPr>
          <w:ilvl w:val="0"/>
          <w:numId w:val="2"/>
        </w:numPr>
        <w:spacing w:after="40"/>
        <w:ind w:left="892"/>
      </w:pPr>
      <w:r>
        <w:rPr>
          <w:sz w:val="21"/>
          <w:szCs w:val="21"/>
        </w:rPr>
        <w:t xml:space="preserve">Choose Board to review engagement progress by stage and identify work that may be stalled or overdue.</w:t>
      </w:r>
    </w:p>
    <w:p>
      <w:pPr>
        <w:pStyle w:val="ListParagraph"/>
        <w:numPr>
          <w:ilvl w:val="0"/>
          <w:numId w:val="2"/>
        </w:numPr>
        <w:spacing w:after="40"/>
        <w:ind w:left="892"/>
      </w:pPr>
      <w:r>
        <w:rPr>
          <w:sz w:val="21"/>
          <w:szCs w:val="21"/>
        </w:rPr>
        <w:t xml:space="preserve">Choose List to search and compare engagement-level information.</w:t>
      </w:r>
    </w:p>
    <w:p>
      <w:pPr>
        <w:pStyle w:val="ListParagraph"/>
        <w:numPr>
          <w:ilvl w:val="0"/>
          <w:numId w:val="2"/>
        </w:numPr>
        <w:spacing w:after="40"/>
        <w:ind w:left="892"/>
      </w:pPr>
      <w:r>
        <w:rPr>
          <w:sz w:val="21"/>
          <w:szCs w:val="21"/>
        </w:rPr>
        <w:t xml:space="preserve">Choose Tasks to review actionable work items and their status.</w:t>
      </w:r>
    </w:p>
    <w:p>
      <w:pPr>
        <w:pStyle w:val="ListParagraph"/>
        <w:numPr>
          <w:ilvl w:val="0"/>
          <w:numId w:val="2"/>
        </w:numPr>
        <w:spacing w:after="40"/>
        <w:ind w:left="892"/>
      </w:pPr>
      <w:r>
        <w:rPr>
          <w:sz w:val="21"/>
          <w:szCs w:val="21"/>
        </w:rPr>
        <w:t xml:space="preserve">Open the relevant engagement or task from any view when you need to review or update the underlying work.</w:t>
      </w:r>
    </w:p>
    <w:p>
      <w:pPr>
        <w:pStyle w:val="ListParagraph"/>
        <w:numPr>
          <w:ilvl w:val="0"/>
          <w:numId w:val="2"/>
        </w:numPr>
        <w:spacing w:after="40"/>
        <w:ind w:left="892"/>
      </w:pPr>
      <w:r>
        <w:rPr>
          <w:sz w:val="21"/>
          <w:szCs w:val="21"/>
        </w:rPr>
        <w:t xml:space="preserve">For example, a manager may use Board to identify several engagements accumulating in Review, switch to List to compare their due dates and assigned reviewers, and then use Tasks to see the specific review work that remains outstanding.</w:t>
      </w:r>
    </w:p>
    <w:p>
      <w:pPr>
        <w:spacing w:after="40" w:before="70"/>
        <w:ind w:left="403"/>
      </w:pPr>
      <w:r>
        <w:rPr>
          <w:color w:val="8B8FA3"/>
          <w:sz w:val="17"/>
          <w:szCs w:val="17"/>
        </w:rPr>
        <w:t xml:space="preserve">Ref: pro-how-should-staff-use-board-list-and-tasks-views-71</w:t>
      </w:r>
    </w:p>
    <w:p>
      <w:pPr>
        <w:keepNext/>
        <w:spacing w:after="90" w:before="220"/>
      </w:pPr>
      <w:r>
        <w:rPr>
          <w:b/>
          <w:bCs/>
          <w:color w:val="1A1C2E"/>
          <w:sz w:val="24"/>
          <w:szCs w:val="24"/>
        </w:rPr>
        <w:t xml:space="preserve">9.   Can an engagement repeat?</w:t>
      </w:r>
    </w:p>
    <w:p>
      <w:pPr>
        <w:spacing w:after="90"/>
        <w:ind w:left="403"/>
      </w:pPr>
      <w:r>
        <w:rPr>
          <w:sz w:val="22"/>
          <w:szCs w:val="22"/>
        </w:rPr>
        <w:t xml:space="preserve">Yes. AssurePro supports recurring engagements for services that repeat on a regular schedule.</w:t>
      </w:r>
    </w:p>
    <w:p>
      <w:pPr>
        <w:spacing w:after="90"/>
        <w:ind w:left="403"/>
      </w:pPr>
      <w:r>
        <w:rPr>
          <w:b/>
          <w:bCs/>
          <w:color w:val="4735BE"/>
          <w:sz w:val="18"/>
          <w:szCs w:val="18"/>
        </w:rPr>
        <w:t xml:space="preserve">More   </w:t>
      </w:r>
      <w:r>
        <w:rPr>
          <w:sz w:val="22"/>
          <w:szCs w:val="22"/>
        </w:rPr>
        <w:t xml:space="preserve">Depending on the engagement setup, recurrence can be used for work such as monthly bookkeeping, quarterly advisory, payroll-related work, periodic accounting services, and other repeatable client engagements. Recurring engagements can display recurrence indicators such as monthly or semesterly, occurrence counts, and a Finished repeating state when the recurrence has ended.</w:t>
      </w:r>
    </w:p>
    <w:p>
      <w:pPr>
        <w:spacing w:after="90"/>
        <w:ind w:left="403"/>
      </w:pPr>
      <w:r>
        <w:rPr>
          <w:b/>
          <w:bCs/>
          <w:color w:val="4735BE"/>
          <w:sz w:val="18"/>
          <w:szCs w:val="18"/>
        </w:rPr>
        <w:t xml:space="preserve">More   </w:t>
      </w:r>
      <w:r>
        <w:rPr>
          <w:sz w:val="22"/>
          <w:szCs w:val="22"/>
        </w:rPr>
        <w:t xml:space="preserve">When setting up recurrence, confirm the recurrence pattern, the starting period, the client and Engagement Type, assigned roles or firm users, engagement dates, workflow stages, and tasks and due dates. Each generated occurrence should follow the intended structure so firm users do not need to rebuild the same engagement manually for every period.</w:t>
      </w:r>
    </w:p>
    <w:p>
      <w:pPr>
        <w:spacing w:after="90"/>
        <w:ind w:left="403"/>
      </w:pPr>
      <w:r>
        <w:rPr>
          <w:b/>
          <w:bCs/>
          <w:color w:val="4735BE"/>
          <w:sz w:val="18"/>
          <w:szCs w:val="18"/>
        </w:rPr>
        <w:t xml:space="preserve">More   </w:t>
      </w:r>
      <w:r>
        <w:rPr>
          <w:sz w:val="22"/>
          <w:szCs w:val="22"/>
        </w:rPr>
        <w:t xml:space="preserve">Use recurrence when the underlying service and workflow are expected to repeat consistently. If the client's scope or delivery process changes significantly between periods, review the engagement setup before relying on the recurring configuration.</w:t>
      </w:r>
    </w:p>
    <w:p>
      <w:pPr>
        <w:spacing w:after="40" w:before="70"/>
        <w:ind w:left="403"/>
      </w:pPr>
      <w:r>
        <w:rPr>
          <w:color w:val="8B8FA3"/>
          <w:sz w:val="17"/>
          <w:szCs w:val="17"/>
        </w:rPr>
        <w:t xml:space="preserve">Ref: pro-can-an-engagement-repeat-72</w:t>
      </w:r>
    </w:p>
    <w:p>
      <w:pPr>
        <w:keepNext/>
        <w:spacing w:after="90" w:before="220"/>
      </w:pPr>
      <w:r>
        <w:rPr>
          <w:b/>
          <w:bCs/>
          <w:color w:val="1A1C2E"/>
          <w:sz w:val="24"/>
          <w:szCs w:val="24"/>
        </w:rPr>
        <w:t xml:space="preserve">10.   How are tasks tracked?</w:t>
      </w:r>
    </w:p>
    <w:p>
      <w:pPr>
        <w:spacing w:after="90"/>
        <w:ind w:left="403"/>
      </w:pPr>
      <w:r>
        <w:rPr>
          <w:sz w:val="22"/>
          <w:szCs w:val="22"/>
        </w:rPr>
        <w:t xml:space="preserve">Tasks in AssurePro represent the individual actions that need to be completed as part of client and engagement work.</w:t>
      </w:r>
    </w:p>
    <w:p>
      <w:pPr>
        <w:spacing w:after="90"/>
        <w:ind w:left="403"/>
      </w:pPr>
      <w:r>
        <w:rPr>
          <w:b/>
          <w:bCs/>
          <w:color w:val="4735BE"/>
          <w:sz w:val="18"/>
          <w:szCs w:val="18"/>
        </w:rPr>
        <w:t xml:space="preserve">More   </w:t>
      </w:r>
      <w:r>
        <w:rPr>
          <w:sz w:val="22"/>
          <w:szCs w:val="22"/>
        </w:rPr>
        <w:t xml:space="preserve">A task can include a task name, priority, due date, assignee or responsible role, completion status, related client or engagement, and workflow context. Tasks can appear in several places across AssurePro, including Workflow, the client Overview, Tasks views, and dashboard task and review widgets. Overdue tasks are highlighted separately so managers and firm users can identify work that has passed its due date.</w:t>
      </w:r>
    </w:p>
    <w:p>
      <w:pPr>
        <w:spacing w:after="90"/>
        <w:ind w:left="403"/>
      </w:pPr>
      <w:r>
        <w:rPr>
          <w:b/>
          <w:bCs/>
          <w:color w:val="4735BE"/>
          <w:sz w:val="18"/>
          <w:szCs w:val="18"/>
        </w:rPr>
        <w:t xml:space="preserve">More   </w:t>
      </w:r>
      <w:r>
        <w:rPr>
          <w:sz w:val="22"/>
          <w:szCs w:val="22"/>
        </w:rPr>
        <w:t xml:space="preserve">A well-defined task should describe one clear action, have an accountable owner or role, and include a meaningful due date. For example, Review uploaded W-2s can be assigned to the reviewer on a client's tax engagement, marked as high priority, tracked within the engagement, and surfaced as overdue if it is not completed by the due date. Keeping tasks specific and properly assigned helps preparers, reviewers, and managers understand what needs to happen next and who is responsible for completing it.</w:t>
      </w:r>
    </w:p>
    <w:p>
      <w:pPr>
        <w:spacing w:after="40" w:before="70"/>
        <w:ind w:left="403"/>
      </w:pPr>
      <w:r>
        <w:rPr>
          <w:color w:val="8B8FA3"/>
          <w:sz w:val="17"/>
          <w:szCs w:val="17"/>
        </w:rPr>
        <w:t xml:space="preserve">Ref: pro-how-are-tasks-tracked-73</w:t>
      </w:r>
    </w:p>
    <w:p>
      <w:pPr>
        <w:keepNext/>
        <w:spacing w:after="90" w:before="220"/>
      </w:pPr>
      <w:r>
        <w:rPr>
          <w:b/>
          <w:bCs/>
          <w:color w:val="1A1C2E"/>
          <w:sz w:val="24"/>
          <w:szCs w:val="24"/>
        </w:rPr>
        <w:t xml:space="preserve">11.   Can standard operating procedures be managed in AssurePro?</w:t>
      </w:r>
    </w:p>
    <w:p>
      <w:pPr>
        <w:spacing w:after="90"/>
        <w:ind w:left="403"/>
      </w:pPr>
      <w:r>
        <w:rPr>
          <w:sz w:val="22"/>
          <w:szCs w:val="22"/>
        </w:rPr>
        <w:t xml:space="preserve">Yes. AssurePro supports documented procedures at different levels so your firm can maintain consistent working practices while still accounting for service- or client-specific requirements.</w:t>
      </w:r>
    </w:p>
    <w:p>
      <w:pPr>
        <w:spacing w:after="90"/>
        <w:ind w:left="403"/>
      </w:pPr>
      <w:r>
        <w:rPr>
          <w:b/>
          <w:bCs/>
          <w:color w:val="4735BE"/>
          <w:sz w:val="18"/>
          <w:szCs w:val="18"/>
        </w:rPr>
        <w:t xml:space="preserve">More   </w:t>
      </w:r>
      <w:r>
        <w:rPr>
          <w:sz w:val="22"/>
          <w:szCs w:val="22"/>
        </w:rPr>
        <w:t xml:space="preserve">Use the appropriate SOP location based on where the procedure applies. Firm SOP: use for policies and procedures that apply broadly across the practice. Service-level SOP: use for procedures that define how a particular service or type of work should be delivered. Client AI SOP: use for instructions, exceptions, or working procedures that apply only to a specific client.</w:t>
      </w:r>
    </w:p>
    <w:p>
      <w:pPr>
        <w:spacing w:after="90"/>
        <w:ind w:left="403"/>
      </w:pPr>
      <w:r>
        <w:rPr>
          <w:b/>
          <w:bCs/>
          <w:color w:val="4735BE"/>
          <w:sz w:val="18"/>
          <w:szCs w:val="18"/>
        </w:rPr>
        <w:t xml:space="preserve">More   </w:t>
      </w:r>
      <w:r>
        <w:rPr>
          <w:sz w:val="22"/>
          <w:szCs w:val="22"/>
        </w:rPr>
        <w:t xml:space="preserve">Firm SOPs can use statuses such as Draft, Pending, Active, and Rejected. Draft: the procedure is still being written or updated. Pending: the procedure is ready for review or approval. Active: the procedure is approved and should be followed by firm users. Rejected: the procedure should not be used.</w:t>
      </w:r>
    </w:p>
    <w:p>
      <w:pPr>
        <w:spacing w:after="90"/>
        <w:ind w:left="403"/>
      </w:pPr>
      <w:r>
        <w:rPr>
          <w:b/>
          <w:bCs/>
          <w:color w:val="4735BE"/>
          <w:sz w:val="18"/>
          <w:szCs w:val="18"/>
        </w:rPr>
        <w:t xml:space="preserve">More   </w:t>
      </w:r>
      <w:r>
        <w:rPr>
          <w:sz w:val="22"/>
          <w:szCs w:val="22"/>
        </w:rPr>
        <w:t xml:space="preserve">For example, your firm may maintain a firm-wide SOP for client data handling, a service-specific SOP for preparing individual tax returns, and a client AI SOP for a client that requires a unique review sequence or document-handling process. Separating procedures by scope helps firm users follow the correct instructions without mixing firm-wide standards with client-specific exceptions.</w:t>
      </w:r>
    </w:p>
    <w:p>
      <w:pPr>
        <w:spacing w:after="40" w:before="70"/>
        <w:ind w:left="403"/>
      </w:pPr>
      <w:r>
        <w:rPr>
          <w:color w:val="8B8FA3"/>
          <w:sz w:val="17"/>
          <w:szCs w:val="17"/>
        </w:rPr>
        <w:t xml:space="preserve">Ref: pro-can-standard-operating-procedures-be-managed-in-assurepro-78</w:t>
      </w:r>
    </w:p>
    <w:p>
      <w:r>
        <w:br w:type="page"/>
      </w:r>
    </w:p>
    <w:p>
      <w:pPr>
        <w:pStyle w:val="Heading1"/>
        <w:spacing w:after="40" w:before="60"/>
      </w:pPr>
      <w:r>
        <w:rPr>
          <w:b/>
          <w:bCs/>
          <w:color w:val="1A1C2E"/>
          <w:sz w:val="32"/>
          <w:szCs w:val="32"/>
        </w:rPr>
        <w:t xml:space="preserve">Time Sheet</w:t>
      </w:r>
    </w:p>
    <w:p>
      <w:pPr>
        <w:pBdr>
          <w:bottom w:val="single" w:color="E4E2F0" w:sz="4"/>
        </w:pBdr>
        <w:spacing w:after="200"/>
      </w:pPr>
      <w:r>
        <w:rPr>
          <w:color w:val="8B8FA3"/>
          <w:sz w:val="20"/>
          <w:szCs w:val="20"/>
        </w:rPr>
        <w:t xml:space="preserve">4 questions</w:t>
      </w:r>
    </w:p>
    <w:p>
      <w:pPr>
        <w:keepNext/>
        <w:spacing w:after="90" w:before="220"/>
      </w:pPr>
      <w:r>
        <w:rPr>
          <w:b/>
          <w:bCs/>
          <w:color w:val="1A1C2E"/>
          <w:sz w:val="24"/>
          <w:szCs w:val="24"/>
        </w:rPr>
        <w:t xml:space="preserve">1.   How does the time tracker work?</w:t>
      </w:r>
    </w:p>
    <w:p>
      <w:pPr>
        <w:spacing w:after="90"/>
        <w:ind w:left="403"/>
      </w:pPr>
      <w:r>
        <w:rPr>
          <w:sz w:val="22"/>
          <w:szCs w:val="22"/>
        </w:rPr>
        <w:t xml:space="preserve">The time tracker allows firm users to record time as work is being performed and keep that time connected to the correct client, engagement, task, and billing treatment.</w:t>
      </w:r>
    </w:p>
    <w:p>
      <w:pPr>
        <w:spacing w:after="90"/>
        <w:ind w:left="403"/>
      </w:pPr>
      <w:r>
        <w:rPr>
          <w:b/>
          <w:bCs/>
          <w:color w:val="4735BE"/>
          <w:sz w:val="18"/>
          <w:szCs w:val="18"/>
        </w:rPr>
        <w:t xml:space="preserve">More   </w:t>
      </w:r>
      <w:r>
        <w:rPr>
          <w:sz w:val="22"/>
          <w:szCs w:val="22"/>
        </w:rPr>
        <w:t xml:space="preserve">Use Start when you want AssurePro to track elapsed time while you work. If the time is already known, you can enter the duration manually instead. For client work, the time entry can include the client, engagement, task, work date, description, billable or non-billable status, and duration. Capturing these details when the work is recorded helps reduce cleanup later during billing, time review, and reporting.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time tracker from the application header.</w:t>
      </w:r>
    </w:p>
    <w:p>
      <w:pPr>
        <w:pStyle w:val="ListParagraph"/>
        <w:numPr>
          <w:ilvl w:val="0"/>
          <w:numId w:val="2"/>
        </w:numPr>
        <w:spacing w:after="40"/>
        <w:ind w:left="892"/>
      </w:pPr>
      <w:r>
        <w:rPr>
          <w:sz w:val="21"/>
          <w:szCs w:val="21"/>
        </w:rPr>
        <w:t xml:space="preserve">Choose Client work or Internal work.</w:t>
      </w:r>
    </w:p>
    <w:p>
      <w:pPr>
        <w:pStyle w:val="ListParagraph"/>
        <w:numPr>
          <w:ilvl w:val="0"/>
          <w:numId w:val="2"/>
        </w:numPr>
        <w:spacing w:after="40"/>
        <w:ind w:left="892"/>
      </w:pPr>
      <w:r>
        <w:rPr>
          <w:sz w:val="21"/>
          <w:szCs w:val="21"/>
        </w:rPr>
        <w:t xml:space="preserve">For client work, select the client and the related engagement.</w:t>
      </w:r>
    </w:p>
    <w:p>
      <w:pPr>
        <w:pStyle w:val="ListParagraph"/>
        <w:numPr>
          <w:ilvl w:val="0"/>
          <w:numId w:val="2"/>
        </w:numPr>
        <w:spacing w:after="40"/>
        <w:ind w:left="892"/>
      </w:pPr>
      <w:r>
        <w:rPr>
          <w:sz w:val="21"/>
          <w:szCs w:val="21"/>
        </w:rPr>
        <w:t xml:space="preserve">Select an existing task or create the task associated with the work.</w:t>
      </w:r>
    </w:p>
    <w:p>
      <w:pPr>
        <w:pStyle w:val="ListParagraph"/>
        <w:numPr>
          <w:ilvl w:val="0"/>
          <w:numId w:val="2"/>
        </w:numPr>
        <w:spacing w:after="40"/>
        <w:ind w:left="892"/>
      </w:pPr>
      <w:r>
        <w:rPr>
          <w:sz w:val="21"/>
          <w:szCs w:val="21"/>
        </w:rPr>
        <w:t xml:space="preserve">Select Start to begin live time tracking, or enter the hours and minutes manually.</w:t>
      </w:r>
    </w:p>
    <w:p>
      <w:pPr>
        <w:pStyle w:val="ListParagraph"/>
        <w:numPr>
          <w:ilvl w:val="0"/>
          <w:numId w:val="2"/>
        </w:numPr>
        <w:spacing w:after="40"/>
        <w:ind w:left="892"/>
      </w:pPr>
      <w:r>
        <w:rPr>
          <w:sz w:val="21"/>
          <w:szCs w:val="21"/>
        </w:rPr>
        <w:t xml:space="preserve">Confirm the work date and add a clear description of the work performed.</w:t>
      </w:r>
    </w:p>
    <w:p>
      <w:pPr>
        <w:pStyle w:val="ListParagraph"/>
        <w:numPr>
          <w:ilvl w:val="0"/>
          <w:numId w:val="2"/>
        </w:numPr>
        <w:spacing w:after="40"/>
        <w:ind w:left="892"/>
      </w:pPr>
      <w:r>
        <w:rPr>
          <w:sz w:val="21"/>
          <w:szCs w:val="21"/>
        </w:rPr>
        <w:t xml:space="preserve">Mark the entry as Billable or Non-billable, as appropriate.</w:t>
      </w:r>
    </w:p>
    <w:p>
      <w:pPr>
        <w:pStyle w:val="ListParagraph"/>
        <w:numPr>
          <w:ilvl w:val="0"/>
          <w:numId w:val="2"/>
        </w:numPr>
        <w:spacing w:after="40"/>
        <w:ind w:left="892"/>
      </w:pPr>
      <w:r>
        <w:rPr>
          <w:sz w:val="21"/>
          <w:szCs w:val="21"/>
        </w:rPr>
        <w:t xml:space="preserve">Save the entry.</w:t>
      </w:r>
    </w:p>
    <w:p>
      <w:pPr>
        <w:pStyle w:val="ListParagraph"/>
        <w:numPr>
          <w:ilvl w:val="0"/>
          <w:numId w:val="2"/>
        </w:numPr>
        <w:spacing w:after="40"/>
        <w:ind w:left="892"/>
      </w:pPr>
      <w:r>
        <w:rPr>
          <w:sz w:val="21"/>
          <w:szCs w:val="21"/>
        </w:rPr>
        <w:t xml:space="preserve">Review the entry in Time Sheet, where information such as duration, rate, amount, billable status, and invoice status is available.</w:t>
      </w:r>
    </w:p>
    <w:p>
      <w:pPr>
        <w:pStyle w:val="ListParagraph"/>
        <w:numPr>
          <w:ilvl w:val="0"/>
          <w:numId w:val="2"/>
        </w:numPr>
        <w:spacing w:after="40"/>
        <w:ind w:left="892"/>
      </w:pPr>
      <w:r>
        <w:rPr>
          <w:sz w:val="21"/>
          <w:szCs w:val="21"/>
        </w:rPr>
        <w:t xml:space="preserve">For accurate billing and reporting, record time against the correct client, engagement, and task whenever possible.</w:t>
      </w:r>
    </w:p>
    <w:p>
      <w:pPr>
        <w:spacing w:after="40" w:before="70"/>
        <w:ind w:left="403"/>
      </w:pPr>
      <w:r>
        <w:rPr>
          <w:color w:val="8B8FA3"/>
          <w:sz w:val="17"/>
          <w:szCs w:val="17"/>
        </w:rPr>
        <w:t xml:space="preserve">Ref: pro-how-does-the-time-tracker-work-74</w:t>
      </w:r>
    </w:p>
    <w:p>
      <w:pPr>
        <w:keepNext/>
        <w:spacing w:after="90" w:before="220"/>
      </w:pPr>
      <w:r>
        <w:rPr>
          <w:b/>
          <w:bCs/>
          <w:color w:val="1A1C2E"/>
          <w:sz w:val="24"/>
          <w:szCs w:val="24"/>
        </w:rPr>
        <w:t xml:space="preserve">2.   Can time be entered manually instead of using the timer?</w:t>
      </w:r>
    </w:p>
    <w:p>
      <w:pPr>
        <w:spacing w:after="90"/>
        <w:ind w:left="403"/>
      </w:pPr>
      <w:r>
        <w:rPr>
          <w:sz w:val="22"/>
          <w:szCs w:val="22"/>
        </w:rPr>
        <w:t xml:space="preserve">Yes. Firm users can enter time manually when live tracking was not used or when the duration of the work is already known.</w:t>
      </w:r>
    </w:p>
    <w:p>
      <w:pPr>
        <w:spacing w:after="90"/>
        <w:ind w:left="403"/>
      </w:pPr>
      <w:r>
        <w:rPr>
          <w:b/>
          <w:bCs/>
          <w:color w:val="4735BE"/>
          <w:sz w:val="18"/>
          <w:szCs w:val="18"/>
        </w:rPr>
        <w:t xml:space="preserve">More   </w:t>
      </w:r>
      <w:r>
        <w:rPr>
          <w:sz w:val="22"/>
          <w:szCs w:val="22"/>
        </w:rPr>
        <w:t xml:space="preserve">Manual time entry is useful for situations such as work completed away from the live timer, time recorded from another reliable work record, corrections to a previous entry, or work entered after it was completed.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time tracker.</w:t>
      </w:r>
    </w:p>
    <w:p>
      <w:pPr>
        <w:pStyle w:val="ListParagraph"/>
        <w:numPr>
          <w:ilvl w:val="0"/>
          <w:numId w:val="2"/>
        </w:numPr>
        <w:spacing w:after="40"/>
        <w:ind w:left="892"/>
      </w:pPr>
      <w:r>
        <w:rPr>
          <w:sz w:val="21"/>
          <w:szCs w:val="21"/>
        </w:rPr>
        <w:t xml:space="preserve">Choose Client work or Internal work.</w:t>
      </w:r>
    </w:p>
    <w:p>
      <w:pPr>
        <w:pStyle w:val="ListParagraph"/>
        <w:numPr>
          <w:ilvl w:val="0"/>
          <w:numId w:val="2"/>
        </w:numPr>
        <w:spacing w:after="40"/>
        <w:ind w:left="892"/>
      </w:pPr>
      <w:r>
        <w:rPr>
          <w:sz w:val="21"/>
          <w:szCs w:val="21"/>
        </w:rPr>
        <w:t xml:space="preserve">For client work, select the correct client, engagement, and task.</w:t>
      </w:r>
    </w:p>
    <w:p>
      <w:pPr>
        <w:pStyle w:val="ListParagraph"/>
        <w:numPr>
          <w:ilvl w:val="0"/>
          <w:numId w:val="2"/>
        </w:numPr>
        <w:spacing w:after="40"/>
        <w:ind w:left="892"/>
      </w:pPr>
      <w:r>
        <w:rPr>
          <w:sz w:val="21"/>
          <w:szCs w:val="21"/>
        </w:rPr>
        <w:t xml:space="preserve">Enter the actual hours and minutes worked.</w:t>
      </w:r>
    </w:p>
    <w:p>
      <w:pPr>
        <w:pStyle w:val="ListParagraph"/>
        <w:numPr>
          <w:ilvl w:val="0"/>
          <w:numId w:val="2"/>
        </w:numPr>
        <w:spacing w:after="40"/>
        <w:ind w:left="892"/>
      </w:pPr>
      <w:r>
        <w:rPr>
          <w:sz w:val="21"/>
          <w:szCs w:val="21"/>
        </w:rPr>
        <w:t xml:space="preserve">Select the date on which the work was performed.</w:t>
      </w:r>
    </w:p>
    <w:p>
      <w:pPr>
        <w:pStyle w:val="ListParagraph"/>
        <w:numPr>
          <w:ilvl w:val="0"/>
          <w:numId w:val="2"/>
        </w:numPr>
        <w:spacing w:after="40"/>
        <w:ind w:left="892"/>
      </w:pPr>
      <w:r>
        <w:rPr>
          <w:sz w:val="21"/>
          <w:szCs w:val="21"/>
        </w:rPr>
        <w:t xml:space="preserve">Add a description that clearly explains the work completed.</w:t>
      </w:r>
    </w:p>
    <w:p>
      <w:pPr>
        <w:pStyle w:val="ListParagraph"/>
        <w:numPr>
          <w:ilvl w:val="0"/>
          <w:numId w:val="2"/>
        </w:numPr>
        <w:spacing w:after="40"/>
        <w:ind w:left="892"/>
      </w:pPr>
      <w:r>
        <w:rPr>
          <w:sz w:val="21"/>
          <w:szCs w:val="21"/>
        </w:rPr>
        <w:t xml:space="preserve">Choose Billable or Non-billable.</w:t>
      </w:r>
    </w:p>
    <w:p>
      <w:pPr>
        <w:pStyle w:val="ListParagraph"/>
        <w:numPr>
          <w:ilvl w:val="0"/>
          <w:numId w:val="2"/>
        </w:numPr>
        <w:spacing w:after="40"/>
        <w:ind w:left="892"/>
      </w:pPr>
      <w:r>
        <w:rPr>
          <w:sz w:val="21"/>
          <w:szCs w:val="21"/>
        </w:rPr>
        <w:t xml:space="preserve">Review the applicable rate, where relevant.</w:t>
      </w:r>
    </w:p>
    <w:p>
      <w:pPr>
        <w:pStyle w:val="ListParagraph"/>
        <w:numPr>
          <w:ilvl w:val="0"/>
          <w:numId w:val="2"/>
        </w:numPr>
        <w:spacing w:after="40"/>
        <w:ind w:left="892"/>
      </w:pPr>
      <w:r>
        <w:rPr>
          <w:sz w:val="21"/>
          <w:szCs w:val="21"/>
        </w:rPr>
        <w:t xml:space="preserve">Save the entry.</w:t>
      </w:r>
    </w:p>
    <w:p>
      <w:pPr>
        <w:pStyle w:val="ListParagraph"/>
        <w:numPr>
          <w:ilvl w:val="0"/>
          <w:numId w:val="2"/>
        </w:numPr>
        <w:spacing w:after="40"/>
        <w:ind w:left="892"/>
      </w:pPr>
      <w:r>
        <w:rPr>
          <w:sz w:val="21"/>
          <w:szCs w:val="21"/>
        </w:rPr>
        <w:t xml:space="preserve">Review the entry in Time Sheet and confirm its duration, amount, assignee, billable status, and invoice status before it is included in billing.</w:t>
      </w:r>
    </w:p>
    <w:p>
      <w:pPr>
        <w:pStyle w:val="ListParagraph"/>
        <w:numPr>
          <w:ilvl w:val="0"/>
          <w:numId w:val="2"/>
        </w:numPr>
        <w:spacing w:after="40"/>
        <w:ind w:left="892"/>
      </w:pPr>
      <w:r>
        <w:rPr>
          <w:sz w:val="21"/>
          <w:szCs w:val="21"/>
        </w:rPr>
        <w:t xml:space="preserve">Manual entries should reflect the actual work performed and the correct work date so time-based billing, utilization reporting, and engagement records remain accurate.</w:t>
      </w:r>
    </w:p>
    <w:p>
      <w:pPr>
        <w:spacing w:after="40" w:before="70"/>
        <w:ind w:left="403"/>
      </w:pPr>
      <w:r>
        <w:rPr>
          <w:color w:val="8B8FA3"/>
          <w:sz w:val="17"/>
          <w:szCs w:val="17"/>
        </w:rPr>
        <w:t xml:space="preserve">Ref: pro-can-time-be-entered-manually-instead-of-using-the-timer-75</w:t>
      </w:r>
    </w:p>
    <w:p>
      <w:pPr>
        <w:keepNext/>
        <w:spacing w:after="90" w:before="220"/>
      </w:pPr>
      <w:r>
        <w:rPr>
          <w:b/>
          <w:bCs/>
          <w:color w:val="1A1C2E"/>
          <w:sz w:val="24"/>
          <w:szCs w:val="24"/>
        </w:rPr>
        <w:t xml:space="preserve">3.   How does AssurePro support workload, capacity, and budget oversight?</w:t>
      </w:r>
    </w:p>
    <w:p>
      <w:pPr>
        <w:spacing w:after="90"/>
        <w:ind w:left="403"/>
      </w:pPr>
      <w:r>
        <w:rPr>
          <w:sz w:val="22"/>
          <w:szCs w:val="22"/>
        </w:rPr>
        <w:t xml:space="preserve">AssurePro brings together team workload, workflow progress, recorded time, and reporting so partners and managers can see where work is at risk and decide when reassignment, follow-up, or a budget review is needed.</w:t>
      </w:r>
    </w:p>
    <w:p>
      <w:pPr>
        <w:spacing w:after="90"/>
        <w:ind w:left="403"/>
      </w:pPr>
      <w:r>
        <w:rPr>
          <w:b/>
          <w:bCs/>
          <w:color w:val="4735BE"/>
          <w:sz w:val="18"/>
          <w:szCs w:val="18"/>
        </w:rPr>
        <w:t xml:space="preserve">More   </w:t>
      </w:r>
      <w:r>
        <w:rPr>
          <w:sz w:val="22"/>
          <w:szCs w:val="22"/>
        </w:rPr>
        <w:t xml:space="preserve">The clearest picture comes from reading the views together: Team load shows how work is distributed and who is overloaded; Workflow shows where engagements are sitting, for how long, and where bottlenecks are forming; Time Sheet shows the actual effort recorded, including billable, non-billable, invoiced, and uninvoiced time; and Reports or a custom dashboard show utilization, capacity, and budget-versus-actual results where the firm tracks engagement budgets.</w:t>
      </w:r>
    </w:p>
    <w:p>
      <w:pPr>
        <w:spacing w:after="90"/>
        <w:ind w:left="403"/>
      </w:pPr>
      <w:r>
        <w:rPr>
          <w:b/>
          <w:bCs/>
          <w:color w:val="4735BE"/>
          <w:sz w:val="18"/>
          <w:szCs w:val="18"/>
        </w:rPr>
        <w:t xml:space="preserve">More   </w:t>
      </w:r>
      <w:r>
        <w:rPr>
          <w:sz w:val="22"/>
          <w:szCs w:val="22"/>
        </w:rPr>
        <w:t xml:space="preserve">For example, if Team load shows a reviewer as overloaded with several overdue tasks, a manager can open Workflow to see engagements waiting in Review, check Time Sheet to see whether more hours than expected have already been used, then reassign lower-complexity reviews, adjust due dates, and follow up with preparers on engagements needing rework.</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Use Team load to compare assigned task volume, overdue work, and members whose workload is marked as overloaded.</w:t>
      </w:r>
    </w:p>
    <w:p>
      <w:pPr>
        <w:pStyle w:val="ListParagraph"/>
        <w:numPr>
          <w:ilvl w:val="0"/>
          <w:numId w:val="2"/>
        </w:numPr>
        <w:spacing w:after="40"/>
        <w:ind w:left="892"/>
      </w:pPr>
      <w:r>
        <w:rPr>
          <w:sz w:val="21"/>
          <w:szCs w:val="21"/>
        </w:rPr>
        <w:t xml:space="preserve">Use Workflow to review how long engagements have sat in each stage, task progress, due dates, and bottlenecks.</w:t>
      </w:r>
    </w:p>
    <w:p>
      <w:pPr>
        <w:pStyle w:val="ListParagraph"/>
        <w:numPr>
          <w:ilvl w:val="0"/>
          <w:numId w:val="2"/>
        </w:numPr>
        <w:spacing w:after="40"/>
        <w:ind w:left="892"/>
      </w:pPr>
      <w:r>
        <w:rPr>
          <w:sz w:val="21"/>
          <w:szCs w:val="21"/>
        </w:rPr>
        <w:t xml:space="preserve">Use Time Sheet to compare actual hours recorded by client, engagement, task, or assignee.</w:t>
      </w:r>
    </w:p>
    <w:p>
      <w:pPr>
        <w:pStyle w:val="ListParagraph"/>
        <w:numPr>
          <w:ilvl w:val="0"/>
          <w:numId w:val="2"/>
        </w:numPr>
        <w:spacing w:after="40"/>
        <w:ind w:left="892"/>
      </w:pPr>
      <w:r>
        <w:rPr>
          <w:sz w:val="21"/>
          <w:szCs w:val="21"/>
        </w:rPr>
        <w:t xml:space="preserve">Open the Time &amp; Utilization or Workflow &amp; Capacity dashboard for broader trends, adding a budget-versus-actual widget when the firm tracks engagement budgets.</w:t>
      </w:r>
    </w:p>
    <w:p>
      <w:pPr>
        <w:pStyle w:val="ListParagraph"/>
        <w:numPr>
          <w:ilvl w:val="0"/>
          <w:numId w:val="2"/>
        </w:numPr>
        <w:spacing w:after="40"/>
        <w:ind w:left="892"/>
      </w:pPr>
      <w:r>
        <w:rPr>
          <w:sz w:val="21"/>
          <w:szCs w:val="21"/>
        </w:rPr>
        <w:t xml:space="preserve">Take the appropriate action — reallocate tasks, adjust assignments or due dates, or investigate an engagement overrun — and repeat the review on a regular cadence.</w:t>
      </w:r>
    </w:p>
    <w:p>
      <w:pPr>
        <w:spacing w:after="40" w:before="70"/>
        <w:ind w:left="403"/>
      </w:pPr>
      <w:r>
        <w:rPr>
          <w:color w:val="8B8FA3"/>
          <w:sz w:val="17"/>
          <w:szCs w:val="17"/>
        </w:rPr>
        <w:t xml:space="preserve">Ref: pro-how-does-assurepro-support-workload-capacity-and-budget-oversight-76</w:t>
      </w:r>
    </w:p>
    <w:p>
      <w:pPr>
        <w:keepNext/>
        <w:spacing w:after="90" w:before="220"/>
      </w:pPr>
      <w:r>
        <w:rPr>
          <w:b/>
          <w:bCs/>
          <w:color w:val="1A1C2E"/>
          <w:sz w:val="24"/>
          <w:szCs w:val="24"/>
        </w:rPr>
        <w:t xml:space="preserve">4.   What can we do in Time Sheet?</w:t>
      </w:r>
    </w:p>
    <w:p>
      <w:pPr>
        <w:spacing w:after="90"/>
        <w:ind w:left="403"/>
      </w:pPr>
      <w:r>
        <w:rPr>
          <w:sz w:val="22"/>
          <w:szCs w:val="22"/>
        </w:rPr>
        <w:t xml:space="preserve">Time Sheet is the detailed register for reviewing recorded time across the firm and moving eligible billable time into invoicing.</w:t>
      </w:r>
    </w:p>
    <w:p>
      <w:pPr>
        <w:spacing w:after="90"/>
        <w:ind w:left="403"/>
      </w:pPr>
      <w:r>
        <w:rPr>
          <w:b/>
          <w:bCs/>
          <w:color w:val="4735BE"/>
          <w:sz w:val="18"/>
          <w:szCs w:val="18"/>
        </w:rPr>
        <w:t xml:space="preserve">More   </w:t>
      </w:r>
      <w:r>
        <w:rPr>
          <w:sz w:val="22"/>
          <w:szCs w:val="22"/>
        </w:rPr>
        <w:t xml:space="preserve">Firm users can review time by date, client, engagement, task, or assignee; see start time, end time, duration, description, rate, and amount; distinguish billable from non-billable time; identify invoiced and uninvoiced entries; search, filter, and group entries for comparison; correct entries before billing, subject to permissions; generate invoices from eligible billable time; and export time data for external analysis or reconciliation.</w:t>
      </w:r>
    </w:p>
    <w:p>
      <w:pPr>
        <w:spacing w:after="90"/>
        <w:ind w:left="403"/>
      </w:pPr>
      <w:r>
        <w:rPr>
          <w:b/>
          <w:bCs/>
          <w:color w:val="4735BE"/>
          <w:sz w:val="18"/>
          <w:szCs w:val="18"/>
        </w:rPr>
        <w:t xml:space="preserve">More   </w:t>
      </w:r>
      <w:r>
        <w:rPr>
          <w:sz w:val="22"/>
          <w:szCs w:val="22"/>
        </w:rPr>
        <w:t xml:space="preserve">For example, a manager preparing monthly billing can filter to one client, group by engagement, show only billable and uninvoiced time, correct any incomplete entries, and select the approved time for Generate invoice. Always check invoice status before selecting time for billing — an entry already linked to an invoice should not be billed again.</w:t>
      </w:r>
    </w:p>
    <w:p>
      <w:pPr>
        <w:spacing w:after="40" w:before="70"/>
        <w:ind w:left="403"/>
      </w:pPr>
      <w:r>
        <w:rPr>
          <w:color w:val="8B8FA3"/>
          <w:sz w:val="17"/>
          <w:szCs w:val="17"/>
        </w:rPr>
        <w:t xml:space="preserve">Ref: pro-what-can-we-do-in-time-sheet-77</w:t>
      </w:r>
    </w:p>
    <w:p>
      <w:r>
        <w:br w:type="page"/>
      </w:r>
    </w:p>
    <w:p>
      <w:pPr>
        <w:pStyle w:val="Heading1"/>
        <w:spacing w:after="40" w:before="60"/>
      </w:pPr>
      <w:r>
        <w:rPr>
          <w:b/>
          <w:bCs/>
          <w:color w:val="1A1C2E"/>
          <w:sz w:val="32"/>
          <w:szCs w:val="32"/>
        </w:rPr>
        <w:t xml:space="preserve">Engagement letters</w:t>
      </w:r>
    </w:p>
    <w:p>
      <w:pPr>
        <w:pBdr>
          <w:bottom w:val="single" w:color="E4E2F0" w:sz="4"/>
        </w:pBdr>
        <w:spacing w:after="200"/>
      </w:pPr>
      <w:r>
        <w:rPr>
          <w:color w:val="8B8FA3"/>
          <w:sz w:val="20"/>
          <w:szCs w:val="20"/>
        </w:rPr>
        <w:t xml:space="preserve">13 questions</w:t>
      </w:r>
    </w:p>
    <w:p>
      <w:pPr>
        <w:keepNext/>
        <w:spacing w:after="90" w:before="220"/>
      </w:pPr>
      <w:r>
        <w:rPr>
          <w:b/>
          <w:bCs/>
          <w:color w:val="1A1C2E"/>
          <w:sz w:val="24"/>
          <w:szCs w:val="24"/>
        </w:rPr>
        <w:t xml:space="preserve">1.   How can a new signing package be started?</w:t>
      </w:r>
    </w:p>
    <w:p>
      <w:pPr>
        <w:spacing w:after="90"/>
        <w:ind w:left="403"/>
      </w:pPr>
      <w:r>
        <w:rPr>
          <w:sz w:val="22"/>
          <w:szCs w:val="22"/>
        </w:rPr>
        <w:t xml:space="preserve">A new signing package can be started in one of the following ways:</w:t>
      </w:r>
    </w:p>
    <w:p>
      <w:pPr>
        <w:spacing w:after="90"/>
        <w:ind w:left="403"/>
      </w:pPr>
      <w:r>
        <w:rPr>
          <w:b/>
          <w:bCs/>
          <w:color w:val="4735BE"/>
          <w:sz w:val="18"/>
          <w:szCs w:val="18"/>
        </w:rPr>
        <w:t xml:space="preserve">More   </w:t>
      </w:r>
      <w:r>
        <w:rPr>
          <w:sz w:val="22"/>
          <w:szCs w:val="22"/>
        </w:rPr>
        <w:t xml:space="preserve">Start from scratch — use this when the engagement terms, services, pricing, or agreement wording are unique.</w:t>
      </w:r>
    </w:p>
    <w:p>
      <w:pPr>
        <w:spacing w:after="90"/>
        <w:ind w:left="403"/>
      </w:pPr>
      <w:r>
        <w:rPr>
          <w:b/>
          <w:bCs/>
          <w:color w:val="4735BE"/>
          <w:sz w:val="18"/>
          <w:szCs w:val="18"/>
        </w:rPr>
        <w:t xml:space="preserve">More   </w:t>
      </w:r>
      <w:r>
        <w:rPr>
          <w:sz w:val="22"/>
          <w:szCs w:val="22"/>
        </w:rPr>
        <w:t xml:space="preserve">Use a saved firm template — use this for repeatable services where your firm already has an approved structure.</w:t>
      </w:r>
    </w:p>
    <w:p>
      <w:pPr>
        <w:spacing w:after="90"/>
        <w:ind w:left="403"/>
      </w:pPr>
      <w:r>
        <w:rPr>
          <w:b/>
          <w:bCs/>
          <w:color w:val="4735BE"/>
          <w:sz w:val="18"/>
          <w:szCs w:val="18"/>
        </w:rPr>
        <w:t xml:space="preserve">More   </w:t>
      </w:r>
      <w:r>
        <w:rPr>
          <w:sz w:val="22"/>
          <w:szCs w:val="22"/>
        </w:rPr>
        <w:t xml:space="preserve">Use a curated template — use this as a reviewed starting point that your firm can adapt before sending it to a client.</w:t>
      </w:r>
    </w:p>
    <w:p>
      <w:pPr>
        <w:spacing w:after="90"/>
        <w:ind w:left="403"/>
      </w:pPr>
      <w:r>
        <w:rPr>
          <w:b/>
          <w:bCs/>
          <w:color w:val="4735BE"/>
          <w:sz w:val="18"/>
          <w:szCs w:val="18"/>
        </w:rPr>
        <w:t xml:space="preserve">More   </w:t>
      </w:r>
      <w:r>
        <w:rPr>
          <w:sz w:val="22"/>
          <w:szCs w:val="22"/>
        </w:rPr>
        <w:t xml:space="preserve">Choose the starting method based on how standardized the engagement is. For example, a recurring monthly bookkeeping engagement may be best created from a saved firm template, while a complex advisory engagement with unique commercial terms may be better started from scratch.</w:t>
      </w:r>
    </w:p>
    <w:p>
      <w:pPr>
        <w:spacing w:after="90"/>
        <w:ind w:left="403"/>
      </w:pPr>
      <w:r>
        <w:rPr>
          <w:b/>
          <w:bCs/>
          <w:color w:val="4735BE"/>
          <w:sz w:val="18"/>
          <w:szCs w:val="18"/>
        </w:rPr>
        <w:t xml:space="preserve">More   </w:t>
      </w:r>
      <w:r>
        <w:rPr>
          <w:sz w:val="22"/>
          <w:szCs w:val="22"/>
        </w:rPr>
        <w:t xml:space="preserve">Regardless of the starting method, review the client, recipients, services, pricing, agreement wording, billing terms, and approval requirements before sending the package.</w:t>
      </w:r>
    </w:p>
    <w:p>
      <w:pPr>
        <w:spacing w:after="40" w:before="70"/>
        <w:ind w:left="403"/>
      </w:pPr>
      <w:r>
        <w:rPr>
          <w:color w:val="8B8FA3"/>
          <w:sz w:val="17"/>
          <w:szCs w:val="17"/>
        </w:rPr>
        <w:t xml:space="preserve">Ref: pro-how-can-a-new-signing-package-be-started-80</w:t>
      </w:r>
    </w:p>
    <w:p>
      <w:pPr>
        <w:keepNext/>
        <w:spacing w:after="90" w:before="220"/>
      </w:pPr>
      <w:r>
        <w:rPr>
          <w:b/>
          <w:bCs/>
          <w:color w:val="1A1C2E"/>
          <w:sz w:val="24"/>
          <w:szCs w:val="24"/>
        </w:rPr>
        <w:t xml:space="preserve">2.   What are the main steps in the engagement-letter builder?</w:t>
      </w:r>
    </w:p>
    <w:p>
      <w:pPr>
        <w:spacing w:after="90"/>
        <w:ind w:left="403"/>
      </w:pPr>
      <w:r>
        <w:rPr>
          <w:sz w:val="22"/>
          <w:szCs w:val="22"/>
        </w:rPr>
        <w:t xml:space="preserve">The engagement-letter builder guides firm users through four connected sections so the client, commercial terms, agreement content, and sending requirements can be reviewed before the package is issued.</w:t>
      </w:r>
    </w:p>
    <w:p>
      <w:pPr>
        <w:spacing w:after="90"/>
        <w:ind w:left="403"/>
      </w:pPr>
      <w:r>
        <w:rPr>
          <w:b/>
          <w:bCs/>
          <w:color w:val="4735BE"/>
          <w:sz w:val="18"/>
          <w:szCs w:val="18"/>
        </w:rPr>
        <w:t xml:space="preserve">More   </w:t>
      </w:r>
      <w:r>
        <w:rPr>
          <w:sz w:val="22"/>
          <w:szCs w:val="22"/>
        </w:rPr>
        <w:t xml:space="preserve">Setup answers who the package is for; Services &amp; Pricing defines what is being offered and how the client is charged; Agreement &amp; Terms holds the agreement wording and supporting content; Review &amp; Send confirms dates, reminders, billing, and approvals before sending. The progress indicator lets firm users return to an earlier section without losing the package in progress.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Setup: confirm the client, signing-package name, primary recipient, and any additional recipients or signers.</w:t>
      </w:r>
    </w:p>
    <w:p>
      <w:pPr>
        <w:pStyle w:val="ListParagraph"/>
        <w:numPr>
          <w:ilvl w:val="0"/>
          <w:numId w:val="2"/>
        </w:numPr>
        <w:spacing w:after="40"/>
        <w:ind w:left="892"/>
      </w:pPr>
      <w:r>
        <w:rPr>
          <w:sz w:val="21"/>
          <w:szCs w:val="21"/>
        </w:rPr>
        <w:t xml:space="preserve">Services &amp; Pricing: add the services, packages, add-ons, pricing, discounts, billing method, and any client-selectable options; review the selections against what the firm intends to deliver.</w:t>
      </w:r>
    </w:p>
    <w:p>
      <w:pPr>
        <w:pStyle w:val="ListParagraph"/>
        <w:numPr>
          <w:ilvl w:val="0"/>
          <w:numId w:val="2"/>
        </w:numPr>
        <w:spacing w:after="40"/>
        <w:ind w:left="892"/>
      </w:pPr>
      <w:r>
        <w:rPr>
          <w:sz w:val="21"/>
          <w:szCs w:val="21"/>
        </w:rPr>
        <w:t xml:space="preserve">Agreement &amp; Terms: configure the agreement wording and supporting terms, including additional terms, PDFs or attachments, firm notes, approval requirements, and payment-capture steps; review any edited language carefully.</w:t>
      </w:r>
    </w:p>
    <w:p>
      <w:pPr>
        <w:pStyle w:val="ListParagraph"/>
        <w:numPr>
          <w:ilvl w:val="0"/>
          <w:numId w:val="2"/>
        </w:numPr>
        <w:spacing w:after="40"/>
        <w:ind w:left="892"/>
      </w:pPr>
      <w:r>
        <w:rPr>
          <w:sz w:val="21"/>
          <w:szCs w:val="21"/>
        </w:rPr>
        <w:t xml:space="preserve">Review &amp; Send: confirm the recipients, sign-by and validity dates, reminder cadence, selected services, pricing and total, billing arrangement, and approval requirements.</w:t>
      </w:r>
    </w:p>
    <w:p>
      <w:pPr>
        <w:pStyle w:val="ListParagraph"/>
        <w:numPr>
          <w:ilvl w:val="0"/>
          <w:numId w:val="2"/>
        </w:numPr>
        <w:spacing w:after="40"/>
        <w:ind w:left="892"/>
      </w:pPr>
      <w:r>
        <w:rPr>
          <w:sz w:val="21"/>
          <w:szCs w:val="21"/>
        </w:rPr>
        <w:t xml:space="preserve">Use Preview to review the package from the client's perspective, then resolve every item in the missing-requirements list; Send remains unavailable until the required information is complete.</w:t>
      </w:r>
    </w:p>
    <w:p>
      <w:pPr>
        <w:spacing w:after="40" w:before="70"/>
        <w:ind w:left="403"/>
      </w:pPr>
      <w:r>
        <w:rPr>
          <w:color w:val="8B8FA3"/>
          <w:sz w:val="17"/>
          <w:szCs w:val="17"/>
        </w:rPr>
        <w:t xml:space="preserve">Ref: pro-what-are-the-main-steps-in-the-engagement-letter-builder-81</w:t>
      </w:r>
    </w:p>
    <w:p>
      <w:pPr>
        <w:keepNext/>
        <w:spacing w:after="90" w:before="220"/>
      </w:pPr>
      <w:r>
        <w:rPr>
          <w:b/>
          <w:bCs/>
          <w:color w:val="1A1C2E"/>
          <w:sz w:val="24"/>
          <w:szCs w:val="24"/>
        </w:rPr>
        <w:t xml:space="preserve">3.   How do I create and send an engagement letter?</w:t>
      </w:r>
    </w:p>
    <w:p>
      <w:pPr>
        <w:spacing w:after="90"/>
        <w:ind w:left="403"/>
      </w:pPr>
      <w:r>
        <w:rPr>
          <w:sz w:val="22"/>
          <w:szCs w:val="22"/>
        </w:rPr>
        <w:t xml:space="preserve">Create an engagement letter in AssurePro by starting a new signing package from Engagement Letters.</w:t>
      </w:r>
    </w:p>
    <w:p>
      <w:pPr>
        <w:spacing w:after="90"/>
        <w:ind w:left="403"/>
      </w:pPr>
      <w:r>
        <w:rPr>
          <w:b/>
          <w:bCs/>
          <w:color w:val="4735BE"/>
          <w:sz w:val="18"/>
          <w:szCs w:val="18"/>
        </w:rPr>
        <w:t xml:space="preserve">More   </w:t>
      </w:r>
      <w:r>
        <w:rPr>
          <w:sz w:val="22"/>
          <w:szCs w:val="22"/>
        </w:rPr>
        <w:t xml:space="preserve">You can build the package from scratch or start from a saved firm template or curated template, then tailor the client, recipients, services, pricing, agreement terms, and delivery settings before sending.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Engagement Letters and select New signing package.</w:t>
      </w:r>
    </w:p>
    <w:p>
      <w:pPr>
        <w:pStyle w:val="ListParagraph"/>
        <w:numPr>
          <w:ilvl w:val="0"/>
          <w:numId w:val="2"/>
        </w:numPr>
        <w:spacing w:after="40"/>
        <w:ind w:left="892"/>
      </w:pPr>
      <w:r>
        <w:rPr>
          <w:sz w:val="21"/>
          <w:szCs w:val="21"/>
        </w:rPr>
        <w:t xml:space="preserve">Choose whether to: Start from scratch, Use a saved firm template, Use a curated template.</w:t>
      </w:r>
    </w:p>
    <w:p>
      <w:pPr>
        <w:pStyle w:val="ListParagraph"/>
        <w:numPr>
          <w:ilvl w:val="0"/>
          <w:numId w:val="2"/>
        </w:numPr>
        <w:spacing w:after="40"/>
        <w:ind w:left="892"/>
      </w:pPr>
      <w:r>
        <w:rPr>
          <w:sz w:val="21"/>
          <w:szCs w:val="21"/>
        </w:rPr>
        <w:t xml:space="preserve">In Setup, select the client, enter the package name, and confirm the primary and any additional recipients.</w:t>
      </w:r>
    </w:p>
    <w:p>
      <w:pPr>
        <w:pStyle w:val="ListParagraph"/>
        <w:numPr>
          <w:ilvl w:val="0"/>
          <w:numId w:val="2"/>
        </w:numPr>
        <w:spacing w:after="40"/>
        <w:ind w:left="892"/>
      </w:pPr>
      <w:r>
        <w:rPr>
          <w:sz w:val="21"/>
          <w:szCs w:val="21"/>
        </w:rPr>
        <w:t xml:space="preserve">In Services &amp; Pricing, add the services, packages, pricing, billing method, and any options the client can choose.</w:t>
      </w:r>
    </w:p>
    <w:p>
      <w:pPr>
        <w:pStyle w:val="ListParagraph"/>
        <w:numPr>
          <w:ilvl w:val="0"/>
          <w:numId w:val="2"/>
        </w:numPr>
        <w:spacing w:after="40"/>
        <w:ind w:left="892"/>
      </w:pPr>
      <w:r>
        <w:rPr>
          <w:sz w:val="21"/>
          <w:szCs w:val="21"/>
        </w:rPr>
        <w:t xml:space="preserve">In Agreement &amp; Terms, review the engagement-letter wording, approval requirements, supporting content, and any additional terms.</w:t>
      </w:r>
    </w:p>
    <w:p>
      <w:pPr>
        <w:pStyle w:val="ListParagraph"/>
        <w:numPr>
          <w:ilvl w:val="0"/>
          <w:numId w:val="2"/>
        </w:numPr>
        <w:spacing w:after="40"/>
        <w:ind w:left="892"/>
      </w:pPr>
      <w:r>
        <w:rPr>
          <w:sz w:val="21"/>
          <w:szCs w:val="21"/>
        </w:rPr>
        <w:t xml:space="preserve">Select Preview to review the package as the client will see it.</w:t>
      </w:r>
    </w:p>
    <w:p>
      <w:pPr>
        <w:pStyle w:val="ListParagraph"/>
        <w:numPr>
          <w:ilvl w:val="0"/>
          <w:numId w:val="2"/>
        </w:numPr>
        <w:spacing w:after="40"/>
        <w:ind w:left="892"/>
      </w:pPr>
      <w:r>
        <w:rPr>
          <w:sz w:val="21"/>
          <w:szCs w:val="21"/>
        </w:rPr>
        <w:t xml:space="preserve">In Review &amp; Send, confirm: Recipients and signers, Sign-by date, Validity or expiration date, Reminder schedule, Services and pricing, Billing arrangement, Agreement terms, Approval requirements.</w:t>
      </w:r>
    </w:p>
    <w:p>
      <w:pPr>
        <w:pStyle w:val="ListParagraph"/>
        <w:numPr>
          <w:ilvl w:val="0"/>
          <w:numId w:val="2"/>
        </w:numPr>
        <w:spacing w:after="40"/>
        <w:ind w:left="892"/>
      </w:pPr>
      <w:r>
        <w:rPr>
          <w:sz w:val="21"/>
          <w:szCs w:val="21"/>
        </w:rPr>
        <w:t xml:space="preserve">Review the missing requirements list and complete every required item.</w:t>
      </w:r>
    </w:p>
    <w:p>
      <w:pPr>
        <w:pStyle w:val="ListParagraph"/>
        <w:numPr>
          <w:ilvl w:val="0"/>
          <w:numId w:val="2"/>
        </w:numPr>
        <w:spacing w:after="40"/>
        <w:ind w:left="892"/>
      </w:pPr>
      <w:r>
        <w:rPr>
          <w:sz w:val="21"/>
          <w:szCs w:val="21"/>
        </w:rPr>
        <w:t xml:space="preserve">Once all required information is complete, select Send package.</w:t>
      </w:r>
    </w:p>
    <w:p>
      <w:pPr>
        <w:pStyle w:val="ListParagraph"/>
        <w:numPr>
          <w:ilvl w:val="0"/>
          <w:numId w:val="2"/>
        </w:numPr>
        <w:spacing w:after="40"/>
        <w:ind w:left="892"/>
      </w:pPr>
      <w:r>
        <w:rPr>
          <w:sz w:val="21"/>
          <w:szCs w:val="21"/>
        </w:rPr>
        <w:t xml:space="preserve">Send package remains unavailable until the required client, package name, recipients, services, pricing, agreement terms, and dates have been completed.</w:t>
      </w:r>
    </w:p>
    <w:p>
      <w:pPr>
        <w:pStyle w:val="ListParagraph"/>
        <w:numPr>
          <w:ilvl w:val="0"/>
          <w:numId w:val="2"/>
        </w:numPr>
        <w:spacing w:after="40"/>
        <w:ind w:left="892"/>
      </w:pPr>
      <w:r>
        <w:rPr>
          <w:sz w:val="21"/>
          <w:szCs w:val="21"/>
        </w:rPr>
        <w:t xml:space="preserve">Before sending, use Preview as a final quality check to confirm that the client is receiving the correct services, pricing, terms, and signing instructions.</w:t>
      </w:r>
    </w:p>
    <w:p>
      <w:pPr>
        <w:spacing w:after="40" w:before="70"/>
        <w:ind w:left="403"/>
      </w:pPr>
      <w:r>
        <w:rPr>
          <w:color w:val="8B8FA3"/>
          <w:sz w:val="17"/>
          <w:szCs w:val="17"/>
        </w:rPr>
        <w:t xml:space="preserve">Ref: pro-how-do-i-create-and-send-an-engagement-letter-82</w:t>
      </w:r>
    </w:p>
    <w:p>
      <w:pPr>
        <w:keepNext/>
        <w:spacing w:after="90" w:before="220"/>
      </w:pPr>
      <w:r>
        <w:rPr>
          <w:b/>
          <w:bCs/>
          <w:color w:val="1A1C2E"/>
          <w:sz w:val="24"/>
          <w:szCs w:val="24"/>
        </w:rPr>
        <w:t xml:space="preserve">4.   Can engagement letters be created and sent in bulk?</w:t>
      </w:r>
    </w:p>
    <w:p>
      <w:pPr>
        <w:spacing w:after="90"/>
        <w:ind w:left="403"/>
      </w:pPr>
      <w:r>
        <w:rPr>
          <w:sz w:val="22"/>
          <w:szCs w:val="22"/>
        </w:rPr>
        <w:t xml:space="preserve">Yes. AssurePro allows firms to select a bulk draft engagement letter and send it to multiple clients.</w:t>
      </w:r>
    </w:p>
    <w:p>
      <w:pPr>
        <w:spacing w:after="90"/>
        <w:ind w:left="403"/>
      </w:pPr>
      <w:r>
        <w:rPr>
          <w:b/>
          <w:bCs/>
          <w:color w:val="4735BE"/>
          <w:sz w:val="18"/>
          <w:szCs w:val="18"/>
        </w:rPr>
        <w:t xml:space="preserve">More   </w:t>
      </w:r>
      <w:r>
        <w:rPr>
          <w:sz w:val="22"/>
          <w:szCs w:val="22"/>
        </w:rPr>
        <w:t xml:space="preserve">Before sending, review the draft to confirm that the engagement-letter content, services, pricing, agreement terms, recipients, and signing requirements are correct for the selected clients — any client-specific information should be verified before the bulk send is completed.</w:t>
      </w:r>
    </w:p>
    <w:p>
      <w:pPr>
        <w:spacing w:after="90"/>
        <w:ind w:left="403"/>
      </w:pPr>
      <w:r>
        <w:rPr>
          <w:b/>
          <w:bCs/>
          <w:color w:val="4735BE"/>
          <w:sz w:val="18"/>
          <w:szCs w:val="18"/>
        </w:rPr>
        <w:t xml:space="preserve">More   </w:t>
      </w:r>
      <w:r>
        <w:rPr>
          <w:sz w:val="22"/>
          <w:szCs w:val="22"/>
        </w:rPr>
        <w:t xml:space="preserve">To send engagement letters in bulk, open Engagement Letters, navigate to Drafts and select the engagement letter you want to send, review the included clients and engagement-letter details, confirm the recipients, services, pricing, dates, billing terms, and signature requirements, and select Send to send the engagement letters to the selected clients.</w:t>
      </w:r>
    </w:p>
    <w:p>
      <w:pPr>
        <w:spacing w:after="90"/>
        <w:ind w:left="403"/>
      </w:pPr>
      <w:r>
        <w:rPr>
          <w:b/>
          <w:bCs/>
          <w:color w:val="4735BE"/>
          <w:sz w:val="18"/>
          <w:szCs w:val="18"/>
        </w:rPr>
        <w:t xml:space="preserve">More   </w:t>
      </w:r>
      <w:r>
        <w:rPr>
          <w:sz w:val="22"/>
          <w:szCs w:val="22"/>
        </w:rPr>
        <w:t xml:space="preserve">Bulk sending helps firms distribute a standardized engagement letter efficiently while still allowing the firm to review the draft and selected clients before sending.</w:t>
      </w:r>
    </w:p>
    <w:p>
      <w:pPr>
        <w:spacing w:after="40" w:before="70"/>
        <w:ind w:left="403"/>
      </w:pPr>
      <w:r>
        <w:rPr>
          <w:color w:val="8B8FA3"/>
          <w:sz w:val="17"/>
          <w:szCs w:val="17"/>
        </w:rPr>
        <w:t xml:space="preserve">Ref: pro-can-engagement-letters-be-created-and-sent-in-bulk-83</w:t>
      </w:r>
    </w:p>
    <w:p>
      <w:pPr>
        <w:keepNext/>
        <w:spacing w:after="90" w:before="220"/>
      </w:pPr>
      <w:r>
        <w:rPr>
          <w:b/>
          <w:bCs/>
          <w:color w:val="1A1C2E"/>
          <w:sz w:val="24"/>
          <w:szCs w:val="24"/>
        </w:rPr>
        <w:t xml:space="preserve">5.   How can services be presented to a client in a signing package?</w:t>
      </w:r>
    </w:p>
    <w:p>
      <w:pPr>
        <w:spacing w:after="90"/>
        <w:ind w:left="403"/>
      </w:pPr>
      <w:r>
        <w:rPr>
          <w:sz w:val="22"/>
          <w:szCs w:val="22"/>
        </w:rPr>
        <w:t xml:space="preserve">In Services &amp; Pricing, firm users can control how each service is presented to the client and whether the client has a choice.</w:t>
      </w:r>
    </w:p>
    <w:p>
      <w:pPr>
        <w:spacing w:after="90"/>
        <w:ind w:left="403"/>
      </w:pPr>
      <w:r>
        <w:rPr>
          <w:b/>
          <w:bCs/>
          <w:color w:val="4735BE"/>
          <w:sz w:val="18"/>
          <w:szCs w:val="18"/>
        </w:rPr>
        <w:t xml:space="preserve">More   </w:t>
      </w:r>
      <w:r>
        <w:rPr>
          <w:sz w:val="22"/>
          <w:szCs w:val="22"/>
        </w:rPr>
        <w:t xml:space="preserve">Three presentation options are available: Client picks one, used when the client must choose one option from a set of mutually exclusive packages or services; Client can add it, used for optional services that the client may add to the engagement; and No client choice, used when the service is included automatically and the client is not expected to select or remove it. For example, use Client picks one for packages such as Basic, Standard, or Premium, use Client can add it for optional services such as an advisory consultation or additional support, and use No client choice for a service that forms a required part of the engagement.</w:t>
      </w:r>
    </w:p>
    <w:p>
      <w:pPr>
        <w:spacing w:after="90"/>
        <w:ind w:left="403"/>
      </w:pPr>
      <w:r>
        <w:rPr>
          <w:b/>
          <w:bCs/>
          <w:color w:val="4735BE"/>
          <w:sz w:val="18"/>
          <w:szCs w:val="18"/>
        </w:rPr>
        <w:t xml:space="preserve">More   </w:t>
      </w:r>
      <w:r>
        <w:rPr>
          <w:sz w:val="22"/>
          <w:szCs w:val="22"/>
        </w:rPr>
        <w:t xml:space="preserve">The selected services, pricing, and billing terms remain part of the same signing package, giving the client a consolidated view of what is included and what they are agreeing to. Before sending, use Preview to confirm that the available choices, pricing, and resulting package structure are easy for the client to understand.</w:t>
      </w:r>
    </w:p>
    <w:p>
      <w:pPr>
        <w:spacing w:after="40" w:before="70"/>
        <w:ind w:left="403"/>
      </w:pPr>
      <w:r>
        <w:rPr>
          <w:color w:val="8B8FA3"/>
          <w:sz w:val="17"/>
          <w:szCs w:val="17"/>
        </w:rPr>
        <w:t xml:space="preserve">Ref: pro-how-can-services-be-presented-to-a-client-in-a-signing-package-84</w:t>
      </w:r>
    </w:p>
    <w:p>
      <w:pPr>
        <w:keepNext/>
        <w:spacing w:after="90" w:before="220"/>
      </w:pPr>
      <w:r>
        <w:rPr>
          <w:b/>
          <w:bCs/>
          <w:color w:val="1A1C2E"/>
          <w:sz w:val="24"/>
          <w:szCs w:val="24"/>
        </w:rPr>
        <w:t xml:space="preserve">6.   Can a package include more than one recipient?</w:t>
      </w:r>
    </w:p>
    <w:p>
      <w:pPr>
        <w:spacing w:after="90"/>
        <w:ind w:left="403"/>
      </w:pPr>
      <w:r>
        <w:rPr>
          <w:sz w:val="22"/>
          <w:szCs w:val="22"/>
        </w:rPr>
        <w:t xml:space="preserve">Yes. A signing package can include a primary recipient and additional recipients when more than one person needs to review or sign the engagement letter.</w:t>
      </w:r>
    </w:p>
    <w:p>
      <w:pPr>
        <w:spacing w:after="90"/>
        <w:ind w:left="403"/>
      </w:pPr>
      <w:r>
        <w:rPr>
          <w:b/>
          <w:bCs/>
          <w:color w:val="4735BE"/>
          <w:sz w:val="18"/>
          <w:szCs w:val="18"/>
        </w:rPr>
        <w:t xml:space="preserve">More   </w:t>
      </w:r>
      <w:r>
        <w:rPr>
          <w:sz w:val="22"/>
          <w:szCs w:val="22"/>
        </w:rPr>
        <w:t xml:space="preserve">This is useful for business clients or other engagements where multiple authorized individuals must participate in the signing process.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In Setup, select the client.</w:t>
      </w:r>
    </w:p>
    <w:p>
      <w:pPr>
        <w:pStyle w:val="ListParagraph"/>
        <w:numPr>
          <w:ilvl w:val="0"/>
          <w:numId w:val="2"/>
        </w:numPr>
        <w:spacing w:after="40"/>
        <w:ind w:left="892"/>
      </w:pPr>
      <w:r>
        <w:rPr>
          <w:sz w:val="21"/>
          <w:szCs w:val="21"/>
        </w:rPr>
        <w:t xml:space="preserve">Confirm the primary recipient.</w:t>
      </w:r>
    </w:p>
    <w:p>
      <w:pPr>
        <w:pStyle w:val="ListParagraph"/>
        <w:numPr>
          <w:ilvl w:val="0"/>
          <w:numId w:val="2"/>
        </w:numPr>
        <w:spacing w:after="40"/>
        <w:ind w:left="892"/>
      </w:pPr>
      <w:r>
        <w:rPr>
          <w:sz w:val="21"/>
          <w:szCs w:val="21"/>
        </w:rPr>
        <w:t xml:space="preserve">Select Add additional recipient for each additional person who needs to receive or sign the package.</w:t>
      </w:r>
    </w:p>
    <w:p>
      <w:pPr>
        <w:pStyle w:val="ListParagraph"/>
        <w:numPr>
          <w:ilvl w:val="0"/>
          <w:numId w:val="2"/>
        </w:numPr>
        <w:spacing w:after="40"/>
        <w:ind w:left="892"/>
      </w:pPr>
      <w:r>
        <w:rPr>
          <w:sz w:val="21"/>
          <w:szCs w:val="21"/>
        </w:rPr>
        <w:t xml:space="preserve">Review each recipient's name and email address.</w:t>
      </w:r>
    </w:p>
    <w:p>
      <w:pPr>
        <w:pStyle w:val="ListParagraph"/>
        <w:numPr>
          <w:ilvl w:val="0"/>
          <w:numId w:val="2"/>
        </w:numPr>
        <w:spacing w:after="40"/>
        <w:ind w:left="892"/>
      </w:pPr>
      <w:r>
        <w:rPr>
          <w:sz w:val="21"/>
          <w:szCs w:val="21"/>
        </w:rPr>
        <w:t xml:space="preserve">In Review &amp; Send, confirm the recipient list and applicable signing requirements.</w:t>
      </w:r>
    </w:p>
    <w:p>
      <w:pPr>
        <w:pStyle w:val="ListParagraph"/>
        <w:numPr>
          <w:ilvl w:val="0"/>
          <w:numId w:val="2"/>
        </w:numPr>
        <w:spacing w:after="40"/>
        <w:ind w:left="892"/>
      </w:pPr>
      <w:r>
        <w:rPr>
          <w:sz w:val="21"/>
          <w:szCs w:val="21"/>
        </w:rPr>
        <w:t xml:space="preserve">Preview the package and send it when all required information is complete.</w:t>
      </w:r>
    </w:p>
    <w:p>
      <w:pPr>
        <w:pStyle w:val="ListParagraph"/>
        <w:numPr>
          <w:ilvl w:val="0"/>
          <w:numId w:val="2"/>
        </w:numPr>
        <w:spacing w:after="40"/>
        <w:ind w:left="892"/>
      </w:pPr>
      <w:r>
        <w:rPr>
          <w:sz w:val="21"/>
          <w:szCs w:val="21"/>
        </w:rPr>
        <w:t xml:space="preserve">After the package is sent, firm users can monitor signing progress. If some, but not all, required recipients have signed, the package can show a Partial status.</w:t>
      </w:r>
    </w:p>
    <w:p>
      <w:pPr>
        <w:pStyle w:val="ListParagraph"/>
        <w:numPr>
          <w:ilvl w:val="0"/>
          <w:numId w:val="2"/>
        </w:numPr>
        <w:spacing w:after="40"/>
        <w:ind w:left="892"/>
      </w:pPr>
      <w:r>
        <w:rPr>
          <w:sz w:val="21"/>
          <w:szCs w:val="21"/>
        </w:rPr>
        <w:t xml:space="preserve">For example, a business engagement may require both an owner and a second authorized signer. If the owner signs but the second signer has not yet completed their part, firm users can identify the outstanding recipient and follow up with that person rather than resending the entire package unnecessarily.</w:t>
      </w:r>
    </w:p>
    <w:p>
      <w:pPr>
        <w:spacing w:after="40" w:before="70"/>
        <w:ind w:left="403"/>
      </w:pPr>
      <w:r>
        <w:rPr>
          <w:color w:val="8B8FA3"/>
          <w:sz w:val="17"/>
          <w:szCs w:val="17"/>
        </w:rPr>
        <w:t xml:space="preserve">Ref: pro-can-a-package-include-more-than-one-recipient-85</w:t>
      </w:r>
    </w:p>
    <w:p>
      <w:pPr>
        <w:keepNext/>
        <w:spacing w:after="90" w:before="220"/>
      </w:pPr>
      <w:r>
        <w:rPr>
          <w:b/>
          <w:bCs/>
          <w:color w:val="1A1C2E"/>
          <w:sz w:val="24"/>
          <w:szCs w:val="24"/>
        </w:rPr>
        <w:t xml:space="preserve">7.   Can the firm customize the introduction and agreement terms?</w:t>
      </w:r>
    </w:p>
    <w:p>
      <w:pPr>
        <w:spacing w:after="90"/>
        <w:ind w:left="403"/>
      </w:pPr>
      <w:r>
        <w:rPr>
          <w:sz w:val="22"/>
          <w:szCs w:val="22"/>
        </w:rPr>
        <w:t xml:space="preserve">Yes. Firm users can customize both the client-facing introduction and the agreement terms included in a signing package.</w:t>
      </w:r>
    </w:p>
    <w:p>
      <w:pPr>
        <w:spacing w:after="90"/>
        <w:ind w:left="403"/>
      </w:pPr>
      <w:r>
        <w:rPr>
          <w:b/>
          <w:bCs/>
          <w:color w:val="4735BE"/>
          <w:sz w:val="18"/>
          <w:szCs w:val="18"/>
        </w:rPr>
        <w:t xml:space="preserve">More   </w:t>
      </w:r>
      <w:r>
        <w:rPr>
          <w:sz w:val="22"/>
          <w:szCs w:val="22"/>
        </w:rPr>
        <w:t xml:space="preserve">The introduction can use a predefined message or custom wording to explain the engagement and provide context to the client before they review the formal agreement. In Agreement &amp; Terms, the firm can configure items such as the agreement or terms template, custom agreement wording, explicit approval requirements, additional text or supporting pages, PDF attachments, additional terms, firm notes, payment-capture steps, and approval automation where configured. Use the introduction for clear, client-friendly context about the relationship or engagement, and use the Agreement &amp; Terms section for the formal terms governing the services.</w:t>
      </w:r>
    </w:p>
    <w:p>
      <w:pPr>
        <w:spacing w:after="90"/>
        <w:ind w:left="403"/>
      </w:pPr>
      <w:r>
        <w:rPr>
          <w:b/>
          <w:bCs/>
          <w:color w:val="4735BE"/>
          <w:sz w:val="18"/>
          <w:szCs w:val="18"/>
        </w:rPr>
        <w:t xml:space="preserve">More   </w:t>
      </w:r>
      <w:r>
        <w:rPr>
          <w:sz w:val="22"/>
          <w:szCs w:val="22"/>
        </w:rPr>
        <w:t xml:space="preserve">Before sending, use Preview to review the complete package from the client's perspective, and confirm that any additional wording, attachments, or terms are consistent with the selected services, pricing, billing arrangement, dates, and approval requirements. For standardized engagements, consider maintaining approved firm templates so recurring legal and client-facing language does not need to be recreated for every package.</w:t>
      </w:r>
    </w:p>
    <w:p>
      <w:pPr>
        <w:spacing w:after="40" w:before="70"/>
        <w:ind w:left="403"/>
      </w:pPr>
      <w:r>
        <w:rPr>
          <w:color w:val="8B8FA3"/>
          <w:sz w:val="17"/>
          <w:szCs w:val="17"/>
        </w:rPr>
        <w:t xml:space="preserve">Ref: pro-can-the-firm-customize-the-introduction-and-agreement-terms-86</w:t>
      </w:r>
    </w:p>
    <w:p>
      <w:pPr>
        <w:keepNext/>
        <w:spacing w:after="90" w:before="220"/>
      </w:pPr>
      <w:r>
        <w:rPr>
          <w:b/>
          <w:bCs/>
          <w:color w:val="1A1C2E"/>
          <w:sz w:val="24"/>
          <w:szCs w:val="24"/>
        </w:rPr>
        <w:t xml:space="preserve">8.   What is checked before a package is sent?</w:t>
      </w:r>
    </w:p>
    <w:p>
      <w:pPr>
        <w:spacing w:after="90"/>
        <w:ind w:left="403"/>
      </w:pPr>
      <w:r>
        <w:rPr>
          <w:sz w:val="22"/>
          <w:szCs w:val="22"/>
        </w:rPr>
        <w:t xml:space="preserve">Before a signing package can be sent, Review &amp; Send provides a final summary of the package and highlights any required information that is still missing.</w:t>
      </w:r>
    </w:p>
    <w:p>
      <w:pPr>
        <w:spacing w:after="90"/>
        <w:ind w:left="403"/>
      </w:pPr>
      <w:r>
        <w:rPr>
          <w:b/>
          <w:bCs/>
          <w:color w:val="4735BE"/>
          <w:sz w:val="18"/>
          <w:szCs w:val="18"/>
        </w:rPr>
        <w:t xml:space="preserve">More   </w:t>
      </w:r>
      <w:r>
        <w:rPr>
          <w:sz w:val="22"/>
          <w:szCs w:val="22"/>
        </w:rPr>
        <w:t xml:space="preserve">Firm users should confirm the client, package name, primary and additional recipients, sign-by date, validity or expiration date, reminder cadence, selected services and client choices, pricing and discounts, billing arrangement, agreement terms, approval requirements, and any other required package details. AssurePro displays unresolved requirements in the builder and keeps Send unavailable until the required information is complete.</w:t>
      </w:r>
    </w:p>
    <w:p>
      <w:pPr>
        <w:spacing w:after="90"/>
        <w:ind w:left="403"/>
      </w:pPr>
      <w:r>
        <w:rPr>
          <w:b/>
          <w:bCs/>
          <w:color w:val="4735BE"/>
          <w:sz w:val="18"/>
          <w:szCs w:val="18"/>
        </w:rPr>
        <w:t xml:space="preserve">More   </w:t>
      </w:r>
      <w:r>
        <w:rPr>
          <w:sz w:val="22"/>
          <w:szCs w:val="22"/>
        </w:rPr>
        <w:t xml:space="preserve">Treat the missing-requirements list as a pre-send quality check. Before sending, confirm that the package accurately reflects what your firm intends to offer and that the recipients, services, pricing, dates, billing terms, agreement wording, and approval requirements are correct. Use Preview as a final client-facing review before selecting Send package.</w:t>
      </w:r>
    </w:p>
    <w:p>
      <w:pPr>
        <w:spacing w:after="40" w:before="70"/>
        <w:ind w:left="403"/>
      </w:pPr>
      <w:r>
        <w:rPr>
          <w:color w:val="8B8FA3"/>
          <w:sz w:val="17"/>
          <w:szCs w:val="17"/>
        </w:rPr>
        <w:t xml:space="preserve">Ref: pro-what-is-checked-before-a-package-is-sent-87</w:t>
      </w:r>
    </w:p>
    <w:p>
      <w:pPr>
        <w:keepNext/>
        <w:spacing w:after="90" w:before="220"/>
      </w:pPr>
      <w:r>
        <w:rPr>
          <w:b/>
          <w:bCs/>
          <w:color w:val="1A1C2E"/>
          <w:sz w:val="24"/>
          <w:szCs w:val="24"/>
        </w:rPr>
        <w:t xml:space="preserve">9.   Can AssurePro remind a client to sign an engagement letter?</w:t>
      </w:r>
    </w:p>
    <w:p>
      <w:pPr>
        <w:spacing w:after="90"/>
        <w:ind w:left="403"/>
      </w:pPr>
      <w:r>
        <w:rPr>
          <w:sz w:val="22"/>
          <w:szCs w:val="22"/>
        </w:rPr>
        <w:t xml:space="preserve">Yes. Firm users can configure a reminder cadence for a signing package so clients are reminded when an engagement letter is still awaiting action.</w:t>
      </w:r>
    </w:p>
    <w:p>
      <w:pPr>
        <w:spacing w:after="90"/>
        <w:ind w:left="403"/>
      </w:pPr>
      <w:r>
        <w:rPr>
          <w:b/>
          <w:bCs/>
          <w:color w:val="4735BE"/>
          <w:sz w:val="18"/>
          <w:szCs w:val="18"/>
        </w:rPr>
        <w:t xml:space="preserve">More   </w:t>
      </w:r>
      <w:r>
        <w:rPr>
          <w:sz w:val="22"/>
          <w:szCs w:val="22"/>
        </w:rPr>
        <w:t xml:space="preserve">The reminder settings are configured in Review &amp; Send along with the package's signing dates.</w:t>
      </w:r>
    </w:p>
    <w:p>
      <w:pPr>
        <w:spacing w:after="90"/>
        <w:ind w:left="403"/>
      </w:pPr>
      <w:r>
        <w:rPr>
          <w:b/>
          <w:bCs/>
          <w:color w:val="4735BE"/>
          <w:sz w:val="18"/>
          <w:szCs w:val="18"/>
        </w:rPr>
        <w:t xml:space="preserve">More   </w:t>
      </w:r>
      <w:r>
        <w:rPr>
          <w:sz w:val="22"/>
          <w:szCs w:val="22"/>
        </w:rPr>
        <w:t xml:space="preserve">Before sending, confirm:</w:t>
      </w:r>
    </w:p>
    <w:p>
      <w:pPr>
        <w:spacing w:after="90"/>
        <w:ind w:left="403"/>
      </w:pPr>
      <w:r>
        <w:rPr>
          <w:b/>
          <w:bCs/>
          <w:color w:val="4735BE"/>
          <w:sz w:val="18"/>
          <w:szCs w:val="18"/>
        </w:rPr>
        <w:t xml:space="preserve">More   </w:t>
      </w:r>
      <w:r>
        <w:rPr>
          <w:sz w:val="22"/>
          <w:szCs w:val="22"/>
        </w:rPr>
        <w:t xml:space="preserve">Sign-by date — when the client is expected to complete signing.</w:t>
      </w:r>
    </w:p>
    <w:p>
      <w:pPr>
        <w:spacing w:after="90"/>
        <w:ind w:left="403"/>
      </w:pPr>
      <w:r>
        <w:rPr>
          <w:b/>
          <w:bCs/>
          <w:color w:val="4735BE"/>
          <w:sz w:val="18"/>
          <w:szCs w:val="18"/>
        </w:rPr>
        <w:t xml:space="preserve">More   </w:t>
      </w:r>
      <w:r>
        <w:rPr>
          <w:sz w:val="22"/>
          <w:szCs w:val="22"/>
        </w:rPr>
        <w:t xml:space="preserve">Validity or expiration date — how long the package remains available.</w:t>
      </w:r>
    </w:p>
    <w:p>
      <w:pPr>
        <w:spacing w:after="90"/>
        <w:ind w:left="403"/>
      </w:pPr>
      <w:r>
        <w:rPr>
          <w:b/>
          <w:bCs/>
          <w:color w:val="4735BE"/>
          <w:sz w:val="18"/>
          <w:szCs w:val="18"/>
        </w:rPr>
        <w:t xml:space="preserve">More   </w:t>
      </w:r>
      <w:r>
        <w:rPr>
          <w:sz w:val="22"/>
          <w:szCs w:val="22"/>
        </w:rPr>
        <w:t xml:space="preserve">Reminder cadence — when reminders should be sent while action is still outstanding.</w:t>
      </w:r>
    </w:p>
    <w:p>
      <w:pPr>
        <w:spacing w:after="90"/>
        <w:ind w:left="403"/>
      </w:pPr>
      <w:r>
        <w:rPr>
          <w:b/>
          <w:bCs/>
          <w:color w:val="4735BE"/>
          <w:sz w:val="18"/>
          <w:szCs w:val="18"/>
        </w:rPr>
        <w:t xml:space="preserve">More   </w:t>
      </w:r>
      <w:r>
        <w:rPr>
          <w:sz w:val="22"/>
          <w:szCs w:val="22"/>
        </w:rPr>
        <w:t xml:space="preserve">For example, your firm can set a sign-by date that aligns with the planned onboarding or engagement start date and choose a reminder cadence that gives the client appropriate time to respond.</w:t>
      </w:r>
    </w:p>
    <w:p>
      <w:pPr>
        <w:spacing w:after="90"/>
        <w:ind w:left="403"/>
      </w:pPr>
      <w:r>
        <w:rPr>
          <w:b/>
          <w:bCs/>
          <w:color w:val="4735BE"/>
          <w:sz w:val="18"/>
          <w:szCs w:val="18"/>
        </w:rPr>
        <w:t xml:space="preserve">More   </w:t>
      </w:r>
      <w:r>
        <w:rPr>
          <w:sz w:val="22"/>
          <w:szCs w:val="22"/>
        </w:rPr>
        <w:t xml:space="preserve">Make sure the package does not expire before the intended reminder sequence has completed.</w:t>
      </w:r>
    </w:p>
    <w:p>
      <w:pPr>
        <w:spacing w:after="90"/>
        <w:ind w:left="403"/>
      </w:pPr>
      <w:r>
        <w:rPr>
          <w:b/>
          <w:bCs/>
          <w:color w:val="4735BE"/>
          <w:sz w:val="18"/>
          <w:szCs w:val="18"/>
        </w:rPr>
        <w:t xml:space="preserve">More   </w:t>
      </w:r>
      <w:r>
        <w:rPr>
          <w:sz w:val="22"/>
          <w:szCs w:val="22"/>
        </w:rPr>
        <w:t xml:space="preserve">After sending, monitor the package status rather than relying on reminders alone. A client may already have viewed or partially signed the package even though the overall signing process is not yet complete.</w:t>
      </w:r>
    </w:p>
    <w:p>
      <w:pPr>
        <w:spacing w:after="90"/>
        <w:ind w:left="403"/>
      </w:pPr>
      <w:r>
        <w:rPr>
          <w:b/>
          <w:bCs/>
          <w:color w:val="4735BE"/>
          <w:sz w:val="18"/>
          <w:szCs w:val="18"/>
        </w:rPr>
        <w:t xml:space="preserve">More   </w:t>
      </w:r>
      <w:r>
        <w:rPr>
          <w:sz w:val="22"/>
          <w:szCs w:val="22"/>
        </w:rPr>
        <w:t xml:space="preserve">Use the current package status to determine whether the client needs a general reminder or whether follow-up should be directed to a specific outstanding signer.</w:t>
      </w:r>
    </w:p>
    <w:p>
      <w:pPr>
        <w:spacing w:after="40" w:before="70"/>
        <w:ind w:left="403"/>
      </w:pPr>
      <w:r>
        <w:rPr>
          <w:color w:val="8B8FA3"/>
          <w:sz w:val="17"/>
          <w:szCs w:val="17"/>
        </w:rPr>
        <w:t xml:space="preserve">Ref: pro-can-assurepro-remind-a-client-to-sign-an-engagement-letter-88</w:t>
      </w:r>
    </w:p>
    <w:p>
      <w:pPr>
        <w:keepNext/>
        <w:spacing w:after="90" w:before="220"/>
      </w:pPr>
      <w:r>
        <w:rPr>
          <w:b/>
          <w:bCs/>
          <w:color w:val="1A1C2E"/>
          <w:sz w:val="24"/>
          <w:szCs w:val="24"/>
        </w:rPr>
        <w:t xml:space="preserve">10.   Which signing statuses can firm users track?</w:t>
      </w:r>
    </w:p>
    <w:p>
      <w:pPr>
        <w:spacing w:after="90"/>
        <w:ind w:left="403"/>
      </w:pPr>
      <w:r>
        <w:rPr>
          <w:sz w:val="22"/>
          <w:szCs w:val="22"/>
        </w:rPr>
        <w:t xml:space="preserve">AssurePro allows firm users to track the progress of signing packages from preparation through completion.</w:t>
      </w:r>
    </w:p>
    <w:p>
      <w:pPr>
        <w:spacing w:after="90"/>
        <w:ind w:left="403"/>
      </w:pPr>
      <w:r>
        <w:rPr>
          <w:b/>
          <w:bCs/>
          <w:color w:val="4735BE"/>
          <w:sz w:val="18"/>
          <w:szCs w:val="18"/>
        </w:rPr>
        <w:t xml:space="preserve">More   </w:t>
      </w:r>
      <w:r>
        <w:rPr>
          <w:sz w:val="22"/>
          <w:szCs w:val="22"/>
        </w:rPr>
        <w:t xml:space="preserve">Common package statuses include Draft, Sent, Viewed, Partial, Signed, Declined, and Archived. Draft: the package is still being prepared and has not been sent. Sent: the package has been sent to the intended recipient or recipients. Viewed: at least one recipient has opened or viewed the package. Partial: part of the required signing process has been completed, but one or more required signatures are still outstanding. Signed: all required signing actions have been completed. Declined: a recipient has declined the package. Archived: the package has been removed from the active working list while remaining available for historical reference.</w:t>
      </w:r>
    </w:p>
    <w:p>
      <w:pPr>
        <w:spacing w:after="90"/>
        <w:ind w:left="403"/>
      </w:pPr>
      <w:r>
        <w:rPr>
          <w:b/>
          <w:bCs/>
          <w:color w:val="4735BE"/>
          <w:sz w:val="18"/>
          <w:szCs w:val="18"/>
        </w:rPr>
        <w:t xml:space="preserve">More   </w:t>
      </w:r>
      <w:r>
        <w:rPr>
          <w:sz w:val="22"/>
          <w:szCs w:val="22"/>
        </w:rPr>
        <w:t xml:space="preserve">The package record can also show supporting events or information such as date sent, viewed activity, partially signed activity, completion date, backdated activity, and consent status when consent is included in the package.</w:t>
      </w:r>
    </w:p>
    <w:p>
      <w:pPr>
        <w:spacing w:after="90"/>
        <w:ind w:left="403"/>
      </w:pPr>
      <w:r>
        <w:rPr>
          <w:b/>
          <w:bCs/>
          <w:color w:val="4735BE"/>
          <w:sz w:val="18"/>
          <w:szCs w:val="18"/>
        </w:rPr>
        <w:t xml:space="preserve">More   </w:t>
      </w:r>
      <w:r>
        <w:rPr>
          <w:sz w:val="22"/>
          <w:szCs w:val="22"/>
        </w:rPr>
        <w:t xml:space="preserve">Use these statuses to guide follow-up. For example, a Sent package that has not been viewed may need a general client reminder, while a Partial package indicates that at least one required signer still needs to complete their action. A Signed package requires no further signature follow-up, while a Declined package may require the firm to contact the client and determine the next step.</w:t>
      </w:r>
    </w:p>
    <w:p>
      <w:pPr>
        <w:spacing w:after="40" w:before="70"/>
        <w:ind w:left="403"/>
      </w:pPr>
      <w:r>
        <w:rPr>
          <w:color w:val="8B8FA3"/>
          <w:sz w:val="17"/>
          <w:szCs w:val="17"/>
        </w:rPr>
        <w:t xml:space="preserve">Ref: pro-which-signing-statuses-can-staff-track-89</w:t>
      </w:r>
    </w:p>
    <w:p>
      <w:pPr>
        <w:keepNext/>
        <w:spacing w:after="90" w:before="220"/>
      </w:pPr>
      <w:r>
        <w:rPr>
          <w:b/>
          <w:bCs/>
          <w:color w:val="1A1C2E"/>
          <w:sz w:val="24"/>
          <w:szCs w:val="24"/>
        </w:rPr>
        <w:t xml:space="preserve">11.   How does the engagement-letter signature process work?</w:t>
      </w:r>
    </w:p>
    <w:p>
      <w:pPr>
        <w:spacing w:after="90"/>
        <w:ind w:left="403"/>
      </w:pPr>
      <w:r>
        <w:rPr>
          <w:sz w:val="22"/>
          <w:szCs w:val="22"/>
        </w:rPr>
        <w:t xml:space="preserve">After the signing package is sent, the recipient opens the client-facing package, reviews the services, pricing, agreement terms, and any supporting content, then completes any required selections or approvals and signs by drawing a signature or typing their name.</w:t>
      </w:r>
    </w:p>
    <w:p>
      <w:pPr>
        <w:spacing w:after="90"/>
        <w:ind w:left="403"/>
      </w:pPr>
      <w:r>
        <w:rPr>
          <w:b/>
          <w:bCs/>
          <w:color w:val="4735BE"/>
          <w:sz w:val="18"/>
          <w:szCs w:val="18"/>
        </w:rPr>
        <w:t xml:space="preserve">More   </w:t>
      </w:r>
      <w:r>
        <w:rPr>
          <w:sz w:val="22"/>
          <w:szCs w:val="22"/>
        </w:rPr>
        <w:t xml:space="preserve">AssurePro updates the package status as activity occurs — Sent, Viewed, Partial, Signed, or Declined. When multiple signatures are required, Partial means at least one required signer has acted but another is still outstanding. Once signing is complete, firm users can open the package from the client record or Engagement Letters to review the final accepted package, which retains the agreed services, pricing, terms, recipients, consent information, and signing activity.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Before sending, confirm the correct client, recipients, services, pricing, agreement terms, sign-by date, and approval requirements.</w:t>
      </w:r>
    </w:p>
    <w:p>
      <w:pPr>
        <w:pStyle w:val="ListParagraph"/>
        <w:numPr>
          <w:ilvl w:val="0"/>
          <w:numId w:val="2"/>
        </w:numPr>
        <w:spacing w:after="40"/>
        <w:ind w:left="892"/>
      </w:pPr>
      <w:r>
        <w:rPr>
          <w:sz w:val="21"/>
          <w:szCs w:val="21"/>
        </w:rPr>
        <w:t xml:space="preserve">The recipient opens the delivered client-facing package, reviews it, and completes any required selections, approvals, or consent steps.</w:t>
      </w:r>
    </w:p>
    <w:p>
      <w:pPr>
        <w:pStyle w:val="ListParagraph"/>
        <w:numPr>
          <w:ilvl w:val="0"/>
          <w:numId w:val="2"/>
        </w:numPr>
        <w:spacing w:after="40"/>
        <w:ind w:left="892"/>
      </w:pPr>
      <w:r>
        <w:rPr>
          <w:sz w:val="21"/>
          <w:szCs w:val="21"/>
        </w:rPr>
        <w:t xml:space="preserve">The recipient signs by drawing a signature or typing their name and submits the package.</w:t>
      </w:r>
    </w:p>
    <w:p>
      <w:pPr>
        <w:pStyle w:val="ListParagraph"/>
        <w:numPr>
          <w:ilvl w:val="0"/>
          <w:numId w:val="2"/>
        </w:numPr>
        <w:spacing w:after="40"/>
        <w:ind w:left="892"/>
      </w:pPr>
      <w:r>
        <w:rPr>
          <w:sz w:val="21"/>
          <w:szCs w:val="21"/>
        </w:rPr>
        <w:t xml:space="preserve">Track the package status — Sent, Viewed, Partial, Signed, or Declined — to know when to follow up.</w:t>
      </w:r>
    </w:p>
    <w:p>
      <w:pPr>
        <w:pStyle w:val="ListParagraph"/>
        <w:numPr>
          <w:ilvl w:val="0"/>
          <w:numId w:val="2"/>
        </w:numPr>
        <w:spacing w:after="40"/>
        <w:ind w:left="892"/>
      </w:pPr>
      <w:r>
        <w:rPr>
          <w:sz w:val="21"/>
          <w:szCs w:val="21"/>
        </w:rPr>
        <w:t xml:space="preserve">Once complete, open the package from the client record or Engagement Letters to review the final accepted package and its recorded activity.</w:t>
      </w:r>
    </w:p>
    <w:p>
      <w:pPr>
        <w:spacing w:after="40" w:before="70"/>
        <w:ind w:left="403"/>
      </w:pPr>
      <w:r>
        <w:rPr>
          <w:color w:val="8B8FA3"/>
          <w:sz w:val="17"/>
          <w:szCs w:val="17"/>
        </w:rPr>
        <w:t xml:space="preserve">Ref: pro-how-does-the-engagement-letter-signature-process-work-90</w:t>
      </w:r>
    </w:p>
    <w:p>
      <w:pPr>
        <w:keepNext/>
        <w:spacing w:after="90" w:before="220"/>
      </w:pPr>
      <w:r>
        <w:rPr>
          <w:b/>
          <w:bCs/>
          <w:color w:val="1A1C2E"/>
          <w:sz w:val="24"/>
          <w:szCs w:val="24"/>
        </w:rPr>
        <w:t xml:space="preserve">12.   What are the magic link and audit log for a sent engagement letter?</w:t>
      </w:r>
    </w:p>
    <w:p>
      <w:pPr>
        <w:spacing w:after="90"/>
        <w:ind w:left="403"/>
      </w:pPr>
      <w:r>
        <w:rPr>
          <w:sz w:val="22"/>
          <w:szCs w:val="22"/>
        </w:rPr>
        <w:t xml:space="preserve">For a sent engagement letter, the magic link gives access to that specific client-facing signing package, and the audit log records the delivery and signing activity for it.</w:t>
      </w:r>
    </w:p>
    <w:p>
      <w:pPr>
        <w:spacing w:after="90"/>
        <w:ind w:left="403"/>
      </w:pPr>
      <w:r>
        <w:rPr>
          <w:b/>
          <w:bCs/>
          <w:color w:val="4735BE"/>
          <w:sz w:val="18"/>
          <w:szCs w:val="18"/>
        </w:rPr>
        <w:t xml:space="preserve">More   </w:t>
      </w:r>
      <w:r>
        <w:rPr>
          <w:sz w:val="22"/>
          <w:szCs w:val="22"/>
        </w:rPr>
        <w:t xml:space="preserve">The magic link is tied to one sent package — confirm the correct package and intended recipient before sharing it, and never reuse it for another client or package. The audit log can show when the package was sent, opened or viewed, signed, partially completed, or declined, helping firm users distinguish an access or delivery issue from a package that has simply not been signed yet.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Engagement Letter and select the package from Sent, then preview the sent letter rather than reopening the draft builder.</w:t>
      </w:r>
    </w:p>
    <w:p>
      <w:pPr>
        <w:pStyle w:val="ListParagraph"/>
        <w:numPr>
          <w:ilvl w:val="0"/>
          <w:numId w:val="2"/>
        </w:numPr>
        <w:spacing w:after="40"/>
        <w:ind w:left="892"/>
      </w:pPr>
      <w:r>
        <w:rPr>
          <w:sz w:val="21"/>
          <w:szCs w:val="21"/>
        </w:rPr>
        <w:t xml:space="preserve">Use the magic-link option to open or copy the client-facing link when a recipient needs help accessing it.</w:t>
      </w:r>
    </w:p>
    <w:p>
      <w:pPr>
        <w:pStyle w:val="ListParagraph"/>
        <w:numPr>
          <w:ilvl w:val="0"/>
          <w:numId w:val="2"/>
        </w:numPr>
        <w:spacing w:after="40"/>
        <w:ind w:left="892"/>
      </w:pPr>
      <w:r>
        <w:rPr>
          <w:sz w:val="21"/>
          <w:szCs w:val="21"/>
        </w:rPr>
        <w:t xml:space="preserve">Confirm the package and intended recipient before sharing the link.</w:t>
      </w:r>
    </w:p>
    <w:p>
      <w:pPr>
        <w:pStyle w:val="ListParagraph"/>
        <w:numPr>
          <w:ilvl w:val="0"/>
          <w:numId w:val="2"/>
        </w:numPr>
        <w:spacing w:after="40"/>
        <w:ind w:left="892"/>
      </w:pPr>
      <w:r>
        <w:rPr>
          <w:sz w:val="21"/>
          <w:szCs w:val="21"/>
        </w:rPr>
        <w:t xml:space="preserve">Open the audit log to review the package's recorded delivery and signing activity.</w:t>
      </w:r>
    </w:p>
    <w:p>
      <w:pPr>
        <w:spacing w:after="40" w:before="70"/>
        <w:ind w:left="403"/>
      </w:pPr>
      <w:r>
        <w:rPr>
          <w:color w:val="8B8FA3"/>
          <w:sz w:val="17"/>
          <w:szCs w:val="17"/>
        </w:rPr>
        <w:t xml:space="preserve">Ref: pro-what-are-the-magic-link-and-audit-log-for-a-sent-engagement-letter-91</w:t>
      </w:r>
    </w:p>
    <w:p>
      <w:pPr>
        <w:keepNext/>
        <w:spacing w:after="90" w:before="220"/>
      </w:pPr>
      <w:r>
        <w:rPr>
          <w:b/>
          <w:bCs/>
          <w:color w:val="1A1C2E"/>
          <w:sz w:val="24"/>
          <w:szCs w:val="24"/>
        </w:rPr>
        <w:t xml:space="preserve">13.   Can a client sign an engagement letter from a mobile device?</w:t>
      </w:r>
    </w:p>
    <w:p>
      <w:pPr>
        <w:spacing w:after="90"/>
        <w:ind w:left="403"/>
      </w:pPr>
      <w:r>
        <w:rPr>
          <w:sz w:val="22"/>
          <w:szCs w:val="22"/>
        </w:rPr>
        <w:t xml:space="preserve">Yes. Clients can open and complete an engagement-letter signing package from a phone or tablet.</w:t>
      </w:r>
    </w:p>
    <w:p>
      <w:pPr>
        <w:spacing w:after="90"/>
        <w:ind w:left="403"/>
      </w:pPr>
      <w:r>
        <w:rPr>
          <w:b/>
          <w:bCs/>
          <w:color w:val="4735BE"/>
          <w:sz w:val="18"/>
          <w:szCs w:val="18"/>
        </w:rPr>
        <w:t xml:space="preserve">More   </w:t>
      </w:r>
      <w:r>
        <w:rPr>
          <w:sz w:val="22"/>
          <w:szCs w:val="22"/>
        </w:rPr>
        <w:t xml:space="preserve">The mobile app allows the client to review the same client-facing information included in the package, such as the introduction, selected services and pricing, agreement terms, supporting pages or PDFs, required service selections, approval or consent steps, and payment-capture steps where included.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engagement-package on mobile app.</w:t>
      </w:r>
    </w:p>
    <w:p>
      <w:pPr>
        <w:pStyle w:val="ListParagraph"/>
        <w:numPr>
          <w:ilvl w:val="0"/>
          <w:numId w:val="2"/>
        </w:numPr>
        <w:spacing w:after="40"/>
        <w:ind w:left="892"/>
      </w:pPr>
      <w:r>
        <w:rPr>
          <w:sz w:val="21"/>
          <w:szCs w:val="21"/>
        </w:rPr>
        <w:t xml:space="preserve">Review the introduction, selected services, pricing, agreement terms, and any supporting content.</w:t>
      </w:r>
    </w:p>
    <w:p>
      <w:pPr>
        <w:pStyle w:val="ListParagraph"/>
        <w:numPr>
          <w:ilvl w:val="0"/>
          <w:numId w:val="2"/>
        </w:numPr>
        <w:spacing w:after="40"/>
        <w:ind w:left="892"/>
      </w:pPr>
      <w:r>
        <w:rPr>
          <w:sz w:val="21"/>
          <w:szCs w:val="21"/>
        </w:rPr>
        <w:t xml:space="preserve">Complete any required service selections, approvals, consent, or payment-capture steps.</w:t>
      </w:r>
    </w:p>
    <w:p>
      <w:pPr>
        <w:pStyle w:val="ListParagraph"/>
        <w:numPr>
          <w:ilvl w:val="0"/>
          <w:numId w:val="2"/>
        </w:numPr>
        <w:spacing w:after="40"/>
        <w:ind w:left="892"/>
      </w:pPr>
      <w:r>
        <w:rPr>
          <w:sz w:val="21"/>
          <w:szCs w:val="21"/>
        </w:rPr>
        <w:t xml:space="preserve">Complete the signature by drawing it on the mobile screen or typing the signer's name.</w:t>
      </w:r>
    </w:p>
    <w:p>
      <w:pPr>
        <w:pStyle w:val="ListParagraph"/>
        <w:numPr>
          <w:ilvl w:val="0"/>
          <w:numId w:val="2"/>
        </w:numPr>
        <w:spacing w:after="40"/>
        <w:ind w:left="892"/>
      </w:pPr>
      <w:r>
        <w:rPr>
          <w:sz w:val="21"/>
          <w:szCs w:val="21"/>
        </w:rPr>
        <w:t xml:space="preserve">Submit the completed package.</w:t>
      </w:r>
    </w:p>
    <w:p>
      <w:pPr>
        <w:pStyle w:val="ListParagraph"/>
        <w:numPr>
          <w:ilvl w:val="0"/>
          <w:numId w:val="2"/>
        </w:numPr>
        <w:spacing w:after="40"/>
        <w:ind w:left="892"/>
      </w:pPr>
      <w:r>
        <w:rPr>
          <w:sz w:val="21"/>
          <w:szCs w:val="21"/>
        </w:rPr>
        <w:t xml:space="preserve">After the client acts on the package, firm users can monitor its progress using statuses such as Viewed, Partial, or Signed.</w:t>
      </w:r>
    </w:p>
    <w:p>
      <w:pPr>
        <w:pStyle w:val="ListParagraph"/>
        <w:numPr>
          <w:ilvl w:val="0"/>
          <w:numId w:val="2"/>
        </w:numPr>
        <w:spacing w:after="40"/>
        <w:ind w:left="892"/>
      </w:pPr>
      <w:r>
        <w:rPr>
          <w:sz w:val="21"/>
          <w:szCs w:val="21"/>
        </w:rPr>
        <w:t xml:space="preserve">If more than one signer is required, a Partial status indicates that at least one required signer still needs to complete their part. Once all required signing actions are complete, the firm can open the completed engagement letter from the client record or Engagement Letters.</w:t>
      </w:r>
    </w:p>
    <w:p>
      <w:pPr>
        <w:spacing w:after="40" w:before="70"/>
        <w:ind w:left="403"/>
      </w:pPr>
      <w:r>
        <w:rPr>
          <w:color w:val="8B8FA3"/>
          <w:sz w:val="17"/>
          <w:szCs w:val="17"/>
        </w:rPr>
        <w:t xml:space="preserve">Ref: pro-can-a-client-sign-an-engagement-letter-from-a-mobile-device-92</w:t>
      </w:r>
    </w:p>
    <w:p>
      <w:r>
        <w:br w:type="page"/>
      </w:r>
    </w:p>
    <w:p>
      <w:pPr>
        <w:pStyle w:val="Heading1"/>
        <w:spacing w:after="40" w:before="60"/>
      </w:pPr>
      <w:r>
        <w:rPr>
          <w:b/>
          <w:bCs/>
          <w:color w:val="1A1C2E"/>
          <w:sz w:val="32"/>
          <w:szCs w:val="32"/>
        </w:rPr>
        <w:t xml:space="preserve">Billing &amp; services</w:t>
      </w:r>
    </w:p>
    <w:p>
      <w:pPr>
        <w:pBdr>
          <w:bottom w:val="single" w:color="E4E2F0" w:sz="4"/>
        </w:pBdr>
        <w:spacing w:after="200"/>
      </w:pPr>
      <w:r>
        <w:rPr>
          <w:color w:val="8B8FA3"/>
          <w:sz w:val="20"/>
          <w:szCs w:val="20"/>
        </w:rPr>
        <w:t xml:space="preserve">22 questions</w:t>
      </w:r>
    </w:p>
    <w:p>
      <w:pPr>
        <w:keepNext/>
        <w:spacing w:after="90" w:before="220"/>
      </w:pPr>
      <w:r>
        <w:rPr>
          <w:b/>
          <w:bCs/>
          <w:color w:val="1A1C2E"/>
          <w:sz w:val="24"/>
          <w:szCs w:val="24"/>
        </w:rPr>
        <w:t xml:space="preserve">1.   How is the Billing area organized?</w:t>
      </w:r>
    </w:p>
    <w:p>
      <w:pPr>
        <w:spacing w:after="90"/>
        <w:ind w:left="403"/>
      </w:pPr>
      <w:r>
        <w:rPr>
          <w:sz w:val="22"/>
          <w:szCs w:val="22"/>
        </w:rPr>
        <w:t xml:space="preserve">The Billing area is organized into three main tabs:</w:t>
      </w:r>
    </w:p>
    <w:p>
      <w:pPr>
        <w:spacing w:after="90"/>
        <w:ind w:left="403"/>
      </w:pPr>
      <w:r>
        <w:rPr>
          <w:b/>
          <w:bCs/>
          <w:color w:val="4735BE"/>
          <w:sz w:val="18"/>
          <w:szCs w:val="18"/>
        </w:rPr>
        <w:t xml:space="preserve">More   </w:t>
      </w:r>
      <w:r>
        <w:rPr>
          <w:sz w:val="22"/>
          <w:szCs w:val="22"/>
        </w:rPr>
        <w:t xml:space="preserve">Invoices — used to review receivables, agreement-generated drafts, invoice activity, and the invoice register.</w:t>
      </w:r>
    </w:p>
    <w:p>
      <w:pPr>
        <w:spacing w:after="90"/>
        <w:ind w:left="403"/>
      </w:pPr>
      <w:r>
        <w:rPr>
          <w:b/>
          <w:bCs/>
          <w:color w:val="4735BE"/>
          <w:sz w:val="18"/>
          <w:szCs w:val="18"/>
        </w:rPr>
        <w:t xml:space="preserve">More   </w:t>
      </w:r>
      <w:r>
        <w:rPr>
          <w:sz w:val="22"/>
          <w:szCs w:val="22"/>
        </w:rPr>
        <w:t xml:space="preserve">Recurring — used to manage billing schedules that create invoices on a defined cadence.</w:t>
      </w:r>
    </w:p>
    <w:p>
      <w:pPr>
        <w:spacing w:after="90"/>
        <w:ind w:left="403"/>
      </w:pPr>
      <w:r>
        <w:rPr>
          <w:b/>
          <w:bCs/>
          <w:color w:val="4735BE"/>
          <w:sz w:val="18"/>
          <w:szCs w:val="18"/>
        </w:rPr>
        <w:t xml:space="preserve">More   </w:t>
      </w:r>
      <w:r>
        <w:rPr>
          <w:sz w:val="22"/>
          <w:szCs w:val="22"/>
        </w:rPr>
        <w:t xml:space="preserve">Referrals — used to track MyCPEOne referrals and related commissions.</w:t>
      </w:r>
    </w:p>
    <w:p>
      <w:pPr>
        <w:spacing w:after="90"/>
        <w:ind w:left="403"/>
      </w:pPr>
      <w:r>
        <w:rPr>
          <w:b/>
          <w:bCs/>
          <w:color w:val="4735BE"/>
          <w:sz w:val="18"/>
          <w:szCs w:val="18"/>
        </w:rPr>
        <w:t xml:space="preserve">More   </w:t>
      </w:r>
      <w:r>
        <w:rPr>
          <w:sz w:val="22"/>
          <w:szCs w:val="22"/>
        </w:rPr>
        <w:t xml:space="preserve">The Invoices tab is the main workspace for one-time and generated receivables. It includes summary cards, search, filters, and the detailed invoice register.</w:t>
      </w:r>
    </w:p>
    <w:p>
      <w:pPr>
        <w:spacing w:after="90"/>
        <w:ind w:left="403"/>
      </w:pPr>
      <w:r>
        <w:rPr>
          <w:b/>
          <w:bCs/>
          <w:color w:val="4735BE"/>
          <w:sz w:val="18"/>
          <w:szCs w:val="18"/>
        </w:rPr>
        <w:t xml:space="preserve">More   </w:t>
      </w:r>
      <w:r>
        <w:rPr>
          <w:sz w:val="22"/>
          <w:szCs w:val="22"/>
        </w:rPr>
        <w:t xml:space="preserve">The Recurring tab is used when your firm wants billing to continue automatically on a recurring schedule.</w:t>
      </w:r>
    </w:p>
    <w:p>
      <w:pPr>
        <w:spacing w:after="90"/>
        <w:ind w:left="403"/>
      </w:pPr>
      <w:r>
        <w:rPr>
          <w:b/>
          <w:bCs/>
          <w:color w:val="4735BE"/>
          <w:sz w:val="18"/>
          <w:szCs w:val="18"/>
        </w:rPr>
        <w:t xml:space="preserve">More   </w:t>
      </w:r>
      <w:r>
        <w:rPr>
          <w:sz w:val="22"/>
          <w:szCs w:val="22"/>
        </w:rPr>
        <w:t xml:space="preserve">The Referrals tab is used for MyCPEOne referral activity and commission tracking.</w:t>
      </w:r>
    </w:p>
    <w:p>
      <w:pPr>
        <w:spacing w:after="90"/>
        <w:ind w:left="403"/>
      </w:pPr>
      <w:r>
        <w:rPr>
          <w:b/>
          <w:bCs/>
          <w:color w:val="4735BE"/>
          <w:sz w:val="18"/>
          <w:szCs w:val="18"/>
        </w:rPr>
        <w:t xml:space="preserve">More   </w:t>
      </w:r>
      <w:r>
        <w:rPr>
          <w:sz w:val="22"/>
          <w:szCs w:val="22"/>
        </w:rPr>
        <w:t xml:space="preserve">A signed-agreements banner can also surface billing items created from accepted engagement letters. These may include draft invoices or recurring schedules that still need firm review before they are activated or sent.</w:t>
      </w:r>
    </w:p>
    <w:p>
      <w:pPr>
        <w:spacing w:after="90"/>
        <w:ind w:left="403"/>
      </w:pPr>
      <w:r>
        <w:rPr>
          <w:b/>
          <w:bCs/>
          <w:color w:val="4735BE"/>
          <w:sz w:val="18"/>
          <w:szCs w:val="18"/>
        </w:rPr>
        <w:t xml:space="preserve">More   </w:t>
      </w:r>
      <w:r>
        <w:rPr>
          <w:sz w:val="22"/>
          <w:szCs w:val="22"/>
        </w:rPr>
        <w:t xml:space="preserve">Use the Billing area based on what you need to manage: Invoices for receivables, Recurring for scheduled billing, and Referrals for referral-related activity.</w:t>
      </w:r>
    </w:p>
    <w:p>
      <w:pPr>
        <w:spacing w:after="40" w:before="70"/>
        <w:ind w:left="403"/>
      </w:pPr>
      <w:r>
        <w:rPr>
          <w:color w:val="8B8FA3"/>
          <w:sz w:val="17"/>
          <w:szCs w:val="17"/>
        </w:rPr>
        <w:t xml:space="preserve">Ref: pro-how-is-the-billing-area-organized-93</w:t>
      </w:r>
    </w:p>
    <w:p>
      <w:pPr>
        <w:keepNext/>
        <w:spacing w:after="90" w:before="220"/>
      </w:pPr>
      <w:r>
        <w:rPr>
          <w:b/>
          <w:bCs/>
          <w:color w:val="1A1C2E"/>
          <w:sz w:val="24"/>
          <w:szCs w:val="24"/>
        </w:rPr>
        <w:t xml:space="preserve">2.   What does the Invoices overview show?</w:t>
      </w:r>
    </w:p>
    <w:p>
      <w:pPr>
        <w:spacing w:after="90"/>
        <w:ind w:left="403"/>
      </w:pPr>
      <w:r>
        <w:rPr>
          <w:sz w:val="22"/>
          <w:szCs w:val="22"/>
        </w:rPr>
        <w:t xml:space="preserve">The Invoices overview gives firm users a quick view of the firm's current receivables and billing activity.</w:t>
      </w:r>
    </w:p>
    <w:p>
      <w:pPr>
        <w:spacing w:after="90"/>
        <w:ind w:left="403"/>
      </w:pPr>
      <w:r>
        <w:rPr>
          <w:b/>
          <w:bCs/>
          <w:color w:val="4735BE"/>
          <w:sz w:val="18"/>
          <w:szCs w:val="18"/>
        </w:rPr>
        <w:t xml:space="preserve">More   </w:t>
      </w:r>
      <w:r>
        <w:rPr>
          <w:sz w:val="22"/>
          <w:szCs w:val="22"/>
        </w:rPr>
        <w:t xml:space="preserve">Summary cards can include Outstanding, Overdue, Awaiting payment, Collected in the last 30 days, and Drafts. Selecting a summary card filters the invoice register to that group, making it easier to focus on the invoices that need attention. For example, select Overdue to review invoices that require collection follow-up, select Awaiting payment to review sent invoices that have not yet been paid, select Drafts to find invoices that still require review or completion, and select Collected to review recent payment activity.</w:t>
      </w:r>
    </w:p>
    <w:p>
      <w:pPr>
        <w:spacing w:after="90"/>
        <w:ind w:left="403"/>
      </w:pPr>
      <w:r>
        <w:rPr>
          <w:b/>
          <w:bCs/>
          <w:color w:val="4735BE"/>
          <w:sz w:val="18"/>
          <w:szCs w:val="18"/>
        </w:rPr>
        <w:t xml:space="preserve">More   </w:t>
      </w:r>
      <w:r>
        <w:rPr>
          <w:sz w:val="22"/>
          <w:szCs w:val="22"/>
        </w:rPr>
        <w:t xml:space="preserve">The invoice register can also be searched by invoice number or client and filtered by status, client, source, and date range. Use Columns to control which invoice fields are visible in the register. A common workflow is to start with a summary card, then use search and filters to narrow the results to the specific client, invoice source, status, or period you need to review.</w:t>
      </w:r>
    </w:p>
    <w:p>
      <w:pPr>
        <w:spacing w:after="40" w:before="70"/>
        <w:ind w:left="403"/>
      </w:pPr>
      <w:r>
        <w:rPr>
          <w:color w:val="8B8FA3"/>
          <w:sz w:val="17"/>
          <w:szCs w:val="17"/>
        </w:rPr>
        <w:t xml:space="preserve">Ref: pro-what-does-the-invoices-overview-show-94</w:t>
      </w:r>
    </w:p>
    <w:p>
      <w:pPr>
        <w:keepNext/>
        <w:spacing w:after="90" w:before="220"/>
      </w:pPr>
      <w:r>
        <w:rPr>
          <w:b/>
          <w:bCs/>
          <w:color w:val="1A1C2E"/>
          <w:sz w:val="24"/>
          <w:szCs w:val="24"/>
        </w:rPr>
        <w:t xml:space="preserve">3.   Which invoice sources and statuses are tracked?</w:t>
      </w:r>
    </w:p>
    <w:p>
      <w:pPr>
        <w:spacing w:after="90"/>
        <w:ind w:left="403"/>
      </w:pPr>
      <w:r>
        <w:rPr>
          <w:sz w:val="22"/>
          <w:szCs w:val="22"/>
        </w:rPr>
        <w:t xml:space="preserve">The invoice register tracks both where an invoice came from and where it is in its lifecycle.</w:t>
      </w:r>
    </w:p>
    <w:p>
      <w:pPr>
        <w:spacing w:after="90"/>
        <w:ind w:left="403"/>
      </w:pPr>
      <w:r>
        <w:rPr>
          <w:b/>
          <w:bCs/>
          <w:color w:val="4735BE"/>
          <w:sz w:val="18"/>
          <w:szCs w:val="18"/>
        </w:rPr>
        <w:t xml:space="preserve">More   </w:t>
      </w:r>
      <w:r>
        <w:rPr>
          <w:sz w:val="22"/>
          <w:szCs w:val="22"/>
        </w:rPr>
        <w:t xml:space="preserve">Source shows how the invoice was created: Manual from the invoice builder, Agreement from billing terms on a signed engagement letter, or Time from eligible billable time in Time Sheet. Status shows the invoice's lifecycle: Draft, Sent, Viewed, Overdue, Paid, or Cancelled. Total, remaining balance, and due date are shown separately, so status doesn't need to be inferred from the invoice amount — for example, a Time-source invoice marked Overdue tells the firm it originated from recorded time and still has an unpaid balance past its due date.</w:t>
      </w:r>
    </w:p>
    <w:p>
      <w:pPr>
        <w:spacing w:after="40" w:before="70"/>
        <w:ind w:left="403"/>
      </w:pPr>
      <w:r>
        <w:rPr>
          <w:color w:val="8B8FA3"/>
          <w:sz w:val="17"/>
          <w:szCs w:val="17"/>
        </w:rPr>
        <w:t xml:space="preserve">Ref: pro-which-invoice-sources-and-statuses-are-tracked-95</w:t>
      </w:r>
    </w:p>
    <w:p>
      <w:pPr>
        <w:keepNext/>
        <w:spacing w:after="90" w:before="220"/>
      </w:pPr>
      <w:r>
        <w:rPr>
          <w:b/>
          <w:bCs/>
          <w:color w:val="1A1C2E"/>
          <w:sz w:val="24"/>
          <w:szCs w:val="24"/>
        </w:rPr>
        <w:t xml:space="preserve">4.   How is a new invoice created?</w:t>
      </w:r>
    </w:p>
    <w:p>
      <w:pPr>
        <w:spacing w:after="90"/>
        <w:ind w:left="403"/>
      </w:pPr>
      <w:r>
        <w:rPr>
          <w:sz w:val="22"/>
          <w:szCs w:val="22"/>
        </w:rPr>
        <w:t xml:space="preserve">Create an invoice by selecting the client, setting the invoice and due dates, and adding at least one priced line item.</w:t>
      </w:r>
    </w:p>
    <w:p>
      <w:pPr>
        <w:spacing w:after="90"/>
        <w:ind w:left="403"/>
      </w:pPr>
      <w:r>
        <w:rPr>
          <w:b/>
          <w:bCs/>
          <w:color w:val="4735BE"/>
          <w:sz w:val="18"/>
          <w:szCs w:val="18"/>
        </w:rPr>
        <w:t xml:space="preserve">More   </w:t>
      </w:r>
      <w:r>
        <w:rPr>
          <w:sz w:val="22"/>
          <w:szCs w:val="22"/>
        </w:rPr>
        <w:t xml:space="preserve">AssurePro keeps the send action unavailable until the required client, due date, and line-item information is complete.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select Create invoice, or choose Invoice from the global + New menu.</w:t>
      </w:r>
    </w:p>
    <w:p>
      <w:pPr>
        <w:pStyle w:val="ListParagraph"/>
        <w:numPr>
          <w:ilvl w:val="0"/>
          <w:numId w:val="2"/>
        </w:numPr>
        <w:spacing w:after="40"/>
        <w:ind w:left="892"/>
      </w:pPr>
      <w:r>
        <w:rPr>
          <w:sz w:val="21"/>
          <w:szCs w:val="21"/>
        </w:rPr>
        <w:t xml:space="preserve">Select the client, then select the related engagement when the invoice should be tied to a specific engagement.</w:t>
      </w:r>
    </w:p>
    <w:p>
      <w:pPr>
        <w:pStyle w:val="ListParagraph"/>
        <w:numPr>
          <w:ilvl w:val="0"/>
          <w:numId w:val="2"/>
        </w:numPr>
        <w:spacing w:after="40"/>
        <w:ind w:left="892"/>
      </w:pPr>
      <w:r>
        <w:rPr>
          <w:sz w:val="21"/>
          <w:szCs w:val="21"/>
        </w:rPr>
        <w:t xml:space="preserve">Review the invoice number, issue date, and due date.</w:t>
      </w:r>
    </w:p>
    <w:p>
      <w:pPr>
        <w:pStyle w:val="ListParagraph"/>
        <w:numPr>
          <w:ilvl w:val="0"/>
          <w:numId w:val="2"/>
        </w:numPr>
        <w:spacing w:after="40"/>
        <w:ind w:left="892"/>
      </w:pPr>
      <w:r>
        <w:rPr>
          <w:sz w:val="21"/>
          <w:szCs w:val="21"/>
        </w:rPr>
        <w:t xml:space="preserve">Add a service-catalog item or create a custom line item, then enter the quantity and unit price.</w:t>
      </w:r>
    </w:p>
    <w:p>
      <w:pPr>
        <w:pStyle w:val="ListParagraph"/>
        <w:numPr>
          <w:ilvl w:val="0"/>
          <w:numId w:val="2"/>
        </w:numPr>
        <w:spacing w:after="40"/>
        <w:ind w:left="892"/>
      </w:pPr>
      <w:r>
        <w:rPr>
          <w:sz w:val="21"/>
          <w:szCs w:val="21"/>
        </w:rPr>
        <w:t xml:space="preserve">Import eligible unbilled time if the invoice includes time-based work, and add a discount or tax if the invoice needs one.</w:t>
      </w:r>
    </w:p>
    <w:p>
      <w:pPr>
        <w:pStyle w:val="ListParagraph"/>
        <w:numPr>
          <w:ilvl w:val="0"/>
          <w:numId w:val="2"/>
        </w:numPr>
        <w:spacing w:after="40"/>
        <w:ind w:left="892"/>
      </w:pPr>
      <w:r>
        <w:rPr>
          <w:sz w:val="21"/>
          <w:szCs w:val="21"/>
        </w:rPr>
        <w:t xml:space="preserve">Add any relevant service description, client-visible note, or internal firm note.</w:t>
      </w:r>
    </w:p>
    <w:p>
      <w:pPr>
        <w:pStyle w:val="ListParagraph"/>
        <w:numPr>
          <w:ilvl w:val="0"/>
          <w:numId w:val="2"/>
        </w:numPr>
        <w:spacing w:after="40"/>
        <w:ind w:left="892"/>
      </w:pPr>
      <w:r>
        <w:rPr>
          <w:sz w:val="21"/>
          <w:szCs w:val="21"/>
        </w:rPr>
        <w:t xml:space="preserve">Review the live invoice preview.</w:t>
      </w:r>
    </w:p>
    <w:p>
      <w:pPr>
        <w:pStyle w:val="ListParagraph"/>
        <w:numPr>
          <w:ilvl w:val="0"/>
          <w:numId w:val="2"/>
        </w:numPr>
        <w:spacing w:after="40"/>
        <w:ind w:left="892"/>
      </w:pPr>
      <w:r>
        <w:rPr>
          <w:sz w:val="21"/>
          <w:szCs w:val="21"/>
        </w:rPr>
        <w:t xml:space="preserve">Choose Save as draft to review or complete the invoice later, or Create &amp; send to issue it to the client.</w:t>
      </w:r>
    </w:p>
    <w:p>
      <w:pPr>
        <w:pStyle w:val="ListParagraph"/>
        <w:numPr>
          <w:ilvl w:val="0"/>
          <w:numId w:val="2"/>
        </w:numPr>
        <w:spacing w:after="40"/>
        <w:ind w:left="892"/>
      </w:pPr>
      <w:r>
        <w:rPr>
          <w:sz w:val="21"/>
          <w:szCs w:val="21"/>
        </w:rPr>
        <w:t xml:space="preserve">Before sending, confirm that the client, engagement, services, quantities, rates, discounts, taxes, due date, and client-facing notes are correct.</w:t>
      </w:r>
    </w:p>
    <w:p>
      <w:pPr>
        <w:spacing w:after="40" w:before="70"/>
        <w:ind w:left="403"/>
      </w:pPr>
      <w:r>
        <w:rPr>
          <w:color w:val="8B8FA3"/>
          <w:sz w:val="17"/>
          <w:szCs w:val="17"/>
        </w:rPr>
        <w:t xml:space="preserve">Ref: pro-how-is-a-new-invoice-created-96</w:t>
      </w:r>
    </w:p>
    <w:p>
      <w:pPr>
        <w:keepNext/>
        <w:spacing w:after="90" w:before="220"/>
      </w:pPr>
      <w:r>
        <w:rPr>
          <w:b/>
          <w:bCs/>
          <w:color w:val="1A1C2E"/>
          <w:sz w:val="24"/>
          <w:szCs w:val="24"/>
        </w:rPr>
        <w:t xml:space="preserve">5.   What can firm users review on an individual invoice?</w:t>
      </w:r>
    </w:p>
    <w:p>
      <w:pPr>
        <w:spacing w:after="90"/>
        <w:ind w:left="403"/>
      </w:pPr>
      <w:r>
        <w:rPr>
          <w:sz w:val="22"/>
          <w:szCs w:val="22"/>
        </w:rPr>
        <w:t xml:space="preserve">An individual invoice record gives firm users a detailed view of the invoice, its financial position, and the activity that has occurred since it was created.</w:t>
      </w:r>
    </w:p>
    <w:p>
      <w:pPr>
        <w:spacing w:after="90"/>
        <w:ind w:left="403"/>
      </w:pPr>
      <w:r>
        <w:rPr>
          <w:b/>
          <w:bCs/>
          <w:color w:val="4735BE"/>
          <w:sz w:val="18"/>
          <w:szCs w:val="18"/>
        </w:rPr>
        <w:t xml:space="preserve">More   </w:t>
      </w:r>
      <w:r>
        <w:rPr>
          <w:sz w:val="22"/>
          <w:szCs w:val="22"/>
        </w:rPr>
        <w:t xml:space="preserve">Depending on the invoice, firm users can review the invoice status, invoice source, client, related engagement, invoice number, issue date, due date, subtotal, discounts, tax, total amount, amount paid, remaining balance, description, line items, related signed agreement for agreement-generated invoices, payment history, and audit trail.</w:t>
      </w:r>
    </w:p>
    <w:p>
      <w:pPr>
        <w:spacing w:after="90"/>
        <w:ind w:left="403"/>
      </w:pPr>
      <w:r>
        <w:rPr>
          <w:b/>
          <w:bCs/>
          <w:color w:val="4735BE"/>
          <w:sz w:val="18"/>
          <w:szCs w:val="18"/>
        </w:rPr>
        <w:t xml:space="preserve">More   </w:t>
      </w:r>
      <w:r>
        <w:rPr>
          <w:sz w:val="22"/>
          <w:szCs w:val="22"/>
        </w:rPr>
        <w:t xml:space="preserve">The available action menu depends on the invoice's current status and permissions, and actions can include Download PDF, Edit, Send invoice, and Cancel. Use Payment history to reconcile payments received against the invoice, and use the audit trail to review important invoice events after creation. For an invoice generated from a signed engagement letter, use the related agreement link to compare the invoice with the services, pricing, and billing terms accepted by the client.</w:t>
      </w:r>
    </w:p>
    <w:p>
      <w:pPr>
        <w:spacing w:after="90"/>
        <w:ind w:left="403"/>
      </w:pPr>
      <w:r>
        <w:rPr>
          <w:b/>
          <w:bCs/>
          <w:color w:val="4735BE"/>
          <w:sz w:val="18"/>
          <w:szCs w:val="18"/>
        </w:rPr>
        <w:t xml:space="preserve">More   </w:t>
      </w:r>
      <w:r>
        <w:rPr>
          <w:sz w:val="22"/>
          <w:szCs w:val="22"/>
        </w:rPr>
        <w:t xml:space="preserve">Before editing or cancelling an invoice, review its status, amount paid, and remaining balance. If a payment has already been recorded, confirm the appropriate billing treatment before making changes so the invoice record remains consistent with the payment history. This gives managers and billing users one place to understand both the original invoice and what has happened to it since it was issued.</w:t>
      </w:r>
    </w:p>
    <w:p>
      <w:pPr>
        <w:spacing w:after="40" w:before="70"/>
        <w:ind w:left="403"/>
      </w:pPr>
      <w:r>
        <w:rPr>
          <w:color w:val="8B8FA3"/>
          <w:sz w:val="17"/>
          <w:szCs w:val="17"/>
        </w:rPr>
        <w:t xml:space="preserve">Ref: pro-what-can-staff-review-on-an-individual-invoice-97</w:t>
      </w:r>
    </w:p>
    <w:p>
      <w:pPr>
        <w:keepNext/>
        <w:spacing w:after="90" w:before="220"/>
      </w:pPr>
      <w:r>
        <w:rPr>
          <w:b/>
          <w:bCs/>
          <w:color w:val="1A1C2E"/>
          <w:sz w:val="24"/>
          <w:szCs w:val="24"/>
        </w:rPr>
        <w:t xml:space="preserve">6.   How can clients pay an AssurePro invoice?</w:t>
      </w:r>
    </w:p>
    <w:p>
      <w:pPr>
        <w:spacing w:after="90"/>
        <w:ind w:left="403"/>
      </w:pPr>
      <w:r>
        <w:rPr>
          <w:sz w:val="22"/>
          <w:szCs w:val="22"/>
        </w:rPr>
        <w:t xml:space="preserve">Clients can pay AssurePro invoices using the payment methods the firm enables through its connected payment processor.</w:t>
      </w:r>
    </w:p>
    <w:p>
      <w:pPr>
        <w:spacing w:after="90"/>
        <w:ind w:left="403"/>
      </w:pPr>
      <w:r>
        <w:rPr>
          <w:b/>
          <w:bCs/>
          <w:color w:val="4735BE"/>
          <w:sz w:val="18"/>
          <w:szCs w:val="18"/>
        </w:rPr>
        <w:t xml:space="preserve">More   </w:t>
      </w:r>
      <w:r>
        <w:rPr>
          <w:sz w:val="22"/>
          <w:szCs w:val="22"/>
        </w:rPr>
        <w:t xml:space="preserve">Before online payment is available, the firm connects its payment processor under Settings &gt; Integrations and confirms payout settings under Billing &amp; Payments. The payment methods a client sees depend on the connected provider and the options the firm has enabled. After the client pays, the processor confirms the transaction and AssurePro updates the invoice's payment history, remaining balance, and status.</w:t>
      </w:r>
    </w:p>
    <w:p>
      <w:pPr>
        <w:spacing w:after="40" w:before="70"/>
        <w:ind w:left="403"/>
      </w:pPr>
      <w:r>
        <w:rPr>
          <w:color w:val="8B8FA3"/>
          <w:sz w:val="17"/>
          <w:szCs w:val="17"/>
        </w:rPr>
        <w:t xml:space="preserve">Ref: pro-how-can-clients-pay-an-assurepro-invoice-98</w:t>
      </w:r>
    </w:p>
    <w:p>
      <w:pPr>
        <w:keepNext/>
        <w:spacing w:after="90" w:before="220"/>
      </w:pPr>
      <w:r>
        <w:rPr>
          <w:b/>
          <w:bCs/>
          <w:color w:val="1A1C2E"/>
          <w:sz w:val="24"/>
          <w:szCs w:val="24"/>
        </w:rPr>
        <w:t xml:space="preserve">7.   Can the firm record a payment received outside AssurePro?</w:t>
      </w:r>
    </w:p>
    <w:p>
      <w:pPr>
        <w:spacing w:after="90"/>
        <w:ind w:left="403"/>
      </w:pPr>
      <w:r>
        <w:rPr>
          <w:sz w:val="22"/>
          <w:szCs w:val="22"/>
        </w:rPr>
        <w:t xml:space="preserve">Yes. Firm users can record a payment received outside AssurePro so the invoice balance and payment history remain accurate.</w:t>
      </w:r>
    </w:p>
    <w:p>
      <w:pPr>
        <w:spacing w:after="90"/>
        <w:ind w:left="403"/>
      </w:pPr>
      <w:r>
        <w:rPr>
          <w:b/>
          <w:bCs/>
          <w:color w:val="4735BE"/>
          <w:sz w:val="18"/>
          <w:szCs w:val="18"/>
        </w:rPr>
        <w:t xml:space="preserve">More   </w:t>
      </w:r>
      <w:r>
        <w:rPr>
          <w:sz w:val="22"/>
          <w:szCs w:val="22"/>
        </w:rPr>
        <w:t xml:space="preserve">This is useful when a client pays through a method that is not processed directly through AssurePro, such as a check or another supported off-platform payment method.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relevant invoice.</w:t>
      </w:r>
    </w:p>
    <w:p>
      <w:pPr>
        <w:pStyle w:val="ListParagraph"/>
        <w:numPr>
          <w:ilvl w:val="0"/>
          <w:numId w:val="2"/>
        </w:numPr>
        <w:spacing w:after="40"/>
        <w:ind w:left="892"/>
      </w:pPr>
      <w:r>
        <w:rPr>
          <w:sz w:val="21"/>
          <w:szCs w:val="21"/>
        </w:rPr>
        <w:t xml:space="preserve">Select Add payment.</w:t>
      </w:r>
    </w:p>
    <w:p>
      <w:pPr>
        <w:pStyle w:val="ListParagraph"/>
        <w:numPr>
          <w:ilvl w:val="0"/>
          <w:numId w:val="2"/>
        </w:numPr>
        <w:spacing w:after="40"/>
        <w:ind w:left="892"/>
      </w:pPr>
      <w:r>
        <w:rPr>
          <w:sz w:val="21"/>
          <w:szCs w:val="21"/>
        </w:rPr>
        <w:t xml:space="preserve">Choose the payment method.</w:t>
      </w:r>
    </w:p>
    <w:p>
      <w:pPr>
        <w:pStyle w:val="ListParagraph"/>
        <w:numPr>
          <w:ilvl w:val="0"/>
          <w:numId w:val="2"/>
        </w:numPr>
        <w:spacing w:after="40"/>
        <w:ind w:left="892"/>
      </w:pPr>
      <w:r>
        <w:rPr>
          <w:sz w:val="21"/>
          <w:szCs w:val="21"/>
        </w:rPr>
        <w:t xml:space="preserve">Enter the actual payment date.</w:t>
      </w:r>
    </w:p>
    <w:p>
      <w:pPr>
        <w:pStyle w:val="ListParagraph"/>
        <w:numPr>
          <w:ilvl w:val="0"/>
          <w:numId w:val="2"/>
        </w:numPr>
        <w:spacing w:after="40"/>
        <w:ind w:left="892"/>
      </w:pPr>
      <w:r>
        <w:rPr>
          <w:sz w:val="21"/>
          <w:szCs w:val="21"/>
        </w:rPr>
        <w:t xml:space="preserve">Enter any required payment or reference details.</w:t>
      </w:r>
    </w:p>
    <w:p>
      <w:pPr>
        <w:pStyle w:val="ListParagraph"/>
        <w:numPr>
          <w:ilvl w:val="0"/>
          <w:numId w:val="2"/>
        </w:numPr>
        <w:spacing w:after="40"/>
        <w:ind w:left="892"/>
      </w:pPr>
      <w:r>
        <w:rPr>
          <w:sz w:val="21"/>
          <w:szCs w:val="21"/>
        </w:rPr>
        <w:t xml:space="preserve">Review the information and save the payment.</w:t>
      </w:r>
    </w:p>
    <w:p>
      <w:pPr>
        <w:pStyle w:val="ListParagraph"/>
        <w:numPr>
          <w:ilvl w:val="0"/>
          <w:numId w:val="2"/>
        </w:numPr>
        <w:spacing w:after="40"/>
        <w:ind w:left="892"/>
      </w:pPr>
      <w:r>
        <w:rPr>
          <w:sz w:val="21"/>
          <w:szCs w:val="21"/>
        </w:rPr>
        <w:t xml:space="preserve">Confirm that the payment appears in Payment history.</w:t>
      </w:r>
    </w:p>
    <w:p>
      <w:pPr>
        <w:pStyle w:val="ListParagraph"/>
        <w:numPr>
          <w:ilvl w:val="0"/>
          <w:numId w:val="2"/>
        </w:numPr>
        <w:spacing w:after="40"/>
        <w:ind w:left="892"/>
      </w:pPr>
      <w:r>
        <w:rPr>
          <w:sz w:val="21"/>
          <w:szCs w:val="21"/>
        </w:rPr>
        <w:t xml:space="preserve">Review the remaining balance and invoice status to confirm that they were updated correctly.</w:t>
      </w:r>
    </w:p>
    <w:p>
      <w:pPr>
        <w:pStyle w:val="ListParagraph"/>
        <w:numPr>
          <w:ilvl w:val="0"/>
          <w:numId w:val="2"/>
        </w:numPr>
        <w:spacing w:after="40"/>
        <w:ind w:left="892"/>
      </w:pPr>
      <w:r>
        <w:rPr>
          <w:sz w:val="21"/>
          <w:szCs w:val="21"/>
        </w:rPr>
        <w:t xml:space="preserve">For example, if a client pays an invoice by check, record the payment against that specific invoice using the actual payment date and applicable reference information.</w:t>
      </w:r>
    </w:p>
    <w:p>
      <w:pPr>
        <w:pStyle w:val="ListParagraph"/>
        <w:numPr>
          <w:ilvl w:val="0"/>
          <w:numId w:val="2"/>
        </w:numPr>
        <w:spacing w:after="40"/>
        <w:ind w:left="892"/>
      </w:pPr>
      <w:r>
        <w:rPr>
          <w:sz w:val="21"/>
          <w:szCs w:val="21"/>
        </w:rPr>
        <w:t xml:space="preserve">Note: Record off-platform payments against the correct invoice before taking further billing action. This helps prevent the firm from following up on a balance that has already been paid or accidentally collecting the same amount twice.</w:t>
      </w:r>
    </w:p>
    <w:p>
      <w:pPr>
        <w:spacing w:after="40" w:before="70"/>
        <w:ind w:left="403"/>
      </w:pPr>
      <w:r>
        <w:rPr>
          <w:color w:val="8B8FA3"/>
          <w:sz w:val="17"/>
          <w:szCs w:val="17"/>
        </w:rPr>
        <w:t xml:space="preserve">Ref: pro-can-the-firm-record-a-payment-received-outside-assurepro-99</w:t>
      </w:r>
    </w:p>
    <w:p>
      <w:pPr>
        <w:keepNext/>
        <w:spacing w:after="90" w:before="220"/>
      </w:pPr>
      <w:r>
        <w:rPr>
          <w:b/>
          <w:bCs/>
          <w:color w:val="1A1C2E"/>
          <w:sz w:val="24"/>
          <w:szCs w:val="24"/>
        </w:rPr>
        <w:t xml:space="preserve">8.   Can signed agreements create billing work?</w:t>
      </w:r>
    </w:p>
    <w:p>
      <w:pPr>
        <w:spacing w:after="90"/>
        <w:ind w:left="403"/>
      </w:pPr>
      <w:r>
        <w:rPr>
          <w:sz w:val="22"/>
          <w:szCs w:val="22"/>
        </w:rPr>
        <w:t xml:space="preserve">Yes. Billing terms accepted through a signed engagement package can generate billing work in AssurePro.</w:t>
      </w:r>
    </w:p>
    <w:p>
      <w:pPr>
        <w:spacing w:after="90"/>
        <w:ind w:left="403"/>
      </w:pPr>
      <w:r>
        <w:rPr>
          <w:b/>
          <w:bCs/>
          <w:color w:val="4735BE"/>
          <w:sz w:val="18"/>
          <w:szCs w:val="18"/>
        </w:rPr>
        <w:t xml:space="preserve">More   </w:t>
      </w:r>
      <w:r>
        <w:rPr>
          <w:sz w:val="22"/>
          <w:szCs w:val="22"/>
        </w:rPr>
        <w:t xml:space="preserve">Depending on the agreement terms, AssurePro can create invoice drafts for one-time charges and recurring billing schedules for charges that repeat on an agreed cadence. The generated items appear in Agreements awaiting billing, where an authorized firm user can review them before an invoice is sent or a recurring schedule is activated. For example, a one-time engagement fee can generate an invoice draft, while a monthly bookkeeping agreement can generate a recurring billing schedule.</w:t>
      </w:r>
    </w:p>
    <w:p>
      <w:pPr>
        <w:spacing w:after="90"/>
        <w:ind w:left="403"/>
      </w:pPr>
      <w:r>
        <w:rPr>
          <w:b/>
          <w:bCs/>
          <w:color w:val="4735BE"/>
          <w:sz w:val="18"/>
          <w:szCs w:val="18"/>
        </w:rPr>
        <w:t xml:space="preserve">More   </w:t>
      </w:r>
      <w:r>
        <w:rPr>
          <w:sz w:val="22"/>
          <w:szCs w:val="22"/>
        </w:rPr>
        <w:t xml:space="preserve">Because the billing work is generated from the accepted engagement terms, firm users do not need to manually recreate the agreed services, pricing, and billing structure. Before sending or activating the generated billing item, review the client, services, pricing, billing cadence, dates, and other commercial terms against the signed agreement. This creates a controlled handoff from signed engagement terms to billing, while still giving the firm an opportunity to validate the billing setup before it becomes active.</w:t>
      </w:r>
    </w:p>
    <w:p>
      <w:pPr>
        <w:spacing w:after="40" w:before="70"/>
        <w:ind w:left="403"/>
      </w:pPr>
      <w:r>
        <w:rPr>
          <w:color w:val="8B8FA3"/>
          <w:sz w:val="17"/>
          <w:szCs w:val="17"/>
        </w:rPr>
        <w:t xml:space="preserve">Ref: pro-can-signed-agreements-create-billing-work-100</w:t>
      </w:r>
    </w:p>
    <w:p>
      <w:pPr>
        <w:keepNext/>
        <w:spacing w:after="90" w:before="220"/>
      </w:pPr>
      <w:r>
        <w:rPr>
          <w:b/>
          <w:bCs/>
          <w:color w:val="1A1C2E"/>
          <w:sz w:val="24"/>
          <w:szCs w:val="24"/>
        </w:rPr>
        <w:t xml:space="preserve">9.   How do I review billing created by a signed agreement?</w:t>
      </w:r>
    </w:p>
    <w:p>
      <w:pPr>
        <w:spacing w:after="90"/>
        <w:ind w:left="403"/>
      </w:pPr>
      <w:r>
        <w:rPr>
          <w:sz w:val="22"/>
          <w:szCs w:val="22"/>
        </w:rPr>
        <w:t xml:space="preserve">When a signed engagement letter creates billing work, AssurePro places the generated item in a review queue before it is sent or activated.</w:t>
      </w:r>
    </w:p>
    <w:p>
      <w:pPr>
        <w:spacing w:after="90"/>
        <w:ind w:left="403"/>
      </w:pPr>
      <w:r>
        <w:rPr>
          <w:b/>
          <w:bCs/>
          <w:color w:val="4735BE"/>
          <w:sz w:val="18"/>
          <w:szCs w:val="18"/>
        </w:rPr>
        <w:t xml:space="preserve">More   </w:t>
      </w:r>
      <w:r>
        <w:rPr>
          <w:sz w:val="22"/>
          <w:szCs w:val="22"/>
        </w:rPr>
        <w:t xml:space="preserve">This gives authorized firm users a chance to confirm that the billing setup matches the client's accepted agreement.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select the signed-agreements banner.</w:t>
      </w:r>
    </w:p>
    <w:p>
      <w:pPr>
        <w:pStyle w:val="ListParagraph"/>
        <w:numPr>
          <w:ilvl w:val="0"/>
          <w:numId w:val="2"/>
        </w:numPr>
        <w:spacing w:after="40"/>
        <w:ind w:left="892"/>
      </w:pPr>
      <w:r>
        <w:rPr>
          <w:sz w:val="21"/>
          <w:szCs w:val="21"/>
        </w:rPr>
        <w:t xml:space="preserve">Search by client name or agreement name to find the billing item.</w:t>
      </w:r>
    </w:p>
    <w:p>
      <w:pPr>
        <w:pStyle w:val="ListParagraph"/>
        <w:numPr>
          <w:ilvl w:val="0"/>
          <w:numId w:val="2"/>
        </w:numPr>
        <w:spacing w:after="40"/>
        <w:ind w:left="892"/>
      </w:pPr>
      <w:r>
        <w:rPr>
          <w:sz w:val="21"/>
          <w:szCs w:val="21"/>
        </w:rPr>
        <w:t xml:space="preserve">Under Pending review, review details such as: Signed date, Number of generated invoice drafts or recurring schedules, Amount.</w:t>
      </w:r>
    </w:p>
    <w:p>
      <w:pPr>
        <w:pStyle w:val="ListParagraph"/>
        <w:numPr>
          <w:ilvl w:val="0"/>
          <w:numId w:val="2"/>
        </w:numPr>
        <w:spacing w:after="40"/>
        <w:ind w:left="892"/>
      </w:pPr>
      <w:r>
        <w:rPr>
          <w:sz w:val="21"/>
          <w:szCs w:val="21"/>
        </w:rPr>
        <w:t xml:space="preserve">Select Review &amp; send.</w:t>
      </w:r>
    </w:p>
    <w:p>
      <w:pPr>
        <w:pStyle w:val="ListParagraph"/>
        <w:numPr>
          <w:ilvl w:val="0"/>
          <w:numId w:val="2"/>
        </w:numPr>
        <w:spacing w:after="40"/>
        <w:ind w:left="892"/>
      </w:pPr>
      <w:r>
        <w:rPr>
          <w:sz w:val="21"/>
          <w:szCs w:val="21"/>
        </w:rPr>
        <w:t xml:space="preserve">Compare the generated billing item with the signed agreement, including: Client, Services, Line items, Pricing, Billing dates, Billing cadence, Related agreement.</w:t>
      </w:r>
    </w:p>
    <w:p>
      <w:pPr>
        <w:pStyle w:val="ListParagraph"/>
        <w:numPr>
          <w:ilvl w:val="0"/>
          <w:numId w:val="2"/>
        </w:numPr>
        <w:spacing w:after="40"/>
        <w:ind w:left="892"/>
      </w:pPr>
      <w:r>
        <w:rPr>
          <w:sz w:val="21"/>
          <w:szCs w:val="21"/>
        </w:rPr>
        <w:t xml:space="preserve">Edit the draft or schedule if a correction is needed.</w:t>
      </w:r>
    </w:p>
    <w:p>
      <w:pPr>
        <w:pStyle w:val="ListParagraph"/>
        <w:numPr>
          <w:ilvl w:val="0"/>
          <w:numId w:val="2"/>
        </w:numPr>
        <w:spacing w:after="40"/>
        <w:ind w:left="892"/>
      </w:pPr>
      <w:r>
        <w:rPr>
          <w:sz w:val="21"/>
          <w:szCs w:val="21"/>
        </w:rPr>
        <w:t xml:space="preserve">Send the invoice or activate the recurring schedule when the billing details are correct.</w:t>
      </w:r>
    </w:p>
    <w:p>
      <w:pPr>
        <w:pStyle w:val="ListParagraph"/>
        <w:numPr>
          <w:ilvl w:val="0"/>
          <w:numId w:val="2"/>
        </w:numPr>
        <w:spacing w:after="40"/>
        <w:ind w:left="892"/>
      </w:pPr>
      <w:r>
        <w:rPr>
          <w:sz w:val="21"/>
          <w:szCs w:val="21"/>
        </w:rPr>
        <w:t xml:space="preserve">Use Active to review agreements that are already generating billing activity.</w:t>
      </w:r>
    </w:p>
    <w:p>
      <w:pPr>
        <w:pStyle w:val="ListParagraph"/>
        <w:numPr>
          <w:ilvl w:val="0"/>
          <w:numId w:val="2"/>
        </w:numPr>
        <w:spacing w:after="40"/>
        <w:ind w:left="892"/>
      </w:pPr>
      <w:r>
        <w:rPr>
          <w:sz w:val="21"/>
          <w:szCs w:val="21"/>
        </w:rPr>
        <w:t xml:space="preserve">If an item is marked Manual, no priced services, the signed agreement does not contain automatically billable priced services. In that case, billing must be handled manually rather than generated from the agreement.</w:t>
      </w:r>
    </w:p>
    <w:p>
      <w:pPr>
        <w:pStyle w:val="ListParagraph"/>
        <w:numPr>
          <w:ilvl w:val="0"/>
          <w:numId w:val="2"/>
        </w:numPr>
        <w:spacing w:after="40"/>
        <w:ind w:left="892"/>
      </w:pPr>
      <w:r>
        <w:rPr>
          <w:sz w:val="21"/>
          <w:szCs w:val="21"/>
        </w:rPr>
        <w:t xml:space="preserve">Reviewing agreement-generated billing before activation helps the firm confirm that the billing record matches the commercial terms the client accepted.</w:t>
      </w:r>
    </w:p>
    <w:p>
      <w:pPr>
        <w:spacing w:after="40" w:before="70"/>
        <w:ind w:left="403"/>
      </w:pPr>
      <w:r>
        <w:rPr>
          <w:color w:val="8B8FA3"/>
          <w:sz w:val="17"/>
          <w:szCs w:val="17"/>
        </w:rPr>
        <w:t xml:space="preserve">Ref: pro-how-do-i-review-billing-created-by-a-signed-agreement-101</w:t>
      </w:r>
    </w:p>
    <w:p>
      <w:pPr>
        <w:keepNext/>
        <w:spacing w:after="90" w:before="220"/>
      </w:pPr>
      <w:r>
        <w:rPr>
          <w:b/>
          <w:bCs/>
          <w:color w:val="1A1C2E"/>
          <w:sz w:val="24"/>
          <w:szCs w:val="24"/>
        </w:rPr>
        <w:t xml:space="preserve">10.   How does recurring billing work?</w:t>
      </w:r>
    </w:p>
    <w:p>
      <w:pPr>
        <w:spacing w:after="90"/>
        <w:ind w:left="403"/>
      </w:pPr>
      <w:r>
        <w:rPr>
          <w:sz w:val="22"/>
          <w:szCs w:val="22"/>
        </w:rPr>
        <w:t xml:space="preserve">Recurring billing allows your firm to create invoice schedules for services that are billed on a repeating cadence.</w:t>
      </w:r>
    </w:p>
    <w:p>
      <w:pPr>
        <w:spacing w:after="90"/>
        <w:ind w:left="403"/>
      </w:pPr>
      <w:r>
        <w:rPr>
          <w:b/>
          <w:bCs/>
          <w:color w:val="4735BE"/>
          <w:sz w:val="18"/>
          <w:szCs w:val="18"/>
        </w:rPr>
        <w:t xml:space="preserve">More   </w:t>
      </w:r>
      <w:r>
        <w:rPr>
          <w:sz w:val="22"/>
          <w:szCs w:val="22"/>
        </w:rPr>
        <w:t xml:space="preserve">A recurring schedule can include information such as client, service, billing cadence, amount, send mode, status, and next invoice date. Two send modes are available: Auto-send, where AssurePro creates and sends each scheduled invoice automatically, and Manual send, where AssurePro creates the invoice on schedule but a firm user reviews and sends it before it is delivered to the client. For example, a monthly bookkeeping engagement may use a Monthly schedule with Auto-send, while a quarterly advisory engagement may use Manual send so a manager can review the invoice before delivery.</w:t>
      </w:r>
    </w:p>
    <w:p>
      <w:pPr>
        <w:spacing w:after="90"/>
        <w:ind w:left="403"/>
      </w:pPr>
      <w:r>
        <w:rPr>
          <w:b/>
          <w:bCs/>
          <w:color w:val="4735BE"/>
          <w:sz w:val="18"/>
          <w:szCs w:val="18"/>
        </w:rPr>
        <w:t xml:space="preserve">More   </w:t>
      </w:r>
      <w:r>
        <w:rPr>
          <w:sz w:val="22"/>
          <w:szCs w:val="22"/>
        </w:rPr>
        <w:t xml:space="preserve">Firm users can also manage an active schedule using actions such as Pause, which temporarily stops scheduled billing activity; Resume, which restarts a paused schedule; and Bill now, which creates an invoice immediately from an active schedule. Before activating a recurring schedule, confirm the client, service, amount, cadence, next invoice date, and send mode. Use Auto-send for stable, repeatable billing arrangements that do not require review each cycle, and use Manual send when pricing, scope, or client circumstances may need to be checked before each invoice is issued.</w:t>
      </w:r>
    </w:p>
    <w:p>
      <w:pPr>
        <w:spacing w:after="40" w:before="70"/>
        <w:ind w:left="403"/>
      </w:pPr>
      <w:r>
        <w:rPr>
          <w:color w:val="8B8FA3"/>
          <w:sz w:val="17"/>
          <w:szCs w:val="17"/>
        </w:rPr>
        <w:t xml:space="preserve">Ref: pro-how-does-recurring-billing-work-102</w:t>
      </w:r>
    </w:p>
    <w:p>
      <w:pPr>
        <w:keepNext/>
        <w:spacing w:after="90" w:before="220"/>
      </w:pPr>
      <w:r>
        <w:rPr>
          <w:b/>
          <w:bCs/>
          <w:color w:val="1A1C2E"/>
          <w:sz w:val="24"/>
          <w:szCs w:val="24"/>
        </w:rPr>
        <w:t xml:space="preserve">11.   How do I review or control a recurring schedule?</w:t>
      </w:r>
    </w:p>
    <w:p>
      <w:pPr>
        <w:spacing w:after="90"/>
        <w:ind w:left="403"/>
      </w:pPr>
      <w:r>
        <w:rPr>
          <w:sz w:val="22"/>
          <w:szCs w:val="22"/>
        </w:rPr>
        <w:t xml:space="preserve">Firm users can open a recurring billing schedule to review its current setup, billing history, and upcoming invoice activity.</w:t>
      </w:r>
    </w:p>
    <w:p>
      <w:pPr>
        <w:spacing w:after="90"/>
        <w:ind w:left="403"/>
      </w:pPr>
      <w:r>
        <w:rPr>
          <w:b/>
          <w:bCs/>
          <w:color w:val="4735BE"/>
          <w:sz w:val="18"/>
          <w:szCs w:val="18"/>
        </w:rPr>
        <w:t xml:space="preserve">More   </w:t>
      </w:r>
      <w:r>
        <w:rPr>
          <w:sz w:val="22"/>
          <w:szCs w:val="22"/>
        </w:rPr>
        <w:t xml:space="preserve">The schedule details can include the client, client email, status, billing cadence, service, amount, next invoice date, total billed, total received, pending amount, and invoice history.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&gt; Recurring.</w:t>
      </w:r>
    </w:p>
    <w:p>
      <w:pPr>
        <w:pStyle w:val="ListParagraph"/>
        <w:numPr>
          <w:ilvl w:val="0"/>
          <w:numId w:val="2"/>
        </w:numPr>
        <w:spacing w:after="40"/>
        <w:ind w:left="892"/>
      </w:pPr>
      <w:r>
        <w:rPr>
          <w:sz w:val="21"/>
          <w:szCs w:val="21"/>
        </w:rPr>
        <w:t xml:space="preserve">Find the schedule in tile or list view.</w:t>
      </w:r>
    </w:p>
    <w:p>
      <w:pPr>
        <w:pStyle w:val="ListParagraph"/>
        <w:numPr>
          <w:ilvl w:val="0"/>
          <w:numId w:val="2"/>
        </w:numPr>
        <w:spacing w:after="40"/>
        <w:ind w:left="892"/>
      </w:pPr>
      <w:r>
        <w:rPr>
          <w:sz w:val="21"/>
          <w:szCs w:val="21"/>
        </w:rPr>
        <w:t xml:space="preserve">Select View details.</w:t>
      </w:r>
    </w:p>
    <w:p>
      <w:pPr>
        <w:pStyle w:val="ListParagraph"/>
        <w:numPr>
          <w:ilvl w:val="0"/>
          <w:numId w:val="2"/>
        </w:numPr>
        <w:spacing w:after="40"/>
        <w:ind w:left="892"/>
      </w:pPr>
      <w:r>
        <w:rPr>
          <w:sz w:val="21"/>
          <w:szCs w:val="21"/>
        </w:rPr>
        <w:t xml:space="preserve">Review the client, status, cadence, amount, next invoice date, totals, and invoice history.</w:t>
      </w:r>
    </w:p>
    <w:p>
      <w:pPr>
        <w:pStyle w:val="ListParagraph"/>
        <w:numPr>
          <w:ilvl w:val="0"/>
          <w:numId w:val="2"/>
        </w:numPr>
        <w:spacing w:after="40"/>
        <w:ind w:left="892"/>
      </w:pPr>
      <w:r>
        <w:rPr>
          <w:sz w:val="21"/>
          <w:szCs w:val="21"/>
        </w:rPr>
        <w:t xml:space="preserve">Select Pause when scheduled billing should temporarily stop.</w:t>
      </w:r>
    </w:p>
    <w:p>
      <w:pPr>
        <w:pStyle w:val="ListParagraph"/>
        <w:numPr>
          <w:ilvl w:val="0"/>
          <w:numId w:val="2"/>
        </w:numPr>
        <w:spacing w:after="40"/>
        <w:ind w:left="892"/>
      </w:pPr>
      <w:r>
        <w:rPr>
          <w:sz w:val="21"/>
          <w:szCs w:val="21"/>
        </w:rPr>
        <w:t xml:space="preserve">Select Resume when a paused schedule should begin running again.</w:t>
      </w:r>
    </w:p>
    <w:p>
      <w:pPr>
        <w:pStyle w:val="ListParagraph"/>
        <w:numPr>
          <w:ilvl w:val="0"/>
          <w:numId w:val="2"/>
        </w:numPr>
        <w:spacing w:after="40"/>
        <w:ind w:left="892"/>
      </w:pPr>
      <w:r>
        <w:rPr>
          <w:sz w:val="21"/>
          <w:szCs w:val="21"/>
        </w:rPr>
        <w:t xml:space="preserve">Use Bill now when an immediate invoice is required from an active schedule.</w:t>
      </w:r>
    </w:p>
    <w:p>
      <w:pPr>
        <w:pStyle w:val="ListParagraph"/>
        <w:numPr>
          <w:ilvl w:val="0"/>
          <w:numId w:val="2"/>
        </w:numPr>
        <w:spacing w:after="40"/>
        <w:ind w:left="892"/>
      </w:pPr>
      <w:r>
        <w:rPr>
          <w:sz w:val="21"/>
          <w:szCs w:val="21"/>
        </w:rPr>
        <w:t xml:space="preserve">Review any displayed future price change before the next scheduled invoice is generated.</w:t>
      </w:r>
    </w:p>
    <w:p>
      <w:pPr>
        <w:pStyle w:val="ListParagraph"/>
        <w:numPr>
          <w:ilvl w:val="0"/>
          <w:numId w:val="2"/>
        </w:numPr>
        <w:spacing w:after="40"/>
        <w:ind w:left="892"/>
      </w:pPr>
      <w:r>
        <w:rPr>
          <w:sz w:val="21"/>
          <w:szCs w:val="21"/>
        </w:rPr>
        <w:t xml:space="preserve">Note: Bill now is unavailable while a recurring schedule is paused. Resume the schedule first if an immediate invoice needs to be created.</w:t>
      </w:r>
    </w:p>
    <w:p>
      <w:pPr>
        <w:pStyle w:val="ListParagraph"/>
        <w:numPr>
          <w:ilvl w:val="0"/>
          <w:numId w:val="2"/>
        </w:numPr>
        <w:spacing w:after="40"/>
        <w:ind w:left="892"/>
      </w:pPr>
      <w:r>
        <w:rPr>
          <w:sz w:val="21"/>
          <w:szCs w:val="21"/>
        </w:rPr>
        <w:t xml:space="preserve">Before changing a schedule, review its next billing date and invoice history so the change does not result in an unintended duplicate or missed invoice.</w:t>
      </w:r>
    </w:p>
    <w:p>
      <w:pPr>
        <w:spacing w:after="40" w:before="70"/>
        <w:ind w:left="403"/>
      </w:pPr>
      <w:r>
        <w:rPr>
          <w:color w:val="8B8FA3"/>
          <w:sz w:val="17"/>
          <w:szCs w:val="17"/>
        </w:rPr>
        <w:t xml:space="preserve">Ref: pro-how-do-i-review-or-control-a-recurring-schedule-103</w:t>
      </w:r>
    </w:p>
    <w:p>
      <w:pPr>
        <w:keepNext/>
        <w:spacing w:after="90" w:before="220"/>
      </w:pPr>
      <w:r>
        <w:rPr>
          <w:b/>
          <w:bCs/>
          <w:color w:val="1A1C2E"/>
          <w:sz w:val="24"/>
          <w:szCs w:val="24"/>
        </w:rPr>
        <w:t xml:space="preserve">12.   What is the Services catalog?</w:t>
      </w:r>
    </w:p>
    <w:p>
      <w:pPr>
        <w:spacing w:after="90"/>
        <w:ind w:left="403"/>
      </w:pPr>
      <w:r>
        <w:rPr>
          <w:sz w:val="22"/>
          <w:szCs w:val="22"/>
        </w:rPr>
        <w:t xml:space="preserve">The Services catalog is the firm's reusable library of services used across billing and engagement packages.</w:t>
      </w:r>
    </w:p>
    <w:p>
      <w:pPr>
        <w:spacing w:after="90"/>
        <w:ind w:left="403"/>
      </w:pPr>
      <w:r>
        <w:rPr>
          <w:b/>
          <w:bCs/>
          <w:color w:val="4735BE"/>
          <w:sz w:val="18"/>
          <w:szCs w:val="18"/>
        </w:rPr>
        <w:t xml:space="preserve">More   </w:t>
      </w:r>
      <w:r>
        <w:rPr>
          <w:sz w:val="22"/>
          <w:szCs w:val="22"/>
        </w:rPr>
        <w:t xml:space="preserve">Instead of recreating the same service description, pricing, and billing setup each time, firm users can select an existing catalog item when preparing client work. Each service can include information such as the service name, description, kind, category, pricing model, default price or amount, discount and tax defaults, related SOP, and active or inactive status. The Services list can be searched and filtered by name or description, kind, pricing model, and active status. For example, your firm might maintain reusable services for Individual Tax Return, Monthly Bookkeeping, Tax Planning, Payroll, Audit Support, or Advisory Consultation.</w:t>
      </w:r>
    </w:p>
    <w:p>
      <w:pPr>
        <w:spacing w:after="90"/>
        <w:ind w:left="403"/>
      </w:pPr>
      <w:r>
        <w:rPr>
          <w:b/>
          <w:bCs/>
          <w:color w:val="4735BE"/>
          <w:sz w:val="18"/>
          <w:szCs w:val="18"/>
        </w:rPr>
        <w:t xml:space="preserve">More   </w:t>
      </w:r>
      <w:r>
        <w:rPr>
          <w:sz w:val="22"/>
          <w:szCs w:val="22"/>
        </w:rPr>
        <w:t xml:space="preserve">Treat each catalog item as a standardized service definition. Name and description explain what the firm provides. Kind defines how the service is positioned or used. Category helps organize related services. Pricing model and default amount establish the starting billing structure. SOP documents how the service should be delivered. Active status controls whether the service is available for new work.</w:t>
      </w:r>
    </w:p>
    <w:p>
      <w:pPr>
        <w:spacing w:after="90"/>
        <w:ind w:left="403"/>
      </w:pPr>
      <w:r>
        <w:rPr>
          <w:b/>
          <w:bCs/>
          <w:color w:val="4735BE"/>
          <w:sz w:val="18"/>
          <w:szCs w:val="18"/>
        </w:rPr>
        <w:t xml:space="preserve">More   </w:t>
      </w:r>
      <w:r>
        <w:rPr>
          <w:sz w:val="22"/>
          <w:szCs w:val="22"/>
        </w:rPr>
        <w:t xml:space="preserve">Maintaining a consistent Services catalog helps reduce pricing and service-description differences across engagement letters, invoices, and recurring client work.</w:t>
      </w:r>
    </w:p>
    <w:p>
      <w:pPr>
        <w:spacing w:after="40" w:before="70"/>
        <w:ind w:left="403"/>
      </w:pPr>
      <w:r>
        <w:rPr>
          <w:color w:val="8B8FA3"/>
          <w:sz w:val="17"/>
          <w:szCs w:val="17"/>
        </w:rPr>
        <w:t xml:space="preserve">Ref: pro-what-is-the-services-catalog-104</w:t>
      </w:r>
    </w:p>
    <w:p>
      <w:pPr>
        <w:keepNext/>
        <w:spacing w:after="90" w:before="220"/>
      </w:pPr>
      <w:r>
        <w:rPr>
          <w:b/>
          <w:bCs/>
          <w:color w:val="1A1C2E"/>
          <w:sz w:val="24"/>
          <w:szCs w:val="24"/>
        </w:rPr>
        <w:t xml:space="preserve">13.   Which service kinds and pricing models are available?</w:t>
      </w:r>
    </w:p>
    <w:p>
      <w:pPr>
        <w:spacing w:after="90"/>
        <w:ind w:left="403"/>
      </w:pPr>
      <w:r>
        <w:rPr>
          <w:sz w:val="22"/>
          <w:szCs w:val="22"/>
        </w:rPr>
        <w:t xml:space="preserve">When creating a service, AssurePro separates its Kind from its Pricing model.</w:t>
      </w:r>
    </w:p>
    <w:p>
      <w:pPr>
        <w:spacing w:after="90"/>
        <w:ind w:left="403"/>
      </w:pPr>
      <w:r>
        <w:rPr>
          <w:b/>
          <w:bCs/>
          <w:color w:val="4735BE"/>
          <w:sz w:val="18"/>
          <w:szCs w:val="18"/>
        </w:rPr>
        <w:t xml:space="preserve">More   </w:t>
      </w:r>
      <w:r>
        <w:rPr>
          <w:sz w:val="22"/>
          <w:szCs w:val="22"/>
        </w:rPr>
        <w:t xml:space="preserve">Kind describes the commercial role of the item: Service, Bundle, Add-on, Hourly, or Retainer. Pricing determines how the charge is calculated: Fixed, Hourly, or Retainer. For example, an Individual Tax Return can be a Service with Fixed pricing, an Advisory Consultation can use Hourly pricing, an ongoing advisory relationship can use Retainer pricing, Audit Protection can be an Add-on, and a tax-service package can be a Bundle containing several included services.</w:t>
      </w:r>
    </w:p>
    <w:p>
      <w:pPr>
        <w:spacing w:after="40" w:before="70"/>
        <w:ind w:left="403"/>
      </w:pPr>
      <w:r>
        <w:rPr>
          <w:color w:val="8B8FA3"/>
          <w:sz w:val="17"/>
          <w:szCs w:val="17"/>
        </w:rPr>
        <w:t xml:space="preserve">Ref: pro-which-service-kinds-and-pricing-models-are-available-105</w:t>
      </w:r>
    </w:p>
    <w:p>
      <w:pPr>
        <w:keepNext/>
        <w:spacing w:after="90" w:before="220"/>
      </w:pPr>
      <w:r>
        <w:rPr>
          <w:b/>
          <w:bCs/>
          <w:color w:val="1A1C2E"/>
          <w:sz w:val="24"/>
          <w:szCs w:val="24"/>
        </w:rPr>
        <w:t xml:space="preserve">14.   How do I create a service?</w:t>
      </w:r>
    </w:p>
    <w:p>
      <w:pPr>
        <w:spacing w:after="90"/>
        <w:ind w:left="403"/>
      </w:pPr>
      <w:r>
        <w:rPr>
          <w:sz w:val="22"/>
          <w:szCs w:val="22"/>
        </w:rPr>
        <w:t xml:space="preserve">Create a service in Services to define a reusable offering that firm users can use in invoices and engagement packages.</w:t>
      </w:r>
    </w:p>
    <w:p>
      <w:pPr>
        <w:spacing w:after="90"/>
        <w:ind w:left="403"/>
      </w:pPr>
      <w:r>
        <w:rPr>
          <w:b/>
          <w:bCs/>
          <w:color w:val="4735BE"/>
          <w:sz w:val="18"/>
          <w:szCs w:val="18"/>
        </w:rPr>
        <w:t xml:space="preserve">More   </w:t>
      </w:r>
      <w:r>
        <w:rPr>
          <w:sz w:val="22"/>
          <w:szCs w:val="22"/>
        </w:rPr>
        <w:t xml:space="preserve">A service can include its name, description, kind, category, pricing model, default price, discount, tax treatment, and related SOP.</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Services and select New service.</w:t>
      </w:r>
    </w:p>
    <w:p>
      <w:pPr>
        <w:pStyle w:val="ListParagraph"/>
        <w:numPr>
          <w:ilvl w:val="0"/>
          <w:numId w:val="2"/>
        </w:numPr>
        <w:spacing w:after="40"/>
        <w:ind w:left="892"/>
      </w:pPr>
      <w:r>
        <w:rPr>
          <w:sz w:val="21"/>
          <w:szCs w:val="21"/>
        </w:rPr>
        <w:t xml:space="preserve">Enter the service name and, if needed, a description.</w:t>
      </w:r>
    </w:p>
    <w:p>
      <w:pPr>
        <w:pStyle w:val="ListParagraph"/>
        <w:numPr>
          <w:ilvl w:val="0"/>
          <w:numId w:val="2"/>
        </w:numPr>
        <w:spacing w:after="40"/>
        <w:ind w:left="892"/>
      </w:pPr>
      <w:r>
        <w:rPr>
          <w:sz w:val="21"/>
          <w:szCs w:val="21"/>
        </w:rPr>
        <w:t xml:space="preserve">Choose the appropriate Kind: Bundle, Add-on, Hourly, Retainer, Service.</w:t>
      </w:r>
    </w:p>
    <w:p>
      <w:pPr>
        <w:pStyle w:val="ListParagraph"/>
        <w:numPr>
          <w:ilvl w:val="0"/>
          <w:numId w:val="2"/>
        </w:numPr>
        <w:spacing w:after="40"/>
        <w:ind w:left="892"/>
      </w:pPr>
      <w:r>
        <w:rPr>
          <w:sz w:val="21"/>
          <w:szCs w:val="21"/>
        </w:rPr>
        <w:t xml:space="preserve">Select the appropriate Category.</w:t>
      </w:r>
    </w:p>
    <w:p>
      <w:pPr>
        <w:pStyle w:val="ListParagraph"/>
        <w:numPr>
          <w:ilvl w:val="0"/>
          <w:numId w:val="2"/>
        </w:numPr>
        <w:spacing w:after="40"/>
        <w:ind w:left="892"/>
      </w:pPr>
      <w:r>
        <w:rPr>
          <w:sz w:val="21"/>
          <w:szCs w:val="21"/>
        </w:rPr>
        <w:t xml:space="preserve">Choose the Pricing model: Fixed, Hourly, Retainer.</w:t>
      </w:r>
    </w:p>
    <w:p>
      <w:pPr>
        <w:pStyle w:val="ListParagraph"/>
        <w:numPr>
          <w:ilvl w:val="0"/>
          <w:numId w:val="2"/>
        </w:numPr>
        <w:spacing w:after="40"/>
        <w:ind w:left="892"/>
      </w:pPr>
      <w:r>
        <w:rPr>
          <w:sz w:val="21"/>
          <w:szCs w:val="21"/>
        </w:rPr>
        <w:t xml:space="preserve">Enter the default price or rate.</w:t>
      </w:r>
    </w:p>
    <w:p>
      <w:pPr>
        <w:pStyle w:val="ListParagraph"/>
        <w:numPr>
          <w:ilvl w:val="0"/>
          <w:numId w:val="2"/>
        </w:numPr>
        <w:spacing w:after="40"/>
        <w:ind w:left="892"/>
      </w:pPr>
      <w:r>
        <w:rPr>
          <w:sz w:val="21"/>
          <w:szCs w:val="21"/>
        </w:rPr>
        <w:t xml:space="preserve">Add a default discount if your firm uses one.</w:t>
      </w:r>
    </w:p>
    <w:p>
      <w:pPr>
        <w:pStyle w:val="ListParagraph"/>
        <w:numPr>
          <w:ilvl w:val="0"/>
          <w:numId w:val="2"/>
        </w:numPr>
        <w:spacing w:after="40"/>
        <w:ind w:left="892"/>
      </w:pPr>
      <w:r>
        <w:rPr>
          <w:sz w:val="21"/>
          <w:szCs w:val="21"/>
        </w:rPr>
        <w:t xml:space="preserve">Configure the default tax rate and whether the service is taxable.</w:t>
      </w:r>
    </w:p>
    <w:p>
      <w:pPr>
        <w:pStyle w:val="ListParagraph"/>
        <w:numPr>
          <w:ilvl w:val="0"/>
          <w:numId w:val="2"/>
        </w:numPr>
        <w:spacing w:after="40"/>
        <w:ind w:left="892"/>
      </w:pPr>
      <w:r>
        <w:rPr>
          <w:sz w:val="21"/>
          <w:szCs w:val="21"/>
        </w:rPr>
        <w:t xml:space="preserve">Review the service details and select Create service.</w:t>
      </w:r>
    </w:p>
    <w:p>
      <w:pPr>
        <w:pStyle w:val="ListParagraph"/>
        <w:numPr>
          <w:ilvl w:val="0"/>
          <w:numId w:val="2"/>
        </w:numPr>
        <w:spacing w:after="40"/>
        <w:ind w:left="892"/>
      </w:pPr>
      <w:r>
        <w:rPr>
          <w:sz w:val="21"/>
          <w:szCs w:val="21"/>
        </w:rPr>
        <w:t xml:space="preserve">Once created, the service becomes available as a reusable catalog item for supported engagement-letter and billing workflows.</w:t>
      </w:r>
    </w:p>
    <w:p>
      <w:pPr>
        <w:pStyle w:val="ListParagraph"/>
        <w:numPr>
          <w:ilvl w:val="0"/>
          <w:numId w:val="2"/>
        </w:numPr>
        <w:spacing w:after="40"/>
        <w:ind w:left="892"/>
      </w:pPr>
      <w:r>
        <w:rPr>
          <w:sz w:val="21"/>
          <w:szCs w:val="21"/>
        </w:rPr>
        <w:t xml:space="preserve">Use clear, client-friendly service names and descriptions so the same definition can be reused consistently across the firm.</w:t>
      </w:r>
    </w:p>
    <w:p>
      <w:pPr>
        <w:spacing w:after="40" w:before="70"/>
        <w:ind w:left="403"/>
      </w:pPr>
      <w:r>
        <w:rPr>
          <w:color w:val="8B8FA3"/>
          <w:sz w:val="17"/>
          <w:szCs w:val="17"/>
        </w:rPr>
        <w:t xml:space="preserve">Ref: pro-how-do-i-create-a-service-106</w:t>
      </w:r>
    </w:p>
    <w:p>
      <w:pPr>
        <w:keepNext/>
        <w:spacing w:after="90" w:before="220"/>
      </w:pPr>
      <w:r>
        <w:rPr>
          <w:b/>
          <w:bCs/>
          <w:color w:val="1A1C2E"/>
          <w:sz w:val="24"/>
          <w:szCs w:val="24"/>
        </w:rPr>
        <w:t xml:space="preserve">15.   How do I find, deactivate, or archive a service?</w:t>
      </w:r>
    </w:p>
    <w:p>
      <w:pPr>
        <w:spacing w:after="90"/>
        <w:ind w:left="403"/>
      </w:pPr>
      <w:r>
        <w:rPr>
          <w:sz w:val="22"/>
          <w:szCs w:val="22"/>
        </w:rPr>
        <w:t xml:space="preserve">Use search and filters in the Services catalog to find an existing service by name, description, kind, pricing model, or active status.</w:t>
      </w:r>
    </w:p>
    <w:p>
      <w:pPr>
        <w:spacing w:after="90"/>
        <w:ind w:left="403"/>
      </w:pPr>
      <w:r>
        <w:rPr>
          <w:b/>
          <w:bCs/>
          <w:color w:val="4735BE"/>
          <w:sz w:val="18"/>
          <w:szCs w:val="18"/>
        </w:rPr>
        <w:t xml:space="preserve">More   </w:t>
      </w:r>
      <w:r>
        <w:rPr>
          <w:sz w:val="22"/>
          <w:szCs w:val="22"/>
        </w:rPr>
        <w:t xml:space="preserve">Firm administrators can then make a service inactive or archive it when it should no longer be used for new work.</w:t>
      </w:r>
    </w:p>
    <w:p>
      <w:pPr>
        <w:spacing w:after="90"/>
        <w:ind w:left="403"/>
      </w:pPr>
      <w:r>
        <w:rPr>
          <w:b/>
          <w:bCs/>
          <w:color w:val="4735BE"/>
          <w:sz w:val="18"/>
          <w:szCs w:val="18"/>
        </w:rPr>
        <w:t xml:space="preserve">More   </w:t>
      </w:r>
      <w:r>
        <w:rPr>
          <w:sz w:val="22"/>
          <w:szCs w:val="22"/>
        </w:rPr>
        <w:t xml:space="preserve">Inactive — removes the service from normal selection for new work while keeping it available for reference and possible reactivation.</w:t>
      </w:r>
    </w:p>
    <w:p>
      <w:pPr>
        <w:spacing w:after="90"/>
        <w:ind w:left="403"/>
      </w:pPr>
      <w:r>
        <w:rPr>
          <w:b/>
          <w:bCs/>
          <w:color w:val="4735BE"/>
          <w:sz w:val="18"/>
          <w:szCs w:val="18"/>
        </w:rPr>
        <w:t xml:space="preserve">More   </w:t>
      </w:r>
      <w:r>
        <w:rPr>
          <w:sz w:val="22"/>
          <w:szCs w:val="22"/>
        </w:rPr>
        <w:t xml:space="preserve">Archive — removes the service from normal catalog maintenance when it is no longer intended for active use.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Services.</w:t>
      </w:r>
    </w:p>
    <w:p>
      <w:pPr>
        <w:pStyle w:val="ListParagraph"/>
        <w:numPr>
          <w:ilvl w:val="0"/>
          <w:numId w:val="2"/>
        </w:numPr>
        <w:spacing w:after="40"/>
        <w:ind w:left="892"/>
      </w:pPr>
      <w:r>
        <w:rPr>
          <w:sz w:val="21"/>
          <w:szCs w:val="21"/>
        </w:rPr>
        <w:t xml:space="preserve">Search by service name or description, or filter by Kind or Pricing.</w:t>
      </w:r>
    </w:p>
    <w:p>
      <w:pPr>
        <w:pStyle w:val="ListParagraph"/>
        <w:numPr>
          <w:ilvl w:val="0"/>
          <w:numId w:val="2"/>
        </w:numPr>
        <w:spacing w:after="40"/>
        <w:ind w:left="892"/>
      </w:pPr>
      <w:r>
        <w:rPr>
          <w:sz w:val="21"/>
          <w:szCs w:val="21"/>
        </w:rPr>
        <w:t xml:space="preserve">To deactivate a service, turn off its Active switch.</w:t>
      </w:r>
    </w:p>
    <w:p>
      <w:pPr>
        <w:pStyle w:val="ListParagraph"/>
        <w:numPr>
          <w:ilvl w:val="0"/>
          <w:numId w:val="2"/>
        </w:numPr>
        <w:spacing w:after="40"/>
        <w:ind w:left="892"/>
      </w:pPr>
      <w:r>
        <w:rPr>
          <w:sz w:val="21"/>
          <w:szCs w:val="21"/>
        </w:rPr>
        <w:t xml:space="preserve">Enable Show inactive when you need to locate or reactivate an inactive service.</w:t>
      </w:r>
    </w:p>
    <w:p>
      <w:pPr>
        <w:pStyle w:val="ListParagraph"/>
        <w:numPr>
          <w:ilvl w:val="0"/>
          <w:numId w:val="2"/>
        </w:numPr>
        <w:spacing w:after="40"/>
        <w:ind w:left="892"/>
      </w:pPr>
      <w:r>
        <w:rPr>
          <w:sz w:val="21"/>
          <w:szCs w:val="21"/>
        </w:rPr>
        <w:t xml:space="preserve">To archive a service, open the row action menu and select Archive.</w:t>
      </w:r>
    </w:p>
    <w:p>
      <w:pPr>
        <w:pStyle w:val="ListParagraph"/>
        <w:numPr>
          <w:ilvl w:val="0"/>
          <w:numId w:val="2"/>
        </w:numPr>
        <w:spacing w:after="40"/>
        <w:ind w:left="892"/>
      </w:pPr>
      <w:r>
        <w:rPr>
          <w:sz w:val="21"/>
          <w:szCs w:val="21"/>
        </w:rPr>
        <w:t xml:space="preserve">Before deactivating or archiving a service, check whether it is referenced by: Engagement-letter templates, Draft or active agreements, Recurring billing schedules, Draft invoices, Other reusable firm configurations.</w:t>
      </w:r>
    </w:p>
    <w:p>
      <w:pPr>
        <w:pStyle w:val="ListParagraph"/>
        <w:numPr>
          <w:ilvl w:val="0"/>
          <w:numId w:val="2"/>
        </w:numPr>
        <w:spacing w:after="40"/>
        <w:ind w:left="892"/>
      </w:pPr>
      <w:r>
        <w:rPr>
          <w:sz w:val="21"/>
          <w:szCs w:val="21"/>
        </w:rPr>
        <w:t xml:space="preserve">This helps prevent new client work from depending on a service that is no longer available for selection.</w:t>
      </w:r>
    </w:p>
    <w:p>
      <w:pPr>
        <w:spacing w:after="40" w:before="70"/>
        <w:ind w:left="403"/>
      </w:pPr>
      <w:r>
        <w:rPr>
          <w:color w:val="8B8FA3"/>
          <w:sz w:val="17"/>
          <w:szCs w:val="17"/>
        </w:rPr>
        <w:t xml:space="preserve">Ref: pro-how-do-i-find-deactivate-or-archive-a-service-107</w:t>
      </w:r>
    </w:p>
    <w:p>
      <w:pPr>
        <w:keepNext/>
        <w:spacing w:after="90" w:before="220"/>
      </w:pPr>
      <w:r>
        <w:rPr>
          <w:b/>
          <w:bCs/>
          <w:color w:val="1A1C2E"/>
          <w:sz w:val="24"/>
          <w:szCs w:val="24"/>
        </w:rPr>
        <w:t xml:space="preserve">16.   How is a standard operating procedure attached to a service?</w:t>
      </w:r>
    </w:p>
    <w:p>
      <w:pPr>
        <w:spacing w:after="90"/>
        <w:ind w:left="403"/>
      </w:pPr>
      <w:r>
        <w:rPr>
          <w:sz w:val="22"/>
          <w:szCs w:val="22"/>
        </w:rPr>
        <w:t xml:space="preserve">A service can have a related Standard Operating Procedure (SOP) that documents how your firm performs and delivers that service.</w:t>
      </w:r>
    </w:p>
    <w:p>
      <w:pPr>
        <w:spacing w:after="90"/>
        <w:ind w:left="403"/>
      </w:pPr>
      <w:r>
        <w:rPr>
          <w:b/>
          <w:bCs/>
          <w:color w:val="4735BE"/>
          <w:sz w:val="18"/>
          <w:szCs w:val="18"/>
        </w:rPr>
        <w:t xml:space="preserve">More   </w:t>
      </w:r>
      <w:r>
        <w:rPr>
          <w:sz w:val="22"/>
          <w:szCs w:val="22"/>
        </w:rPr>
        <w:t xml:space="preserve">The SOP helps preparers, reviewers, and managers follow a consistent process when the same service is delivered across multiple clients.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Services.</w:t>
      </w:r>
    </w:p>
    <w:p>
      <w:pPr>
        <w:pStyle w:val="ListParagraph"/>
        <w:numPr>
          <w:ilvl w:val="0"/>
          <w:numId w:val="2"/>
        </w:numPr>
        <w:spacing w:after="40"/>
        <w:ind w:left="892"/>
      </w:pPr>
      <w:r>
        <w:rPr>
          <w:sz w:val="21"/>
          <w:szCs w:val="21"/>
        </w:rPr>
        <w:t xml:space="preserve">Locate the required service.</w:t>
      </w:r>
    </w:p>
    <w:p>
      <w:pPr>
        <w:pStyle w:val="ListParagraph"/>
        <w:numPr>
          <w:ilvl w:val="0"/>
          <w:numId w:val="2"/>
        </w:numPr>
        <w:spacing w:after="40"/>
        <w:ind w:left="892"/>
      </w:pPr>
      <w:r>
        <w:rPr>
          <w:sz w:val="21"/>
          <w:szCs w:val="21"/>
        </w:rPr>
        <w:t xml:space="preserve">Select the + control in the service's SOP column, or open the service's action menu and choose SOPs.</w:t>
      </w:r>
    </w:p>
    <w:p>
      <w:pPr>
        <w:pStyle w:val="ListParagraph"/>
        <w:numPr>
          <w:ilvl w:val="0"/>
          <w:numId w:val="2"/>
        </w:numPr>
        <w:spacing w:after="40"/>
        <w:ind w:left="892"/>
      </w:pPr>
      <w:r>
        <w:rPr>
          <w:sz w:val="21"/>
          <w:szCs w:val="21"/>
        </w:rPr>
        <w:t xml:space="preserve">Add or update the procedure for that service.</w:t>
      </w:r>
    </w:p>
    <w:p>
      <w:pPr>
        <w:pStyle w:val="ListParagraph"/>
        <w:numPr>
          <w:ilvl w:val="0"/>
          <w:numId w:val="2"/>
        </w:numPr>
        <w:spacing w:after="40"/>
        <w:ind w:left="892"/>
      </w:pPr>
      <w:r>
        <w:rPr>
          <w:sz w:val="21"/>
          <w:szCs w:val="21"/>
        </w:rPr>
        <w:t xml:space="preserve">Review the SOP to make sure the active instructions match the service currently being offered to clients.</w:t>
      </w:r>
    </w:p>
    <w:p>
      <w:pPr>
        <w:pStyle w:val="ListParagraph"/>
        <w:numPr>
          <w:ilvl w:val="0"/>
          <w:numId w:val="2"/>
        </w:numPr>
        <w:spacing w:after="40"/>
        <w:ind w:left="892"/>
      </w:pPr>
      <w:r>
        <w:rPr>
          <w:sz w:val="21"/>
          <w:szCs w:val="21"/>
        </w:rPr>
        <w:t xml:space="preserve">For example, the SOP for Monthly Bookkeeping might document: Collect statements → Post transactions → Reconcile accounts → Complete review → Deliver reports → Follow up with client.</w:t>
      </w:r>
    </w:p>
    <w:p>
      <w:pPr>
        <w:pStyle w:val="ListParagraph"/>
        <w:numPr>
          <w:ilvl w:val="0"/>
          <w:numId w:val="2"/>
        </w:numPr>
        <w:spacing w:after="40"/>
        <w:ind w:left="892"/>
      </w:pPr>
      <w:r>
        <w:rPr>
          <w:sz w:val="21"/>
          <w:szCs w:val="21"/>
        </w:rPr>
        <w:t xml:space="preserve">Use the service-level SOP for procedures that apply specifically to how that service is delivered. Keep broader firm policies in Firm SOP and client-specific exceptions in the client's AI SOP area.</w:t>
      </w:r>
    </w:p>
    <w:p>
      <w:pPr>
        <w:pStyle w:val="ListParagraph"/>
        <w:numPr>
          <w:ilvl w:val="0"/>
          <w:numId w:val="2"/>
        </w:numPr>
        <w:spacing w:after="40"/>
        <w:ind w:left="892"/>
      </w:pPr>
      <w:r>
        <w:rPr>
          <w:sz w:val="21"/>
          <w:szCs w:val="21"/>
        </w:rPr>
        <w:t xml:space="preserve">Keeping the service description and SOP aligned helps ensure that what the firm sells and what the team delivers remain consistent.</w:t>
      </w:r>
    </w:p>
    <w:p>
      <w:pPr>
        <w:spacing w:after="40" w:before="70"/>
        <w:ind w:left="403"/>
      </w:pPr>
      <w:r>
        <w:rPr>
          <w:color w:val="8B8FA3"/>
          <w:sz w:val="17"/>
          <w:szCs w:val="17"/>
        </w:rPr>
        <w:t xml:space="preserve">Ref: pro-how-is-a-standard-operating-procedure-attached-to-a-service-108</w:t>
      </w:r>
    </w:p>
    <w:p>
      <w:pPr>
        <w:keepNext/>
        <w:spacing w:after="90" w:before="220"/>
      </w:pPr>
      <w:r>
        <w:rPr>
          <w:b/>
          <w:bCs/>
          <w:color w:val="1A1C2E"/>
          <w:sz w:val="24"/>
          <w:szCs w:val="24"/>
        </w:rPr>
        <w:t xml:space="preserve">17.   How are time entries turned into invoices?</w:t>
      </w:r>
    </w:p>
    <w:p>
      <w:pPr>
        <w:spacing w:after="90"/>
        <w:ind w:left="403"/>
      </w:pPr>
      <w:r>
        <w:rPr>
          <w:sz w:val="22"/>
          <w:szCs w:val="22"/>
        </w:rPr>
        <w:t xml:space="preserve">Billable time recorded in Time Sheet can become invoice line items in two ways: from Time Sheet, by selecting eligible uninvoiced entries and choosing Generate invoice, or from the invoice builder, by selecting Import unbilled time. Both let the firm use already-recorded time instead of re-entering hours.</w:t>
      </w:r>
    </w:p>
    <w:p>
      <w:pPr>
        <w:spacing w:after="90"/>
        <w:ind w:left="403"/>
      </w:pPr>
      <w:r>
        <w:rPr>
          <w:b/>
          <w:bCs/>
          <w:color w:val="4735BE"/>
          <w:sz w:val="18"/>
          <w:szCs w:val="18"/>
        </w:rPr>
        <w:t xml:space="preserve">More   </w:t>
      </w:r>
      <w:r>
        <w:rPr>
          <w:sz w:val="22"/>
          <w:szCs w:val="22"/>
        </w:rPr>
        <w:t xml:space="preserve">From Time Sheet: filter to the correct client, engagement, task, assignee, or date range, show billable time, confirm the entries are not already invoiced, select them, and choose Generate invoice.</w:t>
      </w:r>
    </w:p>
    <w:p>
      <w:pPr>
        <w:spacing w:after="90"/>
        <w:ind w:left="403"/>
      </w:pPr>
      <w:r>
        <w:rPr>
          <w:b/>
          <w:bCs/>
          <w:color w:val="4735BE"/>
          <w:sz w:val="18"/>
          <w:szCs w:val="18"/>
        </w:rPr>
        <w:t xml:space="preserve">More   </w:t>
      </w:r>
      <w:r>
        <w:rPr>
          <w:sz w:val="22"/>
          <w:szCs w:val="22"/>
        </w:rPr>
        <w:t xml:space="preserve">From the invoice builder: create or open an invoice for the client, select Import unbilled time, choose the eligible entries, and review the imported line items before sending. Always check invoice status before billing time — an entry already linked to an invoice should not be billed again.</w:t>
      </w:r>
    </w:p>
    <w:p>
      <w:pPr>
        <w:spacing w:after="40" w:before="70"/>
        <w:ind w:left="403"/>
      </w:pPr>
      <w:r>
        <w:rPr>
          <w:color w:val="8B8FA3"/>
          <w:sz w:val="17"/>
          <w:szCs w:val="17"/>
        </w:rPr>
        <w:t xml:space="preserve">Ref: pro-how-are-time-entries-turned-into-invoices-109</w:t>
      </w:r>
    </w:p>
    <w:p>
      <w:pPr>
        <w:keepNext/>
        <w:spacing w:after="90" w:before="220"/>
      </w:pPr>
      <w:r>
        <w:rPr>
          <w:b/>
          <w:bCs/>
          <w:color w:val="1A1C2E"/>
          <w:sz w:val="24"/>
          <w:szCs w:val="24"/>
        </w:rPr>
        <w:t xml:space="preserve">18.   What is the difference between Billing &amp; Payments and Platform Subscription?</w:t>
      </w:r>
    </w:p>
    <w:p>
      <w:pPr>
        <w:spacing w:after="90"/>
        <w:ind w:left="403"/>
      </w:pPr>
      <w:r>
        <w:rPr>
          <w:sz w:val="22"/>
          <w:szCs w:val="22"/>
        </w:rPr>
        <w:t xml:space="preserve">Billing &amp; Payments and Platform Subscription serve two different financial purposes in AssurePro.</w:t>
      </w:r>
    </w:p>
    <w:p>
      <w:pPr>
        <w:spacing w:after="90"/>
        <w:ind w:left="403"/>
      </w:pPr>
      <w:r>
        <w:rPr>
          <w:b/>
          <w:bCs/>
          <w:color w:val="4735BE"/>
          <w:sz w:val="18"/>
          <w:szCs w:val="18"/>
        </w:rPr>
        <w:t xml:space="preserve">More   </w:t>
      </w:r>
      <w:r>
        <w:rPr>
          <w:sz w:val="22"/>
          <w:szCs w:val="22"/>
        </w:rPr>
        <w:t xml:space="preserve">Billing &amp; Payments covers money the firm collects from clients: invoice payments, connected payment processors, payment methods, payout accounts, and client receivables. Platform Subscription covers purchases the firm makes from AssureOne Technologies LLC, including platform charges, AI Credits, and the invoices and receipts AssureOne issues to the firm. A simple test: client pays the firm belongs under Billing &amp; Payments; firm pays AssureOne belongs under Platform Subscription. Keep the two separate during reconciliation.</w:t>
      </w:r>
    </w:p>
    <w:p>
      <w:pPr>
        <w:spacing w:after="40" w:before="70"/>
        <w:ind w:left="403"/>
      </w:pPr>
      <w:r>
        <w:rPr>
          <w:color w:val="8B8FA3"/>
          <w:sz w:val="17"/>
          <w:szCs w:val="17"/>
        </w:rPr>
        <w:t xml:space="preserve">Ref: pro-what-is-the-difference-between-billing-payments-and-platform-subscript-110</w:t>
      </w:r>
    </w:p>
    <w:p>
      <w:pPr>
        <w:keepNext/>
        <w:spacing w:after="90" w:before="220"/>
      </w:pPr>
      <w:r>
        <w:rPr>
          <w:b/>
          <w:bCs/>
          <w:color w:val="1A1C2E"/>
          <w:sz w:val="24"/>
          <w:szCs w:val="24"/>
        </w:rPr>
        <w:t xml:space="preserve">19.   How do I review AssureOne platform purchases and receipts?</w:t>
      </w:r>
    </w:p>
    <w:p>
      <w:pPr>
        <w:spacing w:after="90"/>
        <w:ind w:left="403"/>
      </w:pPr>
      <w:r>
        <w:rPr>
          <w:sz w:val="22"/>
          <w:szCs w:val="22"/>
        </w:rPr>
        <w:t xml:space="preserve">Use Platform Subscription to review invoices and receipts for purchases your firm makes from AssureOne Technologies LLC.</w:t>
      </w:r>
    </w:p>
    <w:p>
      <w:pPr>
        <w:spacing w:after="90"/>
        <w:ind w:left="403"/>
      </w:pPr>
      <w:r>
        <w:rPr>
          <w:b/>
          <w:bCs/>
          <w:color w:val="4735BE"/>
          <w:sz w:val="18"/>
          <w:szCs w:val="18"/>
        </w:rPr>
        <w:t xml:space="preserve">More   </w:t>
      </w:r>
      <w:r>
        <w:rPr>
          <w:sz w:val="22"/>
          <w:szCs w:val="22"/>
        </w:rPr>
        <w:t xml:space="preserve">This area is separate from client billing and can show information such as the purchase or invoice, transaction date, status, amount, and payment-card summary.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Platform Subscription.</w:t>
      </w:r>
    </w:p>
    <w:p>
      <w:pPr>
        <w:pStyle w:val="ListParagraph"/>
        <w:numPr>
          <w:ilvl w:val="0"/>
          <w:numId w:val="2"/>
        </w:numPr>
        <w:spacing w:after="40"/>
        <w:ind w:left="892"/>
      </w:pPr>
      <w:r>
        <w:rPr>
          <w:sz w:val="21"/>
          <w:szCs w:val="21"/>
        </w:rPr>
        <w:t xml:space="preserve">Filter the purchase history by status or transaction date.</w:t>
      </w:r>
    </w:p>
    <w:p>
      <w:pPr>
        <w:pStyle w:val="ListParagraph"/>
        <w:numPr>
          <w:ilvl w:val="0"/>
          <w:numId w:val="2"/>
        </w:numPr>
        <w:spacing w:after="40"/>
        <w:ind w:left="892"/>
      </w:pPr>
      <w:r>
        <w:rPr>
          <w:sz w:val="21"/>
          <w:szCs w:val="21"/>
        </w:rPr>
        <w:t xml:space="preserve">Locate the AssureOne purchase you want to review.</w:t>
      </w:r>
    </w:p>
    <w:p>
      <w:pPr>
        <w:pStyle w:val="ListParagraph"/>
        <w:numPr>
          <w:ilvl w:val="0"/>
          <w:numId w:val="2"/>
        </w:numPr>
        <w:spacing w:after="40"/>
        <w:ind w:left="892"/>
      </w:pPr>
      <w:r>
        <w:rPr>
          <w:sz w:val="21"/>
          <w:szCs w:val="21"/>
        </w:rPr>
        <w:t xml:space="preserve">Select Preview to review the invoice or receipt on screen.</w:t>
      </w:r>
    </w:p>
    <w:p>
      <w:pPr>
        <w:pStyle w:val="ListParagraph"/>
        <w:numPr>
          <w:ilvl w:val="0"/>
          <w:numId w:val="2"/>
        </w:numPr>
        <w:spacing w:after="40"/>
        <w:ind w:left="892"/>
      </w:pPr>
      <w:r>
        <w:rPr>
          <w:sz w:val="21"/>
          <w:szCs w:val="21"/>
        </w:rPr>
        <w:t xml:space="preserve">Confirm the amount, payment method, date, and purchasing firm details.</w:t>
      </w:r>
    </w:p>
    <w:p>
      <w:pPr>
        <w:pStyle w:val="ListParagraph"/>
        <w:numPr>
          <w:ilvl w:val="0"/>
          <w:numId w:val="2"/>
        </w:numPr>
        <w:spacing w:after="40"/>
        <w:ind w:left="892"/>
      </w:pPr>
      <w:r>
        <w:rPr>
          <w:sz w:val="21"/>
          <w:szCs w:val="21"/>
        </w:rPr>
        <w:t xml:space="preserve">Select Download to save the invoice or receipt for your firm's records.</w:t>
      </w:r>
    </w:p>
    <w:p>
      <w:pPr>
        <w:pStyle w:val="ListParagraph"/>
        <w:numPr>
          <w:ilvl w:val="0"/>
          <w:numId w:val="2"/>
        </w:numPr>
        <w:spacing w:after="40"/>
        <w:ind w:left="892"/>
      </w:pPr>
      <w:r>
        <w:rPr>
          <w:sz w:val="21"/>
          <w:szCs w:val="21"/>
        </w:rPr>
        <w:t xml:space="preserve">Store downloaded AssureOne invoices and receipts according to your firm's accounts-payable or expense-documentation process, rather than in a client's billing or document workspace.</w:t>
      </w:r>
    </w:p>
    <w:p>
      <w:pPr>
        <w:pStyle w:val="ListParagraph"/>
        <w:numPr>
          <w:ilvl w:val="0"/>
          <w:numId w:val="2"/>
        </w:numPr>
        <w:spacing w:after="40"/>
        <w:ind w:left="892"/>
      </w:pPr>
      <w:r>
        <w:rPr>
          <w:sz w:val="21"/>
          <w:szCs w:val="21"/>
        </w:rPr>
        <w:t xml:space="preserve">This separation helps the firm distinguish its own software and platform expenses from amounts billed to or collected from clients.</w:t>
      </w:r>
    </w:p>
    <w:p>
      <w:pPr>
        <w:spacing w:after="40" w:before="70"/>
        <w:ind w:left="403"/>
      </w:pPr>
      <w:r>
        <w:rPr>
          <w:color w:val="8B8FA3"/>
          <w:sz w:val="17"/>
          <w:szCs w:val="17"/>
        </w:rPr>
        <w:t xml:space="preserve">Ref: pro-how-do-i-review-assureone-platform-purchases-and-receipts-111</w:t>
      </w:r>
    </w:p>
    <w:p>
      <w:pPr>
        <w:keepNext/>
        <w:spacing w:after="90" w:before="220"/>
      </w:pPr>
      <w:r>
        <w:rPr>
          <w:b/>
          <w:bCs/>
          <w:color w:val="1A1C2E"/>
          <w:sz w:val="24"/>
          <w:szCs w:val="24"/>
        </w:rPr>
        <w:t xml:space="preserve">20.   What payment and accounting connections are available?</w:t>
      </w:r>
    </w:p>
    <w:p>
      <w:pPr>
        <w:spacing w:after="90"/>
        <w:ind w:left="403"/>
      </w:pPr>
      <w:r>
        <w:rPr>
          <w:sz w:val="22"/>
          <w:szCs w:val="22"/>
        </w:rPr>
        <w:t xml:space="preserve">AssurePro supports integrations for both client payment collection and accounting synchronization.</w:t>
      </w:r>
    </w:p>
    <w:p>
      <w:pPr>
        <w:spacing w:after="90"/>
        <w:ind w:left="403"/>
      </w:pPr>
      <w:r>
        <w:rPr>
          <w:b/>
          <w:bCs/>
          <w:color w:val="4735BE"/>
          <w:sz w:val="18"/>
          <w:szCs w:val="18"/>
        </w:rPr>
        <w:t xml:space="preserve">More   </w:t>
      </w:r>
      <w:r>
        <w:rPr>
          <w:sz w:val="22"/>
          <w:szCs w:val="22"/>
        </w:rPr>
        <w:t xml:space="preserve">Available connections include payment processor integration, used to collect client payments and manage the firm's payout connection, and QuickBooks Online, used to sync paid AssurePro invoices into the firm's accounting system. Firm administrators manage these connections from Settings &gt; Integrations, and billing-related payout settings are also referenced under Billing &amp; Payments.</w:t>
      </w:r>
    </w:p>
    <w:p>
      <w:pPr>
        <w:spacing w:after="90"/>
        <w:ind w:left="403"/>
      </w:pPr>
      <w:r>
        <w:rPr>
          <w:b/>
          <w:bCs/>
          <w:color w:val="4735BE"/>
          <w:sz w:val="18"/>
          <w:szCs w:val="18"/>
        </w:rPr>
        <w:t xml:space="preserve">More   </w:t>
      </w:r>
      <w:r>
        <w:rPr>
          <w:sz w:val="22"/>
          <w:szCs w:val="22"/>
        </w:rPr>
        <w:t xml:space="preserve">A typical flow is to connect the firm's payment processor, confirm the payout account and payment configuration, send a test invoice or controlled transaction, verify that the payment is reflected correctly in AssurePro, and confirm that the corresponding paid-invoice information appears correctly in QuickBooks Online. Before relying on an integration for month-end reconciliation, test the connection with a controlled transaction and confirm that both AssurePro and the external system reflect the expected result.</w:t>
      </w:r>
    </w:p>
    <w:p>
      <w:pPr>
        <w:spacing w:after="40" w:before="70"/>
        <w:ind w:left="403"/>
      </w:pPr>
      <w:r>
        <w:rPr>
          <w:color w:val="8B8FA3"/>
          <w:sz w:val="17"/>
          <w:szCs w:val="17"/>
        </w:rPr>
        <w:t xml:space="preserve">Ref: pro-what-payment-and-accounting-connections-are-available-112</w:t>
      </w:r>
    </w:p>
    <w:p>
      <w:pPr>
        <w:keepNext/>
        <w:spacing w:after="90" w:before="220"/>
      </w:pPr>
      <w:r>
        <w:rPr>
          <w:b/>
          <w:bCs/>
          <w:color w:val="1A1C2E"/>
          <w:sz w:val="24"/>
          <w:szCs w:val="24"/>
        </w:rPr>
        <w:t xml:space="preserve">21.   Does AssurePro include referral tracking?</w:t>
      </w:r>
    </w:p>
    <w:p>
      <w:pPr>
        <w:spacing w:after="90"/>
        <w:ind w:left="403"/>
      </w:pPr>
      <w:r>
        <w:rPr>
          <w:sz w:val="22"/>
          <w:szCs w:val="22"/>
        </w:rPr>
        <w:t xml:space="preserve">Yes. The Referrals tab under Billing allows your firm to track MyCPEOne referrals and the related commission activity.</w:t>
      </w:r>
    </w:p>
    <w:p>
      <w:pPr>
        <w:spacing w:after="90"/>
        <w:ind w:left="403"/>
      </w:pPr>
      <w:r>
        <w:rPr>
          <w:b/>
          <w:bCs/>
          <w:color w:val="4735BE"/>
          <w:sz w:val="18"/>
          <w:szCs w:val="18"/>
        </w:rPr>
        <w:t xml:space="preserve">More   </w:t>
      </w:r>
      <w:r>
        <w:rPr>
          <w:sz w:val="22"/>
          <w:szCs w:val="22"/>
        </w:rPr>
        <w:t xml:space="preserve">The referral area can include information such as referred clients, referral status, active or paying referrals, related engagement, commission rate, monthly commission, lifetime earnings, total paid, accrued commission, and pending payout. Firm users can add referrals individually or use bulk import when multiple referrals need to be added.</w:t>
      </w:r>
    </w:p>
    <w:p>
      <w:pPr>
        <w:spacing w:after="90"/>
        <w:ind w:left="403"/>
      </w:pPr>
      <w:r>
        <w:rPr>
          <w:b/>
          <w:bCs/>
          <w:color w:val="4735BE"/>
          <w:sz w:val="18"/>
          <w:szCs w:val="18"/>
        </w:rPr>
        <w:t xml:space="preserve">More   </w:t>
      </w:r>
      <w:r>
        <w:rPr>
          <w:sz w:val="22"/>
          <w:szCs w:val="22"/>
        </w:rPr>
        <w:t xml:space="preserve">For example, your firm can refer a client to MyCPEOne, associate the relevant engagement or service, and then monitor whether the referral becomes active or starts generating commission. The referral dashboard separates earned, accrued, paid, and pending amounts, helping the firm distinguish referral performance from commission cash already received.</w:t>
      </w:r>
    </w:p>
    <w:p>
      <w:pPr>
        <w:spacing w:after="40" w:before="70"/>
        <w:ind w:left="403"/>
      </w:pPr>
      <w:r>
        <w:rPr>
          <w:color w:val="8B8FA3"/>
          <w:sz w:val="17"/>
          <w:szCs w:val="17"/>
        </w:rPr>
        <w:t xml:space="preserve">Ref: pro-does-assurepro-include-referral-tracking-113</w:t>
      </w:r>
    </w:p>
    <w:p>
      <w:pPr>
        <w:keepNext/>
        <w:spacing w:after="90" w:before="220"/>
      </w:pPr>
      <w:r>
        <w:rPr>
          <w:b/>
          <w:bCs/>
          <w:color w:val="1A1C2E"/>
          <w:sz w:val="24"/>
          <w:szCs w:val="24"/>
        </w:rPr>
        <w:t xml:space="preserve">22.   How do I refer a client to MyCPEOne?</w:t>
      </w:r>
    </w:p>
    <w:p>
      <w:pPr>
        <w:spacing w:after="90"/>
        <w:ind w:left="403"/>
      </w:pPr>
      <w:r>
        <w:rPr>
          <w:sz w:val="22"/>
          <w:szCs w:val="22"/>
        </w:rPr>
        <w:t xml:space="preserve">Firm users can create a MyCPEOne referral from Billing &gt; Referrals.</w:t>
      </w:r>
    </w:p>
    <w:p>
      <w:pPr>
        <w:spacing w:after="90"/>
        <w:ind w:left="403"/>
      </w:pPr>
      <w:r>
        <w:rPr>
          <w:b/>
          <w:bCs/>
          <w:color w:val="4735BE"/>
          <w:sz w:val="18"/>
          <w:szCs w:val="18"/>
        </w:rPr>
        <w:t xml:space="preserve">More   </w:t>
      </w:r>
      <w:r>
        <w:rPr>
          <w:sz w:val="22"/>
          <w:szCs w:val="22"/>
        </w:rPr>
        <w:t xml:space="preserve">The referral can be created for an existing AssurePro client or for a new referral contact that is not yet in the client list.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&gt; Referrals.</w:t>
      </w:r>
    </w:p>
    <w:p>
      <w:pPr>
        <w:pStyle w:val="ListParagraph"/>
        <w:numPr>
          <w:ilvl w:val="0"/>
          <w:numId w:val="2"/>
        </w:numPr>
        <w:spacing w:after="40"/>
        <w:ind w:left="892"/>
      </w:pPr>
      <w:r>
        <w:rPr>
          <w:sz w:val="21"/>
          <w:szCs w:val="21"/>
        </w:rPr>
        <w:t xml:space="preserve">Select Refer a client.</w:t>
      </w:r>
    </w:p>
    <w:p>
      <w:pPr>
        <w:pStyle w:val="ListParagraph"/>
        <w:numPr>
          <w:ilvl w:val="0"/>
          <w:numId w:val="2"/>
        </w:numPr>
        <w:spacing w:after="40"/>
        <w:ind w:left="892"/>
      </w:pPr>
      <w:r>
        <w:rPr>
          <w:sz w:val="21"/>
          <w:szCs w:val="21"/>
        </w:rPr>
        <w:t xml:space="preserve">Choose: New client, From my clients.</w:t>
      </w:r>
    </w:p>
    <w:p>
      <w:pPr>
        <w:pStyle w:val="ListParagraph"/>
        <w:numPr>
          <w:ilvl w:val="0"/>
          <w:numId w:val="2"/>
        </w:numPr>
        <w:spacing w:after="40"/>
        <w:ind w:left="892"/>
      </w:pPr>
      <w:r>
        <w:rPr>
          <w:sz w:val="21"/>
          <w:szCs w:val="21"/>
        </w:rPr>
        <w:t xml:space="preserve">Enter the required information, including: Client name, Entity type, Contact email, Service line.</w:t>
      </w:r>
    </w:p>
    <w:p>
      <w:pPr>
        <w:pStyle w:val="ListParagraph"/>
        <w:numPr>
          <w:ilvl w:val="0"/>
          <w:numId w:val="2"/>
        </w:numPr>
        <w:spacing w:after="40"/>
        <w:ind w:left="892"/>
      </w:pPr>
      <w:r>
        <w:rPr>
          <w:sz w:val="21"/>
          <w:szCs w:val="21"/>
        </w:rPr>
        <w:t xml:space="preserve">Add any additional details that are useful, such as: Contact name, Phone number, Address, ZIP code, Requested services, Notes.</w:t>
      </w:r>
    </w:p>
    <w:p>
      <w:pPr>
        <w:pStyle w:val="ListParagraph"/>
        <w:numPr>
          <w:ilvl w:val="0"/>
          <w:numId w:val="2"/>
        </w:numPr>
        <w:spacing w:after="40"/>
        <w:ind w:left="892"/>
      </w:pPr>
      <w:r>
        <w:rPr>
          <w:sz w:val="21"/>
          <w:szCs w:val="21"/>
        </w:rPr>
        <w:t xml:space="preserve">Review the referral details.</w:t>
      </w:r>
    </w:p>
    <w:p>
      <w:pPr>
        <w:pStyle w:val="ListParagraph"/>
        <w:numPr>
          <w:ilvl w:val="0"/>
          <w:numId w:val="2"/>
        </w:numPr>
        <w:spacing w:after="40"/>
        <w:ind w:left="892"/>
      </w:pPr>
      <w:r>
        <w:rPr>
          <w:sz w:val="21"/>
          <w:szCs w:val="21"/>
        </w:rPr>
        <w:t xml:space="preserve">Submit the referral.</w:t>
      </w:r>
    </w:p>
    <w:p>
      <w:pPr>
        <w:pStyle w:val="ListParagraph"/>
        <w:numPr>
          <w:ilvl w:val="0"/>
          <w:numId w:val="2"/>
        </w:numPr>
        <w:spacing w:after="40"/>
        <w:ind w:left="892"/>
      </w:pPr>
      <w:r>
        <w:rPr>
          <w:sz w:val="21"/>
          <w:szCs w:val="21"/>
        </w:rPr>
        <w:t xml:space="preserve">After submission, MyCPEOne can send the applicable client invitation, and the referral remains visible in AssurePro for status and commission tracking.</w:t>
      </w:r>
    </w:p>
    <w:p>
      <w:pPr>
        <w:pStyle w:val="ListParagraph"/>
        <w:numPr>
          <w:ilvl w:val="0"/>
          <w:numId w:val="2"/>
        </w:numPr>
        <w:spacing w:after="40"/>
        <w:ind w:left="892"/>
      </w:pPr>
      <w:r>
        <w:rPr>
          <w:sz w:val="21"/>
          <w:szCs w:val="21"/>
        </w:rPr>
        <w:t xml:space="preserve">Review the referral record over time to monitor its status, related engagement, commission rate, accrued commission, and pending payout.</w:t>
      </w:r>
    </w:p>
    <w:p>
      <w:pPr>
        <w:spacing w:after="40" w:before="70"/>
        <w:ind w:left="403"/>
      </w:pPr>
      <w:r>
        <w:rPr>
          <w:color w:val="8B8FA3"/>
          <w:sz w:val="17"/>
          <w:szCs w:val="17"/>
        </w:rPr>
        <w:t xml:space="preserve">Ref: pro-how-do-i-refer-a-client-to-mycpeone-114</w:t>
      </w:r>
    </w:p>
    <w:p>
      <w:r>
        <w:br w:type="page"/>
      </w:r>
    </w:p>
    <w:p>
      <w:pPr>
        <w:pStyle w:val="Heading1"/>
        <w:spacing w:after="40" w:before="60"/>
      </w:pPr>
      <w:r>
        <w:rPr>
          <w:b/>
          <w:bCs/>
          <w:color w:val="1A1C2E"/>
          <w:sz w:val="32"/>
          <w:szCs w:val="32"/>
        </w:rPr>
        <w:t xml:space="preserve">Communications</w:t>
      </w:r>
    </w:p>
    <w:p>
      <w:pPr>
        <w:pBdr>
          <w:bottom w:val="single" w:color="E4E2F0" w:sz="4"/>
        </w:pBdr>
        <w:spacing w:after="200"/>
      </w:pPr>
      <w:r>
        <w:rPr>
          <w:color w:val="8B8FA3"/>
          <w:sz w:val="20"/>
          <w:szCs w:val="20"/>
        </w:rPr>
        <w:t xml:space="preserve">16 questions</w:t>
      </w:r>
    </w:p>
    <w:p>
      <w:pPr>
        <w:keepNext/>
        <w:spacing w:after="90" w:before="220"/>
      </w:pPr>
      <w:r>
        <w:rPr>
          <w:b/>
          <w:bCs/>
          <w:color w:val="1A1C2E"/>
          <w:sz w:val="24"/>
          <w:szCs w:val="24"/>
        </w:rPr>
        <w:t xml:space="preserve">1.   Which communication channels are available?</w:t>
      </w:r>
    </w:p>
    <w:p>
      <w:pPr>
        <w:spacing w:after="90"/>
        <w:ind w:left="403"/>
      </w:pPr>
      <w:r>
        <w:rPr>
          <w:sz w:val="22"/>
          <w:szCs w:val="22"/>
        </w:rPr>
        <w:t xml:space="preserve">AssurePro brings the firm's client and internal communication channels together in Communications.</w:t>
      </w:r>
    </w:p>
    <w:p>
      <w:pPr>
        <w:spacing w:after="90"/>
        <w:ind w:left="403"/>
      </w:pPr>
      <w:r>
        <w:rPr>
          <w:b/>
          <w:bCs/>
          <w:color w:val="4735BE"/>
          <w:sz w:val="18"/>
          <w:szCs w:val="18"/>
        </w:rPr>
        <w:t xml:space="preserve">More   </w:t>
      </w:r>
      <w:r>
        <w:rPr>
          <w:sz w:val="22"/>
          <w:szCs w:val="22"/>
        </w:rPr>
        <w:t xml:space="preserve">Available channels include Portal chat, Email, SMS, Calls, and Team chat. Portal chat: secure messages exchanged with clients through the AssurePro client experience. Email: client email communication sent through the firm's connected email service. SMS: text messages sent through the firm's connected Twilio number. Calls: client call activity that can be recorded as part of the communication history. Team chat: internal communication between firm users.</w:t>
      </w:r>
    </w:p>
    <w:p>
      <w:pPr>
        <w:spacing w:after="90"/>
        <w:ind w:left="403"/>
      </w:pPr>
      <w:r>
        <w:rPr>
          <w:b/>
          <w:bCs/>
          <w:color w:val="4735BE"/>
          <w:sz w:val="18"/>
          <w:szCs w:val="18"/>
        </w:rPr>
        <w:t xml:space="preserve">More   </w:t>
      </w:r>
      <w:r>
        <w:rPr>
          <w:sz w:val="22"/>
          <w:szCs w:val="22"/>
        </w:rPr>
        <w:t xml:space="preserve">Firm users can work from the shared Communications area when they want to manage conversations across multiple clients, or open a client's Communications tab when they want to begin with that client already selected. Keeping these channels connected to the client record helps the firm maintain a more complete communication history across client service, document follow-up, billing, and engagement work.</w:t>
      </w:r>
    </w:p>
    <w:p>
      <w:pPr>
        <w:spacing w:after="40" w:before="70"/>
        <w:ind w:left="403"/>
      </w:pPr>
      <w:r>
        <w:rPr>
          <w:color w:val="8B8FA3"/>
          <w:sz w:val="17"/>
          <w:szCs w:val="17"/>
        </w:rPr>
        <w:t xml:space="preserve">Ref: pro-which-communication-channels-are-available-115</w:t>
      </w:r>
    </w:p>
    <w:p>
      <w:pPr>
        <w:keepNext/>
        <w:spacing w:after="90" w:before="220"/>
      </w:pPr>
      <w:r>
        <w:rPr>
          <w:b/>
          <w:bCs/>
          <w:color w:val="1A1C2E"/>
          <w:sz w:val="24"/>
          <w:szCs w:val="24"/>
        </w:rPr>
        <w:t xml:space="preserve">2.   How do I start a client conversation?</w:t>
      </w:r>
    </w:p>
    <w:p>
      <w:pPr>
        <w:spacing w:after="90"/>
        <w:ind w:left="403"/>
      </w:pPr>
      <w:r>
        <w:rPr>
          <w:sz w:val="22"/>
          <w:szCs w:val="22"/>
        </w:rPr>
        <w:t xml:space="preserve">Firm users can start a conversation from the shared Communications area or directly from a client's Communications tab.</w:t>
      </w:r>
    </w:p>
    <w:p>
      <w:pPr>
        <w:spacing w:after="90"/>
        <w:ind w:left="403"/>
      </w:pPr>
      <w:r>
        <w:rPr>
          <w:b/>
          <w:bCs/>
          <w:color w:val="4735BE"/>
          <w:sz w:val="18"/>
          <w:szCs w:val="18"/>
        </w:rPr>
        <w:t xml:space="preserve">More   </w:t>
      </w:r>
      <w:r>
        <w:rPr>
          <w:sz w:val="22"/>
          <w:szCs w:val="22"/>
        </w:rPr>
        <w:t xml:space="preserve">Starting from the client workspace is useful when you are already working with a specific client because the client is selected automatically.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Communications, or open the client record and select Communications.</w:t>
      </w:r>
    </w:p>
    <w:p>
      <w:pPr>
        <w:pStyle w:val="ListParagraph"/>
        <w:numPr>
          <w:ilvl w:val="0"/>
          <w:numId w:val="2"/>
        </w:numPr>
        <w:spacing w:after="40"/>
        <w:ind w:left="892"/>
      </w:pPr>
      <w:r>
        <w:rPr>
          <w:sz w:val="21"/>
          <w:szCs w:val="21"/>
        </w:rPr>
        <w:t xml:space="preserve">Select New Conversation.</w:t>
      </w:r>
    </w:p>
    <w:p>
      <w:pPr>
        <w:pStyle w:val="ListParagraph"/>
        <w:numPr>
          <w:ilvl w:val="0"/>
          <w:numId w:val="2"/>
        </w:numPr>
        <w:spacing w:after="40"/>
        <w:ind w:left="892"/>
      </w:pPr>
      <w:r>
        <w:rPr>
          <w:sz w:val="21"/>
          <w:szCs w:val="21"/>
        </w:rPr>
        <w:t xml:space="preserve">Choose the client, if it is not already selected.</w:t>
      </w:r>
    </w:p>
    <w:p>
      <w:pPr>
        <w:pStyle w:val="ListParagraph"/>
        <w:numPr>
          <w:ilvl w:val="0"/>
          <w:numId w:val="2"/>
        </w:numPr>
        <w:spacing w:after="40"/>
        <w:ind w:left="892"/>
      </w:pPr>
      <w:r>
        <w:rPr>
          <w:sz w:val="21"/>
          <w:szCs w:val="21"/>
        </w:rPr>
        <w:t xml:space="preserve">Choose the communication channel.</w:t>
      </w:r>
    </w:p>
    <w:p>
      <w:pPr>
        <w:pStyle w:val="ListParagraph"/>
        <w:numPr>
          <w:ilvl w:val="0"/>
          <w:numId w:val="2"/>
        </w:numPr>
        <w:spacing w:after="40"/>
        <w:ind w:left="892"/>
      </w:pPr>
      <w:r>
        <w:rPr>
          <w:sz w:val="21"/>
          <w:szCs w:val="21"/>
        </w:rPr>
        <w:t xml:space="preserve">Complete the required information for that channel:</w:t>
      </w:r>
    </w:p>
    <w:p>
      <w:pPr>
        <w:pStyle w:val="ListParagraph"/>
        <w:numPr>
          <w:ilvl w:val="0"/>
          <w:numId w:val="2"/>
        </w:numPr>
        <w:spacing w:after="40"/>
        <w:ind w:left="892"/>
      </w:pPr>
      <w:r>
        <w:rPr>
          <w:sz w:val="21"/>
          <w:szCs w:val="21"/>
        </w:rPr>
        <w:t xml:space="preserve">For Email, confirm the recipients, enter the subject, and write the message.</w:t>
      </w:r>
    </w:p>
    <w:p>
      <w:pPr>
        <w:pStyle w:val="ListParagraph"/>
        <w:numPr>
          <w:ilvl w:val="0"/>
          <w:numId w:val="2"/>
        </w:numPr>
        <w:spacing w:after="40"/>
        <w:ind w:left="892"/>
      </w:pPr>
      <w:r>
        <w:rPr>
          <w:sz w:val="21"/>
          <w:szCs w:val="21"/>
        </w:rPr>
        <w:t xml:space="preserve">For Portal chat, confirm the client contact and enter the message.</w:t>
      </w:r>
    </w:p>
    <w:p>
      <w:pPr>
        <w:pStyle w:val="ListParagraph"/>
        <w:numPr>
          <w:ilvl w:val="0"/>
          <w:numId w:val="2"/>
        </w:numPr>
        <w:spacing w:after="40"/>
        <w:ind w:left="892"/>
      </w:pPr>
      <w:r>
        <w:rPr>
          <w:sz w:val="21"/>
          <w:szCs w:val="21"/>
        </w:rPr>
        <w:t xml:space="preserve">For SMS, confirm the client contact and mobile number, then enter the message.</w:t>
      </w:r>
    </w:p>
    <w:p>
      <w:pPr>
        <w:pStyle w:val="ListParagraph"/>
        <w:numPr>
          <w:ilvl w:val="0"/>
          <w:numId w:val="2"/>
        </w:numPr>
        <w:spacing w:after="40"/>
        <w:ind w:left="892"/>
      </w:pPr>
      <w:r>
        <w:rPr>
          <w:sz w:val="21"/>
          <w:szCs w:val="21"/>
        </w:rPr>
        <w:t xml:space="preserve">Review the recipients and message.</w:t>
      </w:r>
    </w:p>
    <w:p>
      <w:pPr>
        <w:pStyle w:val="ListParagraph"/>
        <w:numPr>
          <w:ilvl w:val="0"/>
          <w:numId w:val="2"/>
        </w:numPr>
        <w:spacing w:after="40"/>
        <w:ind w:left="892"/>
      </w:pPr>
      <w:r>
        <w:rPr>
          <w:sz w:val="21"/>
          <w:szCs w:val="21"/>
        </w:rPr>
        <w:t xml:space="preserve">Send the conversation.</w:t>
      </w:r>
    </w:p>
    <w:p>
      <w:pPr>
        <w:pStyle w:val="ListParagraph"/>
        <w:numPr>
          <w:ilvl w:val="0"/>
          <w:numId w:val="2"/>
        </w:numPr>
        <w:spacing w:after="40"/>
        <w:ind w:left="892"/>
      </w:pPr>
      <w:r>
        <w:rPr>
          <w:sz w:val="21"/>
          <w:szCs w:val="21"/>
        </w:rPr>
        <w:t xml:space="preserve">Use the shared inbox or client workspace to monitor replies and follow-up activity.</w:t>
      </w:r>
    </w:p>
    <w:p>
      <w:pPr>
        <w:pStyle w:val="ListParagraph"/>
        <w:numPr>
          <w:ilvl w:val="0"/>
          <w:numId w:val="2"/>
        </w:numPr>
        <w:spacing w:after="40"/>
        <w:ind w:left="892"/>
      </w:pPr>
      <w:r>
        <w:rPr>
          <w:sz w:val="21"/>
          <w:szCs w:val="21"/>
        </w:rPr>
        <w:t xml:space="preserve">The conversation remains connected to the client relationship so other authorized firm users can review the communication history at any time.</w:t>
      </w:r>
    </w:p>
    <w:p>
      <w:pPr>
        <w:spacing w:after="40" w:before="70"/>
        <w:ind w:left="403"/>
      </w:pPr>
      <w:r>
        <w:rPr>
          <w:color w:val="8B8FA3"/>
          <w:sz w:val="17"/>
          <w:szCs w:val="17"/>
        </w:rPr>
        <w:t xml:space="preserve">Ref: pro-how-do-i-start-a-client-conversation-116</w:t>
      </w:r>
    </w:p>
    <w:p>
      <w:pPr>
        <w:keepNext/>
        <w:spacing w:after="90" w:before="220"/>
      </w:pPr>
      <w:r>
        <w:rPr>
          <w:b/>
          <w:bCs/>
          <w:color w:val="1A1C2E"/>
          <w:sz w:val="24"/>
          <w:szCs w:val="24"/>
        </w:rPr>
        <w:t xml:space="preserve">3.   What is the difference between portal chat and SMS?</w:t>
      </w:r>
    </w:p>
    <w:p>
      <w:pPr>
        <w:spacing w:after="90"/>
        <w:ind w:left="403"/>
      </w:pPr>
      <w:r>
        <w:rPr>
          <w:sz w:val="22"/>
          <w:szCs w:val="22"/>
        </w:rPr>
        <w:t xml:space="preserve">Both portal chat and SMS let firm users communicate with clients, but the client receives and responds through a different channel.</w:t>
      </w:r>
    </w:p>
    <w:p>
      <w:pPr>
        <w:spacing w:after="90"/>
        <w:ind w:left="403"/>
      </w:pPr>
      <w:r>
        <w:rPr>
          <w:b/>
          <w:bCs/>
          <w:color w:val="4735BE"/>
          <w:sz w:val="18"/>
          <w:szCs w:val="18"/>
        </w:rPr>
        <w:t xml:space="preserve">More   </w:t>
      </w:r>
      <w:r>
        <w:rPr>
          <w:sz w:val="22"/>
          <w:szCs w:val="22"/>
        </w:rPr>
        <w:t xml:space="preserve">Portal chat is delivered inside the AssurePro client experience — use it for an ongoing conversation with a client who has activated portal access. SMS sends a text to the client's mobile number through the firm's connected Twilio number — use it for short, time-sensitive messages such as deadline reminders, follow-ups, or prompts to check the portal. SMS requires the firm's Twilio connection, an enabled sending number, and any applicable messaging registration. Authorized firm users can review the communication history in AssurePro regardless of which channel was used.</w:t>
      </w:r>
    </w:p>
    <w:p>
      <w:pPr>
        <w:spacing w:after="40" w:before="70"/>
        <w:ind w:left="403"/>
      </w:pPr>
      <w:r>
        <w:rPr>
          <w:color w:val="8B8FA3"/>
          <w:sz w:val="17"/>
          <w:szCs w:val="17"/>
        </w:rPr>
        <w:t xml:space="preserve">Ref: pro-what-is-the-difference-between-portal-chat-and-sms-117</w:t>
      </w:r>
    </w:p>
    <w:p>
      <w:pPr>
        <w:keepNext/>
        <w:spacing w:after="90" w:before="220"/>
      </w:pPr>
      <w:r>
        <w:rPr>
          <w:b/>
          <w:bCs/>
          <w:color w:val="1A1C2E"/>
          <w:sz w:val="24"/>
          <w:szCs w:val="24"/>
        </w:rPr>
        <w:t xml:space="preserve">4.   How can the communications inbox be organized?</w:t>
      </w:r>
    </w:p>
    <w:p>
      <w:pPr>
        <w:spacing w:after="90"/>
        <w:ind w:left="403"/>
      </w:pPr>
      <w:r>
        <w:rPr>
          <w:sz w:val="22"/>
          <w:szCs w:val="22"/>
        </w:rPr>
        <w:t xml:space="preserve">The Communications inbox can be filtered and organized so firm users can focus on conversations that need attention.</w:t>
      </w:r>
    </w:p>
    <w:p>
      <w:pPr>
        <w:spacing w:after="90"/>
        <w:ind w:left="403"/>
      </w:pPr>
      <w:r>
        <w:rPr>
          <w:b/>
          <w:bCs/>
          <w:color w:val="4735BE"/>
          <w:sz w:val="18"/>
          <w:szCs w:val="18"/>
        </w:rPr>
        <w:t xml:space="preserve">More   </w:t>
      </w:r>
      <w:r>
        <w:rPr>
          <w:sz w:val="22"/>
          <w:szCs w:val="22"/>
        </w:rPr>
        <w:t xml:space="preserve">After selecting the relevant communication channel, you can narrow the inbox using All, Unread, Assigned to me, and Resolved. All: shows all conversations available to you. Unread: shows conversations with new activity that has not yet been reviewed. Assigned to me: shows conversations assigned to the signed-in firm user. Resolved: shows conversations that have been completed and no longer require active follow-up.</w:t>
      </w:r>
    </w:p>
    <w:p>
      <w:pPr>
        <w:spacing w:after="90"/>
        <w:ind w:left="403"/>
      </w:pPr>
      <w:r>
        <w:rPr>
          <w:b/>
          <w:bCs/>
          <w:color w:val="4735BE"/>
          <w:sz w:val="18"/>
          <w:szCs w:val="18"/>
        </w:rPr>
        <w:t xml:space="preserve">More   </w:t>
      </w:r>
      <w:r>
        <w:rPr>
          <w:sz w:val="22"/>
          <w:szCs w:val="22"/>
        </w:rPr>
        <w:t xml:space="preserve">Labels can provide additional context about what should happen next. Needs Action: the firm needs to take the next step. Awaiting Reply: the firm has responded and is waiting for the client. FYI: the conversation is informational and does not currently require a response.</w:t>
      </w:r>
    </w:p>
    <w:p>
      <w:pPr>
        <w:spacing w:after="90"/>
        <w:ind w:left="403"/>
      </w:pPr>
      <w:r>
        <w:rPr>
          <w:b/>
          <w:bCs/>
          <w:color w:val="4735BE"/>
          <w:sz w:val="18"/>
          <w:szCs w:val="18"/>
        </w:rPr>
        <w:t xml:space="preserve">More   </w:t>
      </w:r>
      <w:r>
        <w:rPr>
          <w:sz w:val="22"/>
          <w:szCs w:val="22"/>
        </w:rPr>
        <w:t xml:space="preserve">A practical daily workflow is to start with Assigned to me, prioritize conversations marked Needs Action, respond or complete the required work, and then update the thread appropriately. Use Awaiting Reply when the next action belongs to the client, and mark the conversation Resolved when no further follow-up is required. Consistent use of assignments, labels, and resolution status helps firm users at every level distinguish active client follow-up from conversations that are already complete.</w:t>
      </w:r>
    </w:p>
    <w:p>
      <w:pPr>
        <w:spacing w:after="40" w:before="70"/>
        <w:ind w:left="403"/>
      </w:pPr>
      <w:r>
        <w:rPr>
          <w:color w:val="8B8FA3"/>
          <w:sz w:val="17"/>
          <w:szCs w:val="17"/>
        </w:rPr>
        <w:t xml:space="preserve">Ref: pro-how-can-the-communications-inbox-be-organized-118</w:t>
      </w:r>
    </w:p>
    <w:p>
      <w:pPr>
        <w:keepNext/>
        <w:spacing w:after="90" w:before="220"/>
      </w:pPr>
      <w:r>
        <w:rPr>
          <w:b/>
          <w:bCs/>
          <w:color w:val="1A1C2E"/>
          <w:sz w:val="24"/>
          <w:szCs w:val="24"/>
        </w:rPr>
        <w:t xml:space="preserve">5.   Can client-facing emails be standardized?</w:t>
      </w:r>
    </w:p>
    <w:p>
      <w:pPr>
        <w:spacing w:after="90"/>
        <w:ind w:left="403"/>
      </w:pPr>
      <w:r>
        <w:rPr>
          <w:sz w:val="22"/>
          <w:szCs w:val="22"/>
        </w:rPr>
        <w:t xml:space="preserve">Yes. Email Templates allows firm administrators to standardize automated emails that AssurePro sends on the firm's behalf.</w:t>
      </w:r>
    </w:p>
    <w:p>
      <w:pPr>
        <w:spacing w:after="90"/>
        <w:ind w:left="403"/>
      </w:pPr>
      <w:r>
        <w:rPr>
          <w:b/>
          <w:bCs/>
          <w:color w:val="4735BE"/>
          <w:sz w:val="18"/>
          <w:szCs w:val="18"/>
        </w:rPr>
        <w:t xml:space="preserve">More   </w:t>
      </w:r>
      <w:r>
        <w:rPr>
          <w:sz w:val="22"/>
          <w:szCs w:val="22"/>
        </w:rPr>
        <w:t xml:space="preserve">Templates are organized by functional area, such as Billing, Tax &amp; Intake, Documents, E-sign, Client Portal, and Internal Alerts. Each template is associated with a specific trigger, helping administrators understand when that message will be sent. Depending on the template, editable content can include the subject, heading, introduction, message body, call-to-action or button label, and footer.</w:t>
      </w:r>
    </w:p>
    <w:p>
      <w:pPr>
        <w:spacing w:after="90"/>
        <w:ind w:left="403"/>
      </w:pPr>
      <w:r>
        <w:rPr>
          <w:b/>
          <w:bCs/>
          <w:color w:val="4735BE"/>
          <w:sz w:val="18"/>
          <w:szCs w:val="18"/>
        </w:rPr>
        <w:t xml:space="preserve">More   </w:t>
      </w:r>
      <w:r>
        <w:rPr>
          <w:sz w:val="22"/>
          <w:szCs w:val="22"/>
        </w:rPr>
        <w:t xml:space="preserve">For example, your firm can customize a billing email that tells the client an invoice is ready, a document-request email that explains what the client needs to upload, an e-sign email that asks the client to review and sign an engagement package, and a client-portal email used during account activation or other portal activity.</w:t>
      </w:r>
    </w:p>
    <w:p>
      <w:pPr>
        <w:spacing w:after="90"/>
        <w:ind w:left="403"/>
      </w:pPr>
      <w:r>
        <w:rPr>
          <w:b/>
          <w:bCs/>
          <w:color w:val="4735BE"/>
          <w:sz w:val="18"/>
          <w:szCs w:val="18"/>
        </w:rPr>
        <w:t xml:space="preserve">More   </w:t>
      </w:r>
      <w:r>
        <w:rPr>
          <w:sz w:val="22"/>
          <w:szCs w:val="22"/>
        </w:rPr>
        <w:t xml:space="preserve">Standardizing these templates helps maintain consistent wording, tone, instructions, and branding across recurring client communications. When editing an automated template, keep the message specific to its trigger and avoid adding instructions that could conflict with the workflow or action the client will see after selecting the email's call-to-action.</w:t>
      </w:r>
    </w:p>
    <w:p>
      <w:pPr>
        <w:spacing w:after="40" w:before="70"/>
        <w:ind w:left="403"/>
      </w:pPr>
      <w:r>
        <w:rPr>
          <w:color w:val="8B8FA3"/>
          <w:sz w:val="17"/>
          <w:szCs w:val="17"/>
        </w:rPr>
        <w:t xml:space="preserve">Ref: pro-can-client-facing-emails-be-standardized-119</w:t>
      </w:r>
    </w:p>
    <w:p>
      <w:pPr>
        <w:keepNext/>
        <w:spacing w:after="90" w:before="220"/>
      </w:pPr>
      <w:r>
        <w:rPr>
          <w:b/>
          <w:bCs/>
          <w:color w:val="1A1C2E"/>
          <w:sz w:val="24"/>
          <w:szCs w:val="24"/>
        </w:rPr>
        <w:t xml:space="preserve">6.   How do I edit and test an automated email template?</w:t>
      </w:r>
    </w:p>
    <w:p>
      <w:pPr>
        <w:spacing w:after="90"/>
        <w:ind w:left="403"/>
      </w:pPr>
      <w:r>
        <w:rPr>
          <w:sz w:val="22"/>
          <w:szCs w:val="22"/>
        </w:rPr>
        <w:t xml:space="preserve">Firm administrators can customize an automated email template from Settings &gt; Email Templates and test the message before it is used with clients.</w:t>
      </w:r>
    </w:p>
    <w:p>
      <w:pPr>
        <w:spacing w:after="90"/>
        <w:ind w:left="403"/>
      </w:pPr>
      <w:r>
        <w:rPr>
          <w:b/>
          <w:bCs/>
          <w:color w:val="4735BE"/>
          <w:sz w:val="18"/>
          <w:szCs w:val="18"/>
        </w:rPr>
        <w:t xml:space="preserve">More   </w:t>
      </w:r>
      <w:r>
        <w:rPr>
          <w:sz w:val="22"/>
          <w:szCs w:val="22"/>
        </w:rPr>
        <w:t xml:space="preserve">The template editor supports features such as supported placeholders for dynamic information, rich-text formatting, desktop preview, mobile preview, and test email delivery.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Email Templates.</w:t>
      </w:r>
    </w:p>
    <w:p>
      <w:pPr>
        <w:pStyle w:val="ListParagraph"/>
        <w:numPr>
          <w:ilvl w:val="0"/>
          <w:numId w:val="2"/>
        </w:numPr>
        <w:spacing w:after="40"/>
        <w:ind w:left="892"/>
      </w:pPr>
      <w:r>
        <w:rPr>
          <w:sz w:val="21"/>
          <w:szCs w:val="21"/>
        </w:rPr>
        <w:t xml:space="preserve">Search for the required email template or locate it within its functional group.</w:t>
      </w:r>
    </w:p>
    <w:p>
      <w:pPr>
        <w:pStyle w:val="ListParagraph"/>
        <w:numPr>
          <w:ilvl w:val="0"/>
          <w:numId w:val="2"/>
        </w:numPr>
        <w:spacing w:after="40"/>
        <w:ind w:left="892"/>
      </w:pPr>
      <w:r>
        <w:rPr>
          <w:sz w:val="21"/>
          <w:szCs w:val="21"/>
        </w:rPr>
        <w:t xml:space="preserve">Review the template's trigger so you understand when the message is sent.</w:t>
      </w:r>
    </w:p>
    <w:p>
      <w:pPr>
        <w:pStyle w:val="ListParagraph"/>
        <w:numPr>
          <w:ilvl w:val="0"/>
          <w:numId w:val="2"/>
        </w:numPr>
        <w:spacing w:after="40"/>
        <w:ind w:left="892"/>
      </w:pPr>
      <w:r>
        <w:rPr>
          <w:sz w:val="21"/>
          <w:szCs w:val="21"/>
        </w:rPr>
        <w:t xml:space="preserve">Edit the subject and any available message sections.</w:t>
      </w:r>
    </w:p>
    <w:p>
      <w:pPr>
        <w:pStyle w:val="ListParagraph"/>
        <w:numPr>
          <w:ilvl w:val="0"/>
          <w:numId w:val="2"/>
        </w:numPr>
        <w:spacing w:after="40"/>
        <w:ind w:left="892"/>
      </w:pPr>
      <w:r>
        <w:rPr>
          <w:sz w:val="21"/>
          <w:szCs w:val="21"/>
        </w:rPr>
        <w:t xml:space="preserve">Use the { } control to insert supported placeholders where dynamic information is required.</w:t>
      </w:r>
    </w:p>
    <w:p>
      <w:pPr>
        <w:pStyle w:val="ListParagraph"/>
        <w:numPr>
          <w:ilvl w:val="0"/>
          <w:numId w:val="2"/>
        </w:numPr>
        <w:spacing w:after="40"/>
        <w:ind w:left="892"/>
      </w:pPr>
      <w:r>
        <w:rPr>
          <w:sz w:val="21"/>
          <w:szCs w:val="21"/>
        </w:rPr>
        <w:t xml:space="preserve">Review both the desktop and mobile previews.</w:t>
      </w:r>
    </w:p>
    <w:p>
      <w:pPr>
        <w:pStyle w:val="ListParagraph"/>
        <w:numPr>
          <w:ilvl w:val="0"/>
          <w:numId w:val="2"/>
        </w:numPr>
        <w:spacing w:after="40"/>
        <w:ind w:left="892"/>
      </w:pPr>
      <w:r>
        <w:rPr>
          <w:sz w:val="21"/>
          <w:szCs w:val="21"/>
        </w:rPr>
        <w:t xml:space="preserve">Select Send test to me to review the current message in an actual email.</w:t>
      </w:r>
    </w:p>
    <w:p>
      <w:pPr>
        <w:pStyle w:val="ListParagraph"/>
        <w:numPr>
          <w:ilvl w:val="0"/>
          <w:numId w:val="2"/>
        </w:numPr>
        <w:spacing w:after="40"/>
        <w:ind w:left="892"/>
      </w:pPr>
      <w:r>
        <w:rPr>
          <w:sz w:val="21"/>
          <w:szCs w:val="21"/>
        </w:rPr>
        <w:t xml:space="preserve">Check the subject, formatting, wording, links or buttons, and placeholder placement.</w:t>
      </w:r>
    </w:p>
    <w:p>
      <w:pPr>
        <w:pStyle w:val="ListParagraph"/>
        <w:numPr>
          <w:ilvl w:val="0"/>
          <w:numId w:val="2"/>
        </w:numPr>
        <w:spacing w:after="40"/>
        <w:ind w:left="892"/>
      </w:pPr>
      <w:r>
        <w:rPr>
          <w:sz w:val="21"/>
          <w:szCs w:val="21"/>
        </w:rPr>
        <w:t xml:space="preserve">Make any required corrections and save the template.</w:t>
      </w:r>
    </w:p>
    <w:p>
      <w:pPr>
        <w:pStyle w:val="ListParagraph"/>
        <w:numPr>
          <w:ilvl w:val="0"/>
          <w:numId w:val="2"/>
        </w:numPr>
        <w:spacing w:after="40"/>
        <w:ind w:left="892"/>
      </w:pPr>
      <w:r>
        <w:rPr>
          <w:sz w:val="21"/>
          <w:szCs w:val="21"/>
        </w:rPr>
        <w:t xml:space="preserve">Confirm that the customized template appears under the Edited filter.</w:t>
      </w:r>
    </w:p>
    <w:p>
      <w:pPr>
        <w:pStyle w:val="ListParagraph"/>
        <w:numPr>
          <w:ilvl w:val="0"/>
          <w:numId w:val="2"/>
        </w:numPr>
        <w:spacing w:after="40"/>
        <w:ind w:left="892"/>
      </w:pPr>
      <w:r>
        <w:rPr>
          <w:sz w:val="21"/>
          <w:szCs w:val="21"/>
        </w:rPr>
        <w:t xml:space="preserve">When testing, pay particular attention to placeholders. Make sure dynamic client, firm, date, invoice, document, or engagement information appears in a context that will still read naturally when the template is used.</w:t>
      </w:r>
    </w:p>
    <w:p>
      <w:pPr>
        <w:pStyle w:val="ListParagraph"/>
        <w:numPr>
          <w:ilvl w:val="0"/>
          <w:numId w:val="2"/>
        </w:numPr>
        <w:spacing w:after="40"/>
        <w:ind w:left="892"/>
      </w:pPr>
      <w:r>
        <w:rPr>
          <w:sz w:val="21"/>
          <w:szCs w:val="21"/>
        </w:rPr>
        <w:t xml:space="preserve">Testing both desktop and mobile layouts helps ensure that clients receive a clear and usable message regardless of the device they use.</w:t>
      </w:r>
    </w:p>
    <w:p>
      <w:pPr>
        <w:spacing w:after="40" w:before="70"/>
        <w:ind w:left="403"/>
      </w:pPr>
      <w:r>
        <w:rPr>
          <w:color w:val="8B8FA3"/>
          <w:sz w:val="17"/>
          <w:szCs w:val="17"/>
        </w:rPr>
        <w:t xml:space="preserve">Ref: pro-how-do-i-edit-and-test-an-automated-email-template-120</w:t>
      </w:r>
    </w:p>
    <w:p>
      <w:pPr>
        <w:keepNext/>
        <w:spacing w:after="90" w:before="220"/>
      </w:pPr>
      <w:r>
        <w:rPr>
          <w:b/>
          <w:bCs/>
          <w:color w:val="1A1C2E"/>
          <w:sz w:val="24"/>
          <w:szCs w:val="24"/>
        </w:rPr>
        <w:t xml:space="preserve">7.   Can administrators audit automated email delivery?</w:t>
      </w:r>
    </w:p>
    <w:p>
      <w:pPr>
        <w:spacing w:after="90"/>
        <w:ind w:left="403"/>
      </w:pPr>
      <w:r>
        <w:rPr>
          <w:sz w:val="22"/>
          <w:szCs w:val="22"/>
        </w:rPr>
        <w:t xml:space="preserve">Yes. Email Log gives firm administrators visibility into automated emails sent by AssurePro.</w:t>
      </w:r>
    </w:p>
    <w:p>
      <w:pPr>
        <w:spacing w:after="90"/>
        <w:ind w:left="403"/>
      </w:pPr>
      <w:r>
        <w:rPr>
          <w:b/>
          <w:bCs/>
          <w:color w:val="4735BE"/>
          <w:sz w:val="18"/>
          <w:szCs w:val="18"/>
        </w:rPr>
        <w:t xml:space="preserve">More   </w:t>
      </w:r>
      <w:r>
        <w:rPr>
          <w:sz w:val="22"/>
          <w:szCs w:val="22"/>
        </w:rPr>
        <w:t xml:space="preserve">The log can show details such as sent time, delivery status, recipient, client, subject, message type, and delivery error when one is returned. Firm users can search the log by recipient or subject and filter by All, Sent, Failed, and Not sent. Use Sent to confirm successful delivery attempts, and use Failed or Not sent to identify messages that need investigation.</w:t>
      </w:r>
    </w:p>
    <w:p>
      <w:pPr>
        <w:spacing w:after="90"/>
        <w:ind w:left="403"/>
      </w:pPr>
      <w:r>
        <w:rPr>
          <w:b/>
          <w:bCs/>
          <w:color w:val="4735BE"/>
          <w:sz w:val="18"/>
          <w:szCs w:val="18"/>
        </w:rPr>
        <w:t xml:space="preserve">More   </w:t>
      </w:r>
      <w:r>
        <w:rPr>
          <w:sz w:val="22"/>
          <w:szCs w:val="22"/>
        </w:rPr>
        <w:t xml:space="preserve">For example, if a client says they did not receive an automated document-request or engagement-letter email, search for the recipient and review the message status, timestamp, type, and any returned error. Verification-code and temporary-password emails are not included in Email Log.</w:t>
      </w:r>
    </w:p>
    <w:p>
      <w:pPr>
        <w:spacing w:after="90"/>
        <w:ind w:left="403"/>
      </w:pPr>
      <w:r>
        <w:rPr>
          <w:b/>
          <w:bCs/>
          <w:color w:val="4735BE"/>
          <w:sz w:val="18"/>
          <w:szCs w:val="18"/>
        </w:rPr>
        <w:t xml:space="preserve">More   </w:t>
      </w:r>
      <w:r>
        <w:rPr>
          <w:sz w:val="22"/>
          <w:szCs w:val="22"/>
        </w:rPr>
        <w:t xml:space="preserve">For automated AssurePro messages, Email Log is the better source for delivery verification than relying on an individual firm user's sent-mail folder.</w:t>
      </w:r>
    </w:p>
    <w:p>
      <w:pPr>
        <w:spacing w:after="40" w:before="70"/>
        <w:ind w:left="403"/>
      </w:pPr>
      <w:r>
        <w:rPr>
          <w:color w:val="8B8FA3"/>
          <w:sz w:val="17"/>
          <w:szCs w:val="17"/>
        </w:rPr>
        <w:t xml:space="preserve">Ref: pro-can-administrators-audit-automated-email-delivery-121</w:t>
      </w:r>
    </w:p>
    <w:p>
      <w:pPr>
        <w:keepNext/>
        <w:spacing w:after="90" w:before="220"/>
      </w:pPr>
      <w:r>
        <w:rPr>
          <w:b/>
          <w:bCs/>
          <w:color w:val="1A1C2E"/>
          <w:sz w:val="24"/>
          <w:szCs w:val="24"/>
        </w:rPr>
        <w:t xml:space="preserve">8.   How do I investigate an email that was not delivered?</w:t>
      </w:r>
    </w:p>
    <w:p>
      <w:pPr>
        <w:spacing w:after="90"/>
        <w:ind w:left="403"/>
      </w:pPr>
      <w:r>
        <w:rPr>
          <w:sz w:val="22"/>
          <w:szCs w:val="22"/>
        </w:rPr>
        <w:t xml:space="preserve">Use Email Log to investigate an automated AssurePro email that was not successfully delivered.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Email Log.</w:t>
      </w:r>
    </w:p>
    <w:p>
      <w:pPr>
        <w:pStyle w:val="ListParagraph"/>
        <w:numPr>
          <w:ilvl w:val="0"/>
          <w:numId w:val="2"/>
        </w:numPr>
        <w:spacing w:after="40"/>
        <w:ind w:left="892"/>
      </w:pPr>
      <w:r>
        <w:rPr>
          <w:sz w:val="21"/>
          <w:szCs w:val="21"/>
        </w:rPr>
        <w:t xml:space="preserve">Search by the client's email address or the email subject.</w:t>
      </w:r>
    </w:p>
    <w:p>
      <w:pPr>
        <w:pStyle w:val="ListParagraph"/>
        <w:numPr>
          <w:ilvl w:val="0"/>
          <w:numId w:val="2"/>
        </w:numPr>
        <w:spacing w:after="40"/>
        <w:ind w:left="892"/>
      </w:pPr>
      <w:r>
        <w:rPr>
          <w:sz w:val="21"/>
          <w:szCs w:val="21"/>
        </w:rPr>
        <w:t xml:space="preserve">Filter the results to Failed or Not sent.</w:t>
      </w:r>
    </w:p>
    <w:p>
      <w:pPr>
        <w:pStyle w:val="ListParagraph"/>
        <w:numPr>
          <w:ilvl w:val="0"/>
          <w:numId w:val="2"/>
        </w:numPr>
        <w:spacing w:after="40"/>
        <w:ind w:left="892"/>
      </w:pPr>
      <w:r>
        <w:rPr>
          <w:sz w:val="21"/>
          <w:szCs w:val="21"/>
        </w:rPr>
        <w:t xml:space="preserve">Review the: Recipient, Client, Sent time, Subject, Message type, Delivery error, when available.</w:t>
      </w:r>
    </w:p>
    <w:p>
      <w:pPr>
        <w:pStyle w:val="ListParagraph"/>
        <w:numPr>
          <w:ilvl w:val="0"/>
          <w:numId w:val="2"/>
        </w:numPr>
        <w:spacing w:after="40"/>
        <w:ind w:left="892"/>
      </w:pPr>
      <w:r>
        <w:rPr>
          <w:sz w:val="21"/>
          <w:szCs w:val="21"/>
        </w:rPr>
        <w:t xml:space="preserve">Identify and correct the underlying issue, such as an incorrect email address, integration problem, or template-related issue.</w:t>
      </w:r>
    </w:p>
    <w:p>
      <w:pPr>
        <w:pStyle w:val="ListParagraph"/>
        <w:numPr>
          <w:ilvl w:val="0"/>
          <w:numId w:val="2"/>
        </w:numPr>
        <w:spacing w:after="40"/>
        <w:ind w:left="892"/>
      </w:pPr>
      <w:r>
        <w:rPr>
          <w:sz w:val="21"/>
          <w:szCs w:val="21"/>
        </w:rPr>
        <w:t xml:space="preserve">Return to the workflow that originally generated the email, such as: Portal invitation, Invoice, Document request, Engagement-letter request.</w:t>
      </w:r>
    </w:p>
    <w:p>
      <w:pPr>
        <w:pStyle w:val="ListParagraph"/>
        <w:numPr>
          <w:ilvl w:val="0"/>
          <w:numId w:val="2"/>
        </w:numPr>
        <w:spacing w:after="40"/>
        <w:ind w:left="892"/>
      </w:pPr>
      <w:r>
        <w:rPr>
          <w:sz w:val="21"/>
          <w:szCs w:val="21"/>
        </w:rPr>
        <w:t xml:space="preserve">Retry the action from that workflow.</w:t>
      </w:r>
    </w:p>
    <w:p>
      <w:pPr>
        <w:pStyle w:val="ListParagraph"/>
        <w:numPr>
          <w:ilvl w:val="0"/>
          <w:numId w:val="2"/>
        </w:numPr>
        <w:spacing w:after="40"/>
        <w:ind w:left="892"/>
      </w:pPr>
      <w:r>
        <w:rPr>
          <w:sz w:val="21"/>
          <w:szCs w:val="21"/>
        </w:rPr>
        <w:t xml:space="preserve">Return to Email Log and confirm the new delivery attempt.</w:t>
      </w:r>
    </w:p>
    <w:p>
      <w:pPr>
        <w:pStyle w:val="ListParagraph"/>
        <w:numPr>
          <w:ilvl w:val="0"/>
          <w:numId w:val="2"/>
        </w:numPr>
        <w:spacing w:after="40"/>
        <w:ind w:left="892"/>
      </w:pPr>
      <w:r>
        <w:rPr>
          <w:sz w:val="21"/>
          <w:szCs w:val="21"/>
        </w:rPr>
        <w:t xml:space="preserve">Do not assume that an email was delivered simply because the original workflow action was completed. Use Email Log to verify the status of the new attempt.</w:t>
      </w:r>
    </w:p>
    <w:p>
      <w:pPr>
        <w:pStyle w:val="ListParagraph"/>
        <w:numPr>
          <w:ilvl w:val="0"/>
          <w:numId w:val="2"/>
        </w:numPr>
        <w:spacing w:after="40"/>
        <w:ind w:left="892"/>
      </w:pPr>
      <w:r>
        <w:rPr>
          <w:sz w:val="21"/>
          <w:szCs w:val="21"/>
        </w:rPr>
        <w:t xml:space="preserve">If the recipient address is incorrect, update the client or contact record before retrying so future automated communications use the correct address.</w:t>
      </w:r>
    </w:p>
    <w:p>
      <w:pPr>
        <w:spacing w:after="40" w:before="70"/>
        <w:ind w:left="403"/>
      </w:pPr>
      <w:r>
        <w:rPr>
          <w:color w:val="8B8FA3"/>
          <w:sz w:val="17"/>
          <w:szCs w:val="17"/>
        </w:rPr>
        <w:t xml:space="preserve">Ref: pro-how-do-i-investigate-an-email-that-was-not-delivered-122</w:t>
      </w:r>
    </w:p>
    <w:p>
      <w:pPr>
        <w:keepNext/>
        <w:spacing w:after="90" w:before="220"/>
      </w:pPr>
      <w:r>
        <w:rPr>
          <w:b/>
          <w:bCs/>
          <w:color w:val="1A1C2E"/>
          <w:sz w:val="24"/>
          <w:szCs w:val="24"/>
        </w:rPr>
        <w:t xml:space="preserve">9.   What reminders can be automated?</w:t>
      </w:r>
    </w:p>
    <w:p>
      <w:pPr>
        <w:spacing w:after="90"/>
        <w:ind w:left="403"/>
      </w:pPr>
      <w:r>
        <w:rPr>
          <w:sz w:val="22"/>
          <w:szCs w:val="22"/>
        </w:rPr>
        <w:t xml:space="preserve">AssurePro can automate follow-up reminders for several common client actions, helping the firm reduce repetitive manual follow-up.</w:t>
      </w:r>
    </w:p>
    <w:p>
      <w:pPr>
        <w:spacing w:after="90"/>
        <w:ind w:left="403"/>
      </w:pPr>
      <w:r>
        <w:rPr>
          <w:b/>
          <w:bCs/>
          <w:color w:val="4735BE"/>
          <w:sz w:val="18"/>
          <w:szCs w:val="18"/>
        </w:rPr>
        <w:t xml:space="preserve">More   </w:t>
      </w:r>
      <w:r>
        <w:rPr>
          <w:sz w:val="22"/>
          <w:szCs w:val="22"/>
        </w:rPr>
        <w:t xml:space="preserve">Reminder types can include document requests, unanswered messages, tax organizers, and signature requests. Document requests: reminds clients about requested files that are still outstanding. Unanswered messages: follows up when a client has not responded to a communication. Tax organizers: reminds clients to complete required intake or organizer information. Signature requests: follows up on engagement letters or other signing packages that remain unsigned.</w:t>
      </w:r>
    </w:p>
    <w:p>
      <w:pPr>
        <w:spacing w:after="90"/>
        <w:ind w:left="403"/>
      </w:pPr>
      <w:r>
        <w:rPr>
          <w:b/>
          <w:bCs/>
          <w:color w:val="4735BE"/>
          <w:sz w:val="18"/>
          <w:szCs w:val="18"/>
        </w:rPr>
        <w:t xml:space="preserve">More   </w:t>
      </w:r>
      <w:r>
        <w:rPr>
          <w:sz w:val="22"/>
          <w:szCs w:val="22"/>
        </w:rPr>
        <w:t xml:space="preserve">Each reminder type has its own configuration, including an enable or disable control, an initial reminder delay, a repeat interval, and a total number of reminders, which allows the firm to use different follow-up schedules for different client actions. For example, a missing tax document may require a different reminder cadence from an unsigned engagement letter or an unanswered message.</w:t>
      </w:r>
    </w:p>
    <w:p>
      <w:pPr>
        <w:spacing w:after="90"/>
        <w:ind w:left="403"/>
      </w:pPr>
      <w:r>
        <w:rPr>
          <w:b/>
          <w:bCs/>
          <w:color w:val="4735BE"/>
          <w:sz w:val="18"/>
          <w:szCs w:val="18"/>
        </w:rPr>
        <w:t xml:space="preserve">More   </w:t>
      </w:r>
      <w:r>
        <w:rPr>
          <w:sz w:val="22"/>
          <w:szCs w:val="22"/>
        </w:rPr>
        <w:t xml:space="preserve">Firm administrators should configure reminder schedules based on the urgency and expected response time of each workflow rather than using the same cadence for every type of client follow-up.</w:t>
      </w:r>
    </w:p>
    <w:p>
      <w:pPr>
        <w:spacing w:after="40" w:before="70"/>
        <w:ind w:left="403"/>
      </w:pPr>
      <w:r>
        <w:rPr>
          <w:color w:val="8B8FA3"/>
          <w:sz w:val="17"/>
          <w:szCs w:val="17"/>
        </w:rPr>
        <w:t xml:space="preserve">Ref: pro-what-reminders-can-be-automated-123</w:t>
      </w:r>
    </w:p>
    <w:p>
      <w:pPr>
        <w:keepNext/>
        <w:spacing w:after="90" w:before="220"/>
      </w:pPr>
      <w:r>
        <w:rPr>
          <w:b/>
          <w:bCs/>
          <w:color w:val="1A1C2E"/>
          <w:sz w:val="24"/>
          <w:szCs w:val="24"/>
        </w:rPr>
        <w:t xml:space="preserve">10.   How do I change an automatic reminder schedule?</w:t>
      </w:r>
    </w:p>
    <w:p>
      <w:pPr>
        <w:spacing w:after="90"/>
        <w:ind w:left="403"/>
      </w:pPr>
      <w:r>
        <w:rPr>
          <w:sz w:val="22"/>
          <w:szCs w:val="22"/>
        </w:rPr>
        <w:t xml:space="preserve">Firm administrators can configure each type of automated client reminder separately from Settings &gt; Reminders.</w:t>
      </w:r>
    </w:p>
    <w:p>
      <w:pPr>
        <w:spacing w:after="90"/>
        <w:ind w:left="403"/>
      </w:pPr>
      <w:r>
        <w:rPr>
          <w:b/>
          <w:bCs/>
          <w:color w:val="4735BE"/>
          <w:sz w:val="18"/>
          <w:szCs w:val="18"/>
        </w:rPr>
        <w:t xml:space="preserve">More   </w:t>
      </w:r>
      <w:r>
        <w:rPr>
          <w:sz w:val="22"/>
          <w:szCs w:val="22"/>
        </w:rPr>
        <w:t xml:space="preserve">Reminder schedules are available for document requests, unanswered messages, tax organizers, and signature requests. For each reminder type, your firm can control whether reminders are enabled and how frequently they are sent.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Reminders.</w:t>
      </w:r>
    </w:p>
    <w:p>
      <w:pPr>
        <w:pStyle w:val="ListParagraph"/>
        <w:numPr>
          <w:ilvl w:val="0"/>
          <w:numId w:val="2"/>
        </w:numPr>
        <w:spacing w:after="40"/>
        <w:ind w:left="892"/>
      </w:pPr>
      <w:r>
        <w:rPr>
          <w:sz w:val="21"/>
          <w:szCs w:val="21"/>
        </w:rPr>
        <w:t xml:space="preserve">Find the reminder type you want to update.</w:t>
      </w:r>
    </w:p>
    <w:p>
      <w:pPr>
        <w:pStyle w:val="ListParagraph"/>
        <w:numPr>
          <w:ilvl w:val="0"/>
          <w:numId w:val="2"/>
        </w:numPr>
        <w:spacing w:after="40"/>
        <w:ind w:left="892"/>
      </w:pPr>
      <w:r>
        <w:rPr>
          <w:sz w:val="21"/>
          <w:szCs w:val="21"/>
        </w:rPr>
        <w:t xml:space="preserve">Turn the reminder on or off using the available switch.</w:t>
      </w:r>
    </w:p>
    <w:p>
      <w:pPr>
        <w:pStyle w:val="ListParagraph"/>
        <w:numPr>
          <w:ilvl w:val="0"/>
          <w:numId w:val="2"/>
        </w:numPr>
        <w:spacing w:after="40"/>
        <w:ind w:left="892"/>
      </w:pPr>
      <w:r>
        <w:rPr>
          <w:sz w:val="21"/>
          <w:szCs w:val="21"/>
        </w:rPr>
        <w:t xml:space="preserve">Select Edit schedule.</w:t>
      </w:r>
    </w:p>
    <w:p>
      <w:pPr>
        <w:pStyle w:val="ListParagraph"/>
        <w:numPr>
          <w:ilvl w:val="0"/>
          <w:numId w:val="2"/>
        </w:numPr>
        <w:spacing w:after="40"/>
        <w:ind w:left="892"/>
      </w:pPr>
      <w:r>
        <w:rPr>
          <w:sz w:val="21"/>
          <w:szCs w:val="21"/>
        </w:rPr>
        <w:t xml:space="preserve">Configure: Initial delay — number of days before the first reminder, Repeat interval — number of days between subsequent reminders, Maximum reminders — total number of automated reminders that can be sent.</w:t>
      </w:r>
    </w:p>
    <w:p>
      <w:pPr>
        <w:pStyle w:val="ListParagraph"/>
        <w:numPr>
          <w:ilvl w:val="0"/>
          <w:numId w:val="2"/>
        </w:numPr>
        <w:spacing w:after="40"/>
        <w:ind w:left="892"/>
      </w:pPr>
      <w:r>
        <w:rPr>
          <w:sz w:val="21"/>
          <w:szCs w:val="21"/>
        </w:rPr>
        <w:t xml:space="preserve">Review the schedule summary displayed on the reminder card.</w:t>
      </w:r>
    </w:p>
    <w:p>
      <w:pPr>
        <w:pStyle w:val="ListParagraph"/>
        <w:numPr>
          <w:ilvl w:val="0"/>
          <w:numId w:val="2"/>
        </w:numPr>
        <w:spacing w:after="40"/>
        <w:ind w:left="892"/>
      </w:pPr>
      <w:r>
        <w:rPr>
          <w:sz w:val="21"/>
          <w:szCs w:val="21"/>
        </w:rPr>
        <w:t xml:space="preserve">Set the cadence based on the type and urgency of the client action. For example, a time-sensitive tax organizer may require a different follow-up schedule from a routine document request.</w:t>
      </w:r>
    </w:p>
    <w:p>
      <w:pPr>
        <w:pStyle w:val="ListParagraph"/>
        <w:numPr>
          <w:ilvl w:val="0"/>
          <w:numId w:val="2"/>
        </w:numPr>
        <w:spacing w:after="40"/>
        <w:ind w:left="892"/>
      </w:pPr>
      <w:r>
        <w:rPr>
          <w:sz w:val="21"/>
          <w:szCs w:val="21"/>
        </w:rPr>
        <w:t xml:space="preserve">Review reminder schedules periodically, particularly before high-volume filing or onboarding periods, to make sure the timing still matches your firm's client-service process.</w:t>
      </w:r>
    </w:p>
    <w:p>
      <w:pPr>
        <w:spacing w:after="40" w:before="70"/>
        <w:ind w:left="403"/>
      </w:pPr>
      <w:r>
        <w:rPr>
          <w:color w:val="8B8FA3"/>
          <w:sz w:val="17"/>
          <w:szCs w:val="17"/>
        </w:rPr>
        <w:t xml:space="preserve">Ref: pro-how-do-i-change-an-automatic-reminder-schedule-124</w:t>
      </w:r>
    </w:p>
    <w:p>
      <w:pPr>
        <w:keepNext/>
        <w:spacing w:after="90" w:before="220"/>
      </w:pPr>
      <w:r>
        <w:rPr>
          <w:b/>
          <w:bCs/>
          <w:color w:val="1A1C2E"/>
          <w:sz w:val="24"/>
          <w:szCs w:val="24"/>
        </w:rPr>
        <w:t xml:space="preserve">11.   Can AssurePro follow up when a client has not responded?</w:t>
      </w:r>
    </w:p>
    <w:p>
      <w:pPr>
        <w:spacing w:after="90"/>
        <w:ind w:left="403"/>
      </w:pPr>
      <w:r>
        <w:rPr>
          <w:sz w:val="22"/>
          <w:szCs w:val="22"/>
        </w:rPr>
        <w:t xml:space="preserve">Yes. AssurePro can automatically follow up with clients when certain requests or actions remain outstanding.</w:t>
      </w:r>
    </w:p>
    <w:p>
      <w:pPr>
        <w:spacing w:after="90"/>
        <w:ind w:left="403"/>
      </w:pPr>
      <w:r>
        <w:rPr>
          <w:b/>
          <w:bCs/>
          <w:color w:val="4735BE"/>
          <w:sz w:val="18"/>
          <w:szCs w:val="18"/>
        </w:rPr>
        <w:t xml:space="preserve">More   </w:t>
      </w:r>
      <w:r>
        <w:rPr>
          <w:sz w:val="22"/>
          <w:szCs w:val="22"/>
        </w:rPr>
        <w:t xml:space="preserve">Automated follow-up can be configured for document requests that are still awaiting files, unanswered messages waiting for a client response, tax organizers that have not been completed, and signature requests for unsigned engagement packages. Firm administrators configure the reminder schedule for each type independently, including the initial delay, repeat interval, and maximum number of reminders.</w:t>
      </w:r>
    </w:p>
    <w:p>
      <w:pPr>
        <w:spacing w:after="90"/>
        <w:ind w:left="403"/>
      </w:pPr>
      <w:r>
        <w:rPr>
          <w:b/>
          <w:bCs/>
          <w:color w:val="4735BE"/>
          <w:sz w:val="18"/>
          <w:szCs w:val="18"/>
        </w:rPr>
        <w:t xml:space="preserve">More   </w:t>
      </w:r>
      <w:r>
        <w:rPr>
          <w:sz w:val="22"/>
          <w:szCs w:val="22"/>
        </w:rPr>
        <w:t xml:space="preserve">For example, if a client has not uploaded requested tax documents, AssurePro can send reminders according to the firm's Document requests schedule. If a client has not responded to an important conversation, the Unanswered messages schedule can provide a separate follow-up cadence.</w:t>
      </w:r>
    </w:p>
    <w:p>
      <w:pPr>
        <w:spacing w:after="90"/>
        <w:ind w:left="403"/>
      </w:pPr>
      <w:r>
        <w:rPr>
          <w:b/>
          <w:bCs/>
          <w:color w:val="4735BE"/>
          <w:sz w:val="18"/>
          <w:szCs w:val="18"/>
        </w:rPr>
        <w:t xml:space="preserve">More   </w:t>
      </w:r>
      <w:r>
        <w:rPr>
          <w:sz w:val="22"/>
          <w:szCs w:val="22"/>
        </w:rPr>
        <w:t xml:space="preserve">Automated reminders reduce routine follow-up, but they do not replace active client management, and firm users should continue monitoring the underlying request, conversation, organizer, or signing package. If the automated reminder sequence ends and the item is still outstanding—or if the client reports a problem completing the requested action—a firm user should follow up directly and address the specific blocker.</w:t>
      </w:r>
    </w:p>
    <w:p>
      <w:pPr>
        <w:spacing w:after="40" w:before="70"/>
        <w:ind w:left="403"/>
      </w:pPr>
      <w:r>
        <w:rPr>
          <w:color w:val="8B8FA3"/>
          <w:sz w:val="17"/>
          <w:szCs w:val="17"/>
        </w:rPr>
        <w:t xml:space="preserve">Ref: pro-can-assurepro-follow-up-when-a-client-has-not-responded-125</w:t>
      </w:r>
    </w:p>
    <w:p>
      <w:pPr>
        <w:keepNext/>
        <w:spacing w:after="90" w:before="220"/>
      </w:pPr>
      <w:r>
        <w:rPr>
          <w:b/>
          <w:bCs/>
          <w:color w:val="1A1C2E"/>
          <w:sz w:val="24"/>
          <w:szCs w:val="24"/>
        </w:rPr>
        <w:t xml:space="preserve">12.   Can AssurePro send and receive client text messages?</w:t>
      </w:r>
    </w:p>
    <w:p>
      <w:pPr>
        <w:spacing w:after="90"/>
        <w:ind w:left="403"/>
      </w:pPr>
      <w:r>
        <w:rPr>
          <w:sz w:val="22"/>
          <w:szCs w:val="22"/>
        </w:rPr>
        <w:t xml:space="preserve">Yes. AssurePro supports client SMS messaging through a connected Twilio account.</w:t>
      </w:r>
    </w:p>
    <w:p>
      <w:pPr>
        <w:spacing w:after="90"/>
        <w:ind w:left="403"/>
      </w:pPr>
      <w:r>
        <w:rPr>
          <w:b/>
          <w:bCs/>
          <w:color w:val="4735BE"/>
          <w:sz w:val="18"/>
          <w:szCs w:val="18"/>
        </w:rPr>
        <w:t xml:space="preserve">More   </w:t>
      </w:r>
      <w:r>
        <w:rPr>
          <w:sz w:val="22"/>
          <w:szCs w:val="22"/>
        </w:rPr>
        <w:t xml:space="preserve">After Twilio is connected, the firm can configure a phone number for client texting; Phone Numbers shows which capabilities — SMS, MMS, Voice — each number supports. Firm users can then use SMS from Communications or the client workspace, with replies remaining connected to the client's communication history.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Connect the firm's Twilio account, then open Phone Numbers and link an existing firm-owned number or add a new one.</w:t>
      </w:r>
    </w:p>
    <w:p>
      <w:pPr>
        <w:pStyle w:val="ListParagraph"/>
        <w:numPr>
          <w:ilvl w:val="0"/>
          <w:numId w:val="2"/>
        </w:numPr>
        <w:spacing w:after="40"/>
        <w:ind w:left="892"/>
      </w:pPr>
      <w:r>
        <w:rPr>
          <w:sz w:val="21"/>
          <w:szCs w:val="21"/>
        </w:rPr>
        <w:t xml:space="preserve">Confirm the number supports the communication capabilities the firm intends to use.</w:t>
      </w:r>
    </w:p>
    <w:p>
      <w:pPr>
        <w:pStyle w:val="ListParagraph"/>
        <w:numPr>
          <w:ilvl w:val="0"/>
          <w:numId w:val="2"/>
        </w:numPr>
        <w:spacing w:after="40"/>
        <w:ind w:left="892"/>
      </w:pPr>
      <w:r>
        <w:rPr>
          <w:sz w:val="21"/>
          <w:szCs w:val="21"/>
        </w:rPr>
        <w:t xml:space="preserve">Complete A2P 10DLC registration for applicable US messaging traffic — unregistered traffic may be filtered or blocked by carriers.</w:t>
      </w:r>
    </w:p>
    <w:p>
      <w:pPr>
        <w:pStyle w:val="ListParagraph"/>
        <w:numPr>
          <w:ilvl w:val="0"/>
          <w:numId w:val="2"/>
        </w:numPr>
        <w:spacing w:after="40"/>
        <w:ind w:left="892"/>
      </w:pPr>
      <w:r>
        <w:rPr>
          <w:sz w:val="21"/>
          <w:szCs w:val="21"/>
        </w:rPr>
        <w:t xml:space="preserve">Send a controlled test message to confirm both outbound and inbound messaging work, then begin using SMS for appropriate client communications.</w:t>
      </w:r>
    </w:p>
    <w:p>
      <w:pPr>
        <w:spacing w:after="40" w:before="70"/>
        <w:ind w:left="403"/>
      </w:pPr>
      <w:r>
        <w:rPr>
          <w:color w:val="8B8FA3"/>
          <w:sz w:val="17"/>
          <w:szCs w:val="17"/>
        </w:rPr>
        <w:t xml:space="preserve">Ref: pro-can-assurepro-send-and-receive-client-text-messages-126</w:t>
      </w:r>
    </w:p>
    <w:p>
      <w:pPr>
        <w:keepNext/>
        <w:spacing w:after="90" w:before="220"/>
      </w:pPr>
      <w:r>
        <w:rPr>
          <w:b/>
          <w:bCs/>
          <w:color w:val="1A1C2E"/>
          <w:sz w:val="24"/>
          <w:szCs w:val="24"/>
        </w:rPr>
        <w:t xml:space="preserve">13.   How do I configure a firm phone number for SMS?</w:t>
      </w:r>
    </w:p>
    <w:p>
      <w:pPr>
        <w:spacing w:after="90"/>
        <w:ind w:left="403"/>
      </w:pPr>
      <w:r>
        <w:rPr>
          <w:sz w:val="22"/>
          <w:szCs w:val="22"/>
        </w:rPr>
        <w:t xml:space="preserve">Firm administrators can configure a phone number for client SMS messaging after connecting the firm's Twilio account.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Integrations and confirm that Twilio is connected.</w:t>
      </w:r>
    </w:p>
    <w:p>
      <w:pPr>
        <w:pStyle w:val="ListParagraph"/>
        <w:numPr>
          <w:ilvl w:val="0"/>
          <w:numId w:val="2"/>
        </w:numPr>
        <w:spacing w:after="40"/>
        <w:ind w:left="892"/>
      </w:pPr>
      <w:r>
        <w:rPr>
          <w:sz w:val="21"/>
          <w:szCs w:val="21"/>
        </w:rPr>
        <w:t xml:space="preserve">Open Phone Numbers.</w:t>
      </w:r>
    </w:p>
    <w:p>
      <w:pPr>
        <w:pStyle w:val="ListParagraph"/>
        <w:numPr>
          <w:ilvl w:val="0"/>
          <w:numId w:val="2"/>
        </w:numPr>
        <w:spacing w:after="40"/>
        <w:ind w:left="892"/>
      </w:pPr>
      <w:r>
        <w:rPr>
          <w:sz w:val="21"/>
          <w:szCs w:val="21"/>
        </w:rPr>
        <w:t xml:space="preserve">Select Add number.</w:t>
      </w:r>
    </w:p>
    <w:p>
      <w:pPr>
        <w:pStyle w:val="ListParagraph"/>
        <w:numPr>
          <w:ilvl w:val="0"/>
          <w:numId w:val="2"/>
        </w:numPr>
        <w:spacing w:after="40"/>
        <w:ind w:left="892"/>
      </w:pPr>
      <w:r>
        <w:rPr>
          <w:sz w:val="21"/>
          <w:szCs w:val="21"/>
        </w:rPr>
        <w:t xml:space="preserve">Choose whether to: Link a phone number already owned in Twilio, Add a new number using the available setup flow.</w:t>
      </w:r>
    </w:p>
    <w:p>
      <w:pPr>
        <w:pStyle w:val="ListParagraph"/>
        <w:numPr>
          <w:ilvl w:val="0"/>
          <w:numId w:val="2"/>
        </w:numPr>
        <w:spacing w:after="40"/>
        <w:ind w:left="892"/>
      </w:pPr>
      <w:r>
        <w:rPr>
          <w:sz w:val="21"/>
          <w:szCs w:val="21"/>
        </w:rPr>
        <w:t xml:space="preserve">Review the number under Your numbers and confirm its supported capabilities, such as SMS or MMS.</w:t>
      </w:r>
    </w:p>
    <w:p>
      <w:pPr>
        <w:pStyle w:val="ListParagraph"/>
        <w:numPr>
          <w:ilvl w:val="0"/>
          <w:numId w:val="2"/>
        </w:numPr>
        <w:spacing w:after="40"/>
        <w:ind w:left="892"/>
      </w:pPr>
      <w:r>
        <w:rPr>
          <w:sz w:val="21"/>
          <w:szCs w:val="21"/>
        </w:rPr>
        <w:t xml:space="preserve">For applicable U.S. carrier messaging, complete A2P 10DLC registration.</w:t>
      </w:r>
    </w:p>
    <w:p>
      <w:pPr>
        <w:pStyle w:val="ListParagraph"/>
        <w:numPr>
          <w:ilvl w:val="0"/>
          <w:numId w:val="2"/>
        </w:numPr>
        <w:spacing w:after="40"/>
        <w:ind w:left="892"/>
      </w:pPr>
      <w:r>
        <w:rPr>
          <w:sz w:val="21"/>
          <w:szCs w:val="21"/>
        </w:rPr>
        <w:t xml:space="preserve">Use Refresh status to confirm the registration result.</w:t>
      </w:r>
    </w:p>
    <w:p>
      <w:pPr>
        <w:pStyle w:val="ListParagraph"/>
        <w:numPr>
          <w:ilvl w:val="0"/>
          <w:numId w:val="2"/>
        </w:numPr>
        <w:spacing w:after="40"/>
        <w:ind w:left="892"/>
      </w:pPr>
      <w:r>
        <w:rPr>
          <w:sz w:val="21"/>
          <w:szCs w:val="21"/>
        </w:rPr>
        <w:t xml:space="preserve">Send a controlled test message before using the number for regular client communication.</w:t>
      </w:r>
    </w:p>
    <w:p>
      <w:pPr>
        <w:pStyle w:val="ListParagraph"/>
        <w:numPr>
          <w:ilvl w:val="0"/>
          <w:numId w:val="2"/>
        </w:numPr>
        <w:spacing w:after="40"/>
        <w:ind w:left="892"/>
      </w:pPr>
      <w:r>
        <w:rPr>
          <w:sz w:val="21"/>
          <w:szCs w:val="21"/>
        </w:rPr>
        <w:t xml:space="preserve">Before rollout, confirm that the number your firm intends to use is active, supports SMS, and has the required registration status for the type of messaging being sent.</w:t>
      </w:r>
    </w:p>
    <w:p>
      <w:pPr>
        <w:spacing w:after="40" w:before="70"/>
        <w:ind w:left="403"/>
      </w:pPr>
      <w:r>
        <w:rPr>
          <w:color w:val="8B8FA3"/>
          <w:sz w:val="17"/>
          <w:szCs w:val="17"/>
        </w:rPr>
        <w:t xml:space="preserve">Ref: pro-how-do-i-configure-a-firm-phone-number-for-sms-127</w:t>
      </w:r>
    </w:p>
    <w:p>
      <w:pPr>
        <w:keepNext/>
        <w:spacing w:after="90" w:before="220"/>
      </w:pPr>
      <w:r>
        <w:rPr>
          <w:b/>
          <w:bCs/>
          <w:color w:val="1A1C2E"/>
          <w:sz w:val="24"/>
          <w:szCs w:val="24"/>
        </w:rPr>
        <w:t xml:space="preserve">14.   What phone number does a client see when the firm sends an SMS?</w:t>
      </w:r>
    </w:p>
    <w:p>
      <w:pPr>
        <w:spacing w:after="90"/>
        <w:ind w:left="403"/>
      </w:pPr>
      <w:r>
        <w:rPr>
          <w:sz w:val="22"/>
          <w:szCs w:val="22"/>
        </w:rPr>
        <w:t xml:space="preserve">The client sees the Twilio phone number linked to your firm in AssurePro as the sender of the SMS.</w:t>
      </w:r>
    </w:p>
    <w:p>
      <w:pPr>
        <w:spacing w:after="90"/>
        <w:ind w:left="403"/>
      </w:pPr>
      <w:r>
        <w:rPr>
          <w:b/>
          <w:bCs/>
          <w:color w:val="4735BE"/>
          <w:sz w:val="18"/>
          <w:szCs w:val="18"/>
        </w:rPr>
        <w:t xml:space="preserve">More   </w:t>
      </w:r>
      <w:r>
        <w:rPr>
          <w:sz w:val="22"/>
          <w:szCs w:val="22"/>
        </w:rPr>
        <w:t xml:space="preserve">If your firm has more than one Twilio number, administrators should confirm which number is linked under Settings &gt; Phone Numbers before telling clients which number to save or recognize. The Phone Numbers area can also show information such as SMS capability, MMS capability, voice capability, and A2P 10DLC registration status.</w:t>
      </w:r>
    </w:p>
    <w:p>
      <w:pPr>
        <w:spacing w:after="90"/>
        <w:ind w:left="403"/>
      </w:pPr>
      <w:r>
        <w:rPr>
          <w:b/>
          <w:bCs/>
          <w:color w:val="4735BE"/>
          <w:sz w:val="18"/>
          <w:szCs w:val="18"/>
        </w:rPr>
        <w:t xml:space="preserve">More   </w:t>
      </w:r>
      <w:r>
        <w:rPr>
          <w:sz w:val="22"/>
          <w:szCs w:val="22"/>
        </w:rPr>
        <w:t xml:space="preserve">For U.S. carrier messaging, confirm that the selected number has the required registration status before relying on it for regular client communication — a number may appear in the firm's configuration but still experience carrier filtering if the required messaging registration is incomplete. It is good practice to use a consistent firm number for client SMS so clients can recognize the sender and firm users can maintain a predictable communication channel.</w:t>
      </w:r>
    </w:p>
    <w:p>
      <w:pPr>
        <w:spacing w:after="40" w:before="70"/>
        <w:ind w:left="403"/>
      </w:pPr>
      <w:r>
        <w:rPr>
          <w:color w:val="8B8FA3"/>
          <w:sz w:val="17"/>
          <w:szCs w:val="17"/>
        </w:rPr>
        <w:t xml:space="preserve">Ref: pro-what-phone-number-does-a-client-see-when-the-firm-sends-an-sms-128</w:t>
      </w:r>
    </w:p>
    <w:p>
      <w:pPr>
        <w:keepNext/>
        <w:spacing w:after="90" w:before="220"/>
      </w:pPr>
      <w:r>
        <w:rPr>
          <w:b/>
          <w:bCs/>
          <w:color w:val="1A1C2E"/>
          <w:sz w:val="24"/>
          <w:szCs w:val="24"/>
        </w:rPr>
        <w:t xml:space="preserve">15.   What calendar connections are supported?</w:t>
      </w:r>
    </w:p>
    <w:p>
      <w:pPr>
        <w:spacing w:after="90"/>
        <w:ind w:left="403"/>
      </w:pPr>
      <w:r>
        <w:rPr>
          <w:sz w:val="22"/>
          <w:szCs w:val="22"/>
        </w:rPr>
        <w:t xml:space="preserve">AssurePro supports calendar and scheduling integrations that help the firm manage client meetings and connect meeting activity to client records.</w:t>
      </w:r>
    </w:p>
    <w:p>
      <w:pPr>
        <w:spacing w:after="90"/>
        <w:ind w:left="403"/>
      </w:pPr>
      <w:r>
        <w:rPr>
          <w:b/>
          <w:bCs/>
          <w:color w:val="4735BE"/>
          <w:sz w:val="18"/>
          <w:szCs w:val="18"/>
        </w:rPr>
        <w:t xml:space="preserve">More   </w:t>
      </w:r>
      <w:r>
        <w:rPr>
          <w:sz w:val="22"/>
          <w:szCs w:val="22"/>
        </w:rPr>
        <w:t xml:space="preserve">Calendly supports client meeting scheduling; Google Calendar and Outlook Calendar connect calendar activity and can associate a supported meeting with the relevant client record. Connect the provider under Settings &gt; Integrations, then use Calendar for the firm's meeting workflow, and confirm connected meetings are matched to the correct client where matching is available.</w:t>
      </w:r>
    </w:p>
    <w:p>
      <w:pPr>
        <w:spacing w:after="40" w:before="70"/>
        <w:ind w:left="403"/>
      </w:pPr>
      <w:r>
        <w:rPr>
          <w:color w:val="8B8FA3"/>
          <w:sz w:val="17"/>
          <w:szCs w:val="17"/>
        </w:rPr>
        <w:t xml:space="preserve">Ref: pro-what-calendar-connections-are-supported-129</w:t>
      </w:r>
    </w:p>
    <w:p>
      <w:pPr>
        <w:keepNext/>
        <w:spacing w:after="90" w:before="220"/>
      </w:pPr>
      <w:r>
        <w:rPr>
          <w:b/>
          <w:bCs/>
          <w:color w:val="1A1C2E"/>
          <w:sz w:val="24"/>
          <w:szCs w:val="24"/>
        </w:rPr>
        <w:t xml:space="preserve">16.   Does everything a client sees carry the firm's branding, or does AssureOne branding appear anywhere?</w:t>
      </w:r>
    </w:p>
    <w:p>
      <w:pPr>
        <w:spacing w:after="90"/>
        <w:ind w:left="403"/>
      </w:pPr>
      <w:r>
        <w:rPr>
          <w:sz w:val="22"/>
          <w:szCs w:val="22"/>
        </w:rPr>
        <w:t xml:space="preserve">AssurePro allows the firm to apply its own branding across key client-facing areas, but some AssureOne branding may still appear in selected platform-managed locations.</w:t>
      </w:r>
    </w:p>
    <w:p>
      <w:pPr>
        <w:spacing w:after="90"/>
        <w:ind w:left="403"/>
      </w:pPr>
      <w:r>
        <w:rPr>
          <w:b/>
          <w:bCs/>
          <w:color w:val="4735BE"/>
          <w:sz w:val="18"/>
          <w:szCs w:val="18"/>
        </w:rPr>
        <w:t xml:space="preserve">More   </w:t>
      </w:r>
      <w:r>
        <w:rPr>
          <w:sz w:val="22"/>
          <w:szCs w:val="22"/>
        </w:rPr>
        <w:t xml:space="preserve">Firm administrators maintain the firm's core identity in Settings &gt; Firm Profile, including the firm logo, firm name and contact information, primary brand color, and accent color. The client portal address and related portal settings are managed separately under Settings &gt; Client Portal.</w:t>
      </w:r>
    </w:p>
    <w:p>
      <w:pPr>
        <w:spacing w:after="90"/>
        <w:ind w:left="403"/>
      </w:pPr>
      <w:r>
        <w:rPr>
          <w:b/>
          <w:bCs/>
          <w:color w:val="4735BE"/>
          <w:sz w:val="18"/>
          <w:szCs w:val="18"/>
        </w:rPr>
        <w:t xml:space="preserve">More   </w:t>
      </w:r>
      <w:r>
        <w:rPr>
          <w:sz w:val="22"/>
          <w:szCs w:val="22"/>
        </w:rPr>
        <w:t xml:space="preserve">The firm's branding is used across supported parts of the client experience, while the AssureOne name may still appear in certain system-managed areas, such as selected email footers or other platform-generated content.</w:t>
      </w:r>
    </w:p>
    <w:p>
      <w:pPr>
        <w:spacing w:after="90"/>
        <w:ind w:left="403"/>
      </w:pPr>
      <w:r>
        <w:rPr>
          <w:b/>
          <w:bCs/>
          <w:color w:val="4735BE"/>
          <w:sz w:val="18"/>
          <w:szCs w:val="18"/>
        </w:rPr>
        <w:t xml:space="preserve">More   </w:t>
      </w:r>
      <w:r>
        <w:rPr>
          <w:sz w:val="22"/>
          <w:szCs w:val="22"/>
        </w:rPr>
        <w:t xml:space="preserve">Before rolling AssurePro out to clients, firm administrators should review Firm Profile branding, Client Portal settings and portal address, the client portal experience, Automated Email Templates, desktop and mobile email previews, test emails, and the engagement-letter and document-request experiences. This helps the firm confirm how its branding appears across the client experience and understand where AssureOne platform identification may still be visible.</w:t>
      </w:r>
    </w:p>
    <w:p>
      <w:pPr>
        <w:spacing w:after="40" w:before="70"/>
        <w:ind w:left="403"/>
      </w:pPr>
      <w:r>
        <w:rPr>
          <w:color w:val="8B8FA3"/>
          <w:sz w:val="17"/>
          <w:szCs w:val="17"/>
        </w:rPr>
        <w:t xml:space="preserve">Ref: pro-does-everything-a-client-sees-carry-the-firm-s-branding-or-does-assure-130</w:t>
      </w:r>
    </w:p>
    <w:p>
      <w:r>
        <w:br w:type="page"/>
      </w:r>
    </w:p>
    <w:p>
      <w:pPr>
        <w:pStyle w:val="Heading1"/>
        <w:spacing w:after="40" w:before="60"/>
      </w:pPr>
      <w:r>
        <w:rPr>
          <w:b/>
          <w:bCs/>
          <w:color w:val="1A1C2E"/>
          <w:sz w:val="32"/>
          <w:szCs w:val="32"/>
        </w:rPr>
        <w:t xml:space="preserve">Reporting</w:t>
      </w:r>
    </w:p>
    <w:p>
      <w:pPr>
        <w:pBdr>
          <w:bottom w:val="single" w:color="E4E2F0" w:sz="4"/>
        </w:pBdr>
        <w:spacing w:after="200"/>
      </w:pPr>
      <w:r>
        <w:rPr>
          <w:color w:val="8B8FA3"/>
          <w:sz w:val="20"/>
          <w:szCs w:val="20"/>
        </w:rPr>
        <w:t xml:space="preserve">6 questions</w:t>
      </w:r>
    </w:p>
    <w:p>
      <w:pPr>
        <w:keepNext/>
        <w:spacing w:after="90" w:before="220"/>
      </w:pPr>
      <w:r>
        <w:rPr>
          <w:b/>
          <w:bCs/>
          <w:color w:val="1A1C2E"/>
          <w:sz w:val="24"/>
          <w:szCs w:val="24"/>
        </w:rPr>
        <w:t xml:space="preserve">1.   How is the Reports area organized?</w:t>
      </w:r>
    </w:p>
    <w:p>
      <w:pPr>
        <w:spacing w:after="90"/>
        <w:ind w:left="403"/>
      </w:pPr>
      <w:r>
        <w:rPr>
          <w:sz w:val="22"/>
          <w:szCs w:val="22"/>
        </w:rPr>
        <w:t xml:space="preserve">The Reports area is organized into three main destinations:</w:t>
      </w:r>
    </w:p>
    <w:p>
      <w:pPr>
        <w:spacing w:after="90"/>
        <w:ind w:left="403"/>
      </w:pPr>
      <w:r>
        <w:rPr>
          <w:b/>
          <w:bCs/>
          <w:color w:val="4735BE"/>
          <w:sz w:val="18"/>
          <w:szCs w:val="18"/>
        </w:rPr>
        <w:t xml:space="preserve">More   </w:t>
      </w:r>
      <w:r>
        <w:rPr>
          <w:sz w:val="22"/>
          <w:szCs w:val="22"/>
        </w:rPr>
        <w:t xml:space="preserve">Overview provides standard firm KPIs and report cards for a high-level view of firm performance. My Report contains starter dashboards, dashboards shared with the firm, and dashboards created by the signed-in user. Templates provides the report-widget library and tools for building custom dashboards.</w:t>
      </w:r>
    </w:p>
    <w:p>
      <w:pPr>
        <w:spacing w:after="90"/>
        <w:ind w:left="403"/>
      </w:pPr>
      <w:r>
        <w:rPr>
          <w:b/>
          <w:bCs/>
          <w:color w:val="4735BE"/>
          <w:sz w:val="18"/>
          <w:szCs w:val="18"/>
        </w:rPr>
        <w:t xml:space="preserve">More   </w:t>
      </w:r>
      <w:r>
        <w:rPr>
          <w:sz w:val="22"/>
          <w:szCs w:val="22"/>
        </w:rPr>
        <w:t xml:space="preserve">Use Overview for a standard firm health check, My Report for dashboards you review regularly, and Templates when you want to create a dashboard with a different combination of metrics. For example, a manager may begin in Overview to review the firm's current billing position, open the Full billing report for more detail, and then duplicate a Billing &amp; Collections dashboard into My dashboards for a customized recurring review.</w:t>
      </w:r>
    </w:p>
    <w:p>
      <w:pPr>
        <w:spacing w:after="90"/>
        <w:ind w:left="403"/>
      </w:pPr>
      <w:r>
        <w:rPr>
          <w:b/>
          <w:bCs/>
          <w:color w:val="4735BE"/>
          <w:sz w:val="18"/>
          <w:szCs w:val="18"/>
        </w:rPr>
        <w:t xml:space="preserve">More   </w:t>
      </w:r>
      <w:r>
        <w:rPr>
          <w:sz w:val="22"/>
          <w:szCs w:val="22"/>
        </w:rPr>
        <w:t xml:space="preserve">This structure lets firm users move from high-level monitoring to detailed analysis and then save the views they need for ongoing management.</w:t>
      </w:r>
    </w:p>
    <w:p>
      <w:pPr>
        <w:spacing w:after="40" w:before="70"/>
        <w:ind w:left="403"/>
      </w:pPr>
      <w:r>
        <w:rPr>
          <w:color w:val="8B8FA3"/>
          <w:sz w:val="17"/>
          <w:szCs w:val="17"/>
        </w:rPr>
        <w:t xml:space="preserve">Ref: pro-how-is-the-reports-area-organized-131</w:t>
      </w:r>
    </w:p>
    <w:p>
      <w:pPr>
        <w:keepNext/>
        <w:spacing w:after="90" w:before="220"/>
      </w:pPr>
      <w:r>
        <w:rPr>
          <w:b/>
          <w:bCs/>
          <w:color w:val="1A1C2E"/>
          <w:sz w:val="24"/>
          <w:szCs w:val="24"/>
        </w:rPr>
        <w:t xml:space="preserve">2.   Which KPIs appear at the top of Reports?</w:t>
      </w:r>
    </w:p>
    <w:p>
      <w:pPr>
        <w:spacing w:after="90"/>
        <w:ind w:left="403"/>
      </w:pPr>
      <w:r>
        <w:rPr>
          <w:sz w:val="22"/>
          <w:szCs w:val="22"/>
        </w:rPr>
        <w:t xml:space="preserve">The top of Reports includes headline KPI cards that provide a quick view of firm performance.</w:t>
      </w:r>
    </w:p>
    <w:p>
      <w:pPr>
        <w:spacing w:after="90"/>
        <w:ind w:left="403"/>
      </w:pPr>
      <w:r>
        <w:rPr>
          <w:b/>
          <w:bCs/>
          <w:color w:val="4735BE"/>
          <w:sz w:val="18"/>
          <w:szCs w:val="18"/>
        </w:rPr>
        <w:t xml:space="preserve">More   </w:t>
      </w:r>
      <w:r>
        <w:rPr>
          <w:sz w:val="22"/>
          <w:szCs w:val="22"/>
        </w:rPr>
        <w:t xml:space="preserve">These can include Total Revenue (billed revenue for the selected period), Collected (payments collected during the selected period), Outstanding A/R (client balances that remain unpaid), Billable Hours (time recorded as billable), Utilization (the proportion of available or recorded time used for billable work, based on the firm's reporting setup), and New Clients (clients added during the selected period).</w:t>
      </w:r>
    </w:p>
    <w:p>
      <w:pPr>
        <w:spacing w:after="90"/>
        <w:ind w:left="403"/>
      </w:pPr>
      <w:r>
        <w:rPr>
          <w:b/>
          <w:bCs/>
          <w:color w:val="4735BE"/>
          <w:sz w:val="18"/>
          <w:szCs w:val="18"/>
        </w:rPr>
        <w:t xml:space="preserve">More   </w:t>
      </w:r>
      <w:r>
        <w:rPr>
          <w:sz w:val="22"/>
          <w:szCs w:val="22"/>
        </w:rPr>
        <w:t xml:space="preserve">Review these KPIs together rather than in isolation. For example, strong Total Revenue with a growing Outstanding A/R balance may indicate that billing performance is strong but collections require attention.</w:t>
      </w:r>
    </w:p>
    <w:p>
      <w:pPr>
        <w:spacing w:after="90"/>
        <w:ind w:left="403"/>
      </w:pPr>
      <w:r>
        <w:rPr>
          <w:b/>
          <w:bCs/>
          <w:color w:val="4735BE"/>
          <w:sz w:val="18"/>
          <w:szCs w:val="18"/>
        </w:rPr>
        <w:t xml:space="preserve">More   </w:t>
      </w:r>
      <w:r>
        <w:rPr>
          <w:sz w:val="22"/>
          <w:szCs w:val="22"/>
        </w:rPr>
        <w:t xml:space="preserve">Before interpreting the KPI cards, select the correct reporting period: MTD (Month to Date), QTD (Quarter to Date), YTD (Year to Date), 12M (Last 12 months), or Custom (a date range selected by the user). Using the same reporting period across the cards helps partners and managers compare the metrics consistently.</w:t>
      </w:r>
    </w:p>
    <w:p>
      <w:pPr>
        <w:spacing w:after="40" w:before="70"/>
        <w:ind w:left="403"/>
      </w:pPr>
      <w:r>
        <w:rPr>
          <w:color w:val="8B8FA3"/>
          <w:sz w:val="17"/>
          <w:szCs w:val="17"/>
        </w:rPr>
        <w:t xml:space="preserve">Ref: pro-which-kpis-appear-at-the-top-of-reports-133</w:t>
      </w:r>
    </w:p>
    <w:p>
      <w:pPr>
        <w:keepNext/>
        <w:spacing w:after="90" w:before="220"/>
      </w:pPr>
      <w:r>
        <w:rPr>
          <w:b/>
          <w:bCs/>
          <w:color w:val="1A1C2E"/>
          <w:sz w:val="24"/>
          <w:szCs w:val="24"/>
        </w:rPr>
        <w:t xml:space="preserve">3.   How do I review and export a report?</w:t>
      </w:r>
    </w:p>
    <w:p>
      <w:pPr>
        <w:spacing w:after="90"/>
        <w:ind w:left="403"/>
      </w:pPr>
      <w:r>
        <w:rPr>
          <w:sz w:val="22"/>
          <w:szCs w:val="22"/>
        </w:rPr>
        <w:t xml:space="preserve">Set the reporting period first so the KPI cards, report widgets, detailed dashboards, and exported results reflect the dates you intend to review.</w:t>
      </w:r>
    </w:p>
    <w:p>
      <w:pPr>
        <w:spacing w:after="90"/>
        <w:ind w:left="403"/>
      </w:pPr>
      <w:r>
        <w:rPr>
          <w:b/>
          <w:bCs/>
          <w:color w:val="4735BE"/>
          <w:sz w:val="18"/>
          <w:szCs w:val="18"/>
        </w:rPr>
        <w:t xml:space="preserve">More   </w:t>
      </w:r>
      <w:r>
        <w:rPr>
          <w:sz w:val="22"/>
          <w:szCs w:val="22"/>
        </w:rPr>
        <w:t xml:space="preserve">AssurePro provides period options such as MTD, QTD, YTD, 12M, and Custom.</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choose Overview or My Report.</w:t>
      </w:r>
    </w:p>
    <w:p>
      <w:pPr>
        <w:pStyle w:val="ListParagraph"/>
        <w:numPr>
          <w:ilvl w:val="0"/>
          <w:numId w:val="2"/>
        </w:numPr>
        <w:spacing w:after="40"/>
        <w:ind w:left="892"/>
      </w:pPr>
      <w:r>
        <w:rPr>
          <w:sz w:val="21"/>
          <w:szCs w:val="21"/>
        </w:rPr>
        <w:t xml:space="preserve">Select the reporting period: MTD, QTD, YTD, 12M, Custom.</w:t>
      </w:r>
    </w:p>
    <w:p>
      <w:pPr>
        <w:pStyle w:val="ListParagraph"/>
        <w:numPr>
          <w:ilvl w:val="0"/>
          <w:numId w:val="2"/>
        </w:numPr>
        <w:spacing w:after="40"/>
        <w:ind w:left="892"/>
      </w:pPr>
      <w:r>
        <w:rPr>
          <w:sz w:val="21"/>
          <w:szCs w:val="21"/>
        </w:rPr>
        <w:t xml:space="preserve">If you choose Custom, enter the required date range.</w:t>
      </w:r>
    </w:p>
    <w:p>
      <w:pPr>
        <w:pStyle w:val="ListParagraph"/>
        <w:numPr>
          <w:ilvl w:val="0"/>
          <w:numId w:val="2"/>
        </w:numPr>
        <w:spacing w:after="40"/>
        <w:ind w:left="892"/>
      </w:pPr>
      <w:r>
        <w:rPr>
          <w:sz w:val="21"/>
          <w:szCs w:val="21"/>
        </w:rPr>
        <w:t xml:space="preserve">Review the KPI card, report card, or dashboard that answers your reporting question.</w:t>
      </w:r>
    </w:p>
    <w:p>
      <w:pPr>
        <w:pStyle w:val="ListParagraph"/>
        <w:numPr>
          <w:ilvl w:val="0"/>
          <w:numId w:val="2"/>
        </w:numPr>
        <w:spacing w:after="40"/>
        <w:ind w:left="892"/>
      </w:pPr>
      <w:r>
        <w:rPr>
          <w:sz w:val="21"/>
          <w:szCs w:val="21"/>
        </w:rPr>
        <w:t xml:space="preserve">Select Full report where a more detailed view is available.</w:t>
      </w:r>
    </w:p>
    <w:p>
      <w:pPr>
        <w:pStyle w:val="ListParagraph"/>
        <w:numPr>
          <w:ilvl w:val="0"/>
          <w:numId w:val="2"/>
        </w:numPr>
        <w:spacing w:after="40"/>
        <w:ind w:left="892"/>
      </w:pPr>
      <w:r>
        <w:rPr>
          <w:sz w:val="21"/>
          <w:szCs w:val="21"/>
        </w:rPr>
        <w:t xml:space="preserve">Review the focused dashboard and its supporting widgets.</w:t>
      </w:r>
    </w:p>
    <w:p>
      <w:pPr>
        <w:pStyle w:val="ListParagraph"/>
        <w:numPr>
          <w:ilvl w:val="0"/>
          <w:numId w:val="2"/>
        </w:numPr>
        <w:spacing w:after="40"/>
        <w:ind w:left="892"/>
      </w:pPr>
      <w:r>
        <w:rPr>
          <w:sz w:val="21"/>
          <w:szCs w:val="21"/>
        </w:rPr>
        <w:t xml:space="preserve">Select Export when you need a copy for external analysis, reconciliation, or recordkeeping.</w:t>
      </w:r>
    </w:p>
    <w:p>
      <w:pPr>
        <w:pStyle w:val="ListParagraph"/>
        <w:numPr>
          <w:ilvl w:val="0"/>
          <w:numId w:val="2"/>
        </w:numPr>
        <w:spacing w:after="40"/>
        <w:ind w:left="892"/>
      </w:pPr>
      <w:r>
        <w:rPr>
          <w:sz w:val="21"/>
          <w:szCs w:val="21"/>
        </w:rPr>
        <w:t xml:space="preserve">Before exporting, confirm the reporting period and any active filters. This helps ensure the downloaded output matches the same view you reviewed in AssurePro.</w:t>
      </w:r>
    </w:p>
    <w:p>
      <w:pPr>
        <w:pStyle w:val="ListParagraph"/>
        <w:numPr>
          <w:ilvl w:val="0"/>
          <w:numId w:val="2"/>
        </w:numPr>
        <w:spacing w:after="40"/>
        <w:ind w:left="892"/>
      </w:pPr>
      <w:r>
        <w:rPr>
          <w:sz w:val="21"/>
          <w:szCs w:val="21"/>
        </w:rPr>
        <w:t xml:space="preserve">For example, if a partner is reviewing year-to-date collections, set the period to YTD before opening the detailed billing report and exporting the results.</w:t>
      </w:r>
    </w:p>
    <w:p>
      <w:pPr>
        <w:spacing w:after="40" w:before="70"/>
        <w:ind w:left="403"/>
      </w:pPr>
      <w:r>
        <w:rPr>
          <w:color w:val="8B8FA3"/>
          <w:sz w:val="17"/>
          <w:szCs w:val="17"/>
        </w:rPr>
        <w:t xml:space="preserve">Ref: pro-how-do-i-review-and-export-a-report-134</w:t>
      </w:r>
    </w:p>
    <w:p>
      <w:pPr>
        <w:keepNext/>
        <w:spacing w:after="90" w:before="220"/>
      </w:pPr>
      <w:r>
        <w:rPr>
          <w:b/>
          <w:bCs/>
          <w:color w:val="1A1C2E"/>
          <w:sz w:val="24"/>
          <w:szCs w:val="24"/>
        </w:rPr>
        <w:t xml:space="preserve">4.   Can report periods and results be changed or exported?</w:t>
      </w:r>
    </w:p>
    <w:p>
      <w:pPr>
        <w:spacing w:after="90"/>
        <w:ind w:left="403"/>
      </w:pPr>
      <w:r>
        <w:rPr>
          <w:sz w:val="22"/>
          <w:szCs w:val="22"/>
        </w:rPr>
        <w:t xml:space="preserve">Yes. AssurePro lets firm users change the reporting period, review more detailed results, and export report data.</w:t>
      </w:r>
    </w:p>
    <w:p>
      <w:pPr>
        <w:spacing w:after="90"/>
        <w:ind w:left="403"/>
      </w:pPr>
      <w:r>
        <w:rPr>
          <w:b/>
          <w:bCs/>
          <w:color w:val="4735BE"/>
          <w:sz w:val="18"/>
          <w:szCs w:val="18"/>
        </w:rPr>
        <w:t xml:space="preserve">More   </w:t>
      </w:r>
      <w:r>
        <w:rPr>
          <w:sz w:val="22"/>
          <w:szCs w:val="22"/>
        </w:rPr>
        <w:t xml:space="preserve">Available reporting periods include MTD (Month to Date), QTD (Quarter to Date), YTD (Year to Date), 12M (Last 12 months), and Custom (a user-defined date range). Use the period that matches the management question you are reviewing — for example, MTD for current-month operations, QTD for quarterly performance, YTD for year-to-date trends, and Custom for a specific engagement or review period.</w:t>
      </w:r>
    </w:p>
    <w:p>
      <w:pPr>
        <w:spacing w:after="90"/>
        <w:ind w:left="403"/>
      </w:pPr>
      <w:r>
        <w:rPr>
          <w:b/>
          <w:bCs/>
          <w:color w:val="4735BE"/>
          <w:sz w:val="18"/>
          <w:szCs w:val="18"/>
        </w:rPr>
        <w:t xml:space="preserve">More   </w:t>
      </w:r>
      <w:r>
        <w:rPr>
          <w:sz w:val="22"/>
          <w:szCs w:val="22"/>
        </w:rPr>
        <w:t xml:space="preserve">Some reports also support additional filters. For example, workflow reporting can be narrowed by stage or by measures such as active and overdue work.</w:t>
      </w:r>
    </w:p>
    <w:p>
      <w:pPr>
        <w:spacing w:after="90"/>
        <w:ind w:left="403"/>
      </w:pPr>
      <w:r>
        <w:rPr>
          <w:b/>
          <w:bCs/>
          <w:color w:val="4735BE"/>
          <w:sz w:val="18"/>
          <w:szCs w:val="18"/>
        </w:rPr>
        <w:t xml:space="preserve">More   </w:t>
      </w:r>
      <w:r>
        <w:rPr>
          <w:sz w:val="22"/>
          <w:szCs w:val="22"/>
        </w:rPr>
        <w:t xml:space="preserve">After setting the reporting period and filters, use Full report when a more detailed dashboard is available or Export when you need the results outside AssurePro. Always apply the intended reporting period and filters before opening a detailed report or exporting so the resulting view reflects the correct scope.</w:t>
      </w:r>
    </w:p>
    <w:p>
      <w:pPr>
        <w:spacing w:after="40" w:before="70"/>
        <w:ind w:left="403"/>
      </w:pPr>
      <w:r>
        <w:rPr>
          <w:color w:val="8B8FA3"/>
          <w:sz w:val="17"/>
          <w:szCs w:val="17"/>
        </w:rPr>
        <w:t xml:space="preserve">Ref: pro-can-report-periods-and-results-be-changed-or-exported-136</w:t>
      </w:r>
    </w:p>
    <w:p>
      <w:pPr>
        <w:keepNext/>
        <w:spacing w:after="90" w:before="220"/>
      </w:pPr>
      <w:r>
        <w:rPr>
          <w:b/>
          <w:bCs/>
          <w:color w:val="1A1C2E"/>
          <w:sz w:val="24"/>
          <w:szCs w:val="24"/>
        </w:rPr>
        <w:t xml:space="preserve">5.   Can report and dashboard data be exported?</w:t>
      </w:r>
    </w:p>
    <w:p>
      <w:pPr>
        <w:spacing w:after="90"/>
        <w:ind w:left="403"/>
      </w:pPr>
      <w:r>
        <w:rPr>
          <w:sz w:val="22"/>
          <w:szCs w:val="22"/>
        </w:rPr>
        <w:t xml:space="preserve">Yes. Firm users can export report and dashboard data for external analysis, reconciliation, or recordkeeping.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choose Overview or My Report.</w:t>
      </w:r>
    </w:p>
    <w:p>
      <w:pPr>
        <w:pStyle w:val="ListParagraph"/>
        <w:numPr>
          <w:ilvl w:val="0"/>
          <w:numId w:val="2"/>
        </w:numPr>
        <w:spacing w:after="40"/>
        <w:ind w:left="892"/>
      </w:pPr>
      <w:r>
        <w:rPr>
          <w:sz w:val="21"/>
          <w:szCs w:val="21"/>
        </w:rPr>
        <w:t xml:space="preserve">Select the required reporting period: MTD, QTD, YTD, 12M, or Custom.</w:t>
      </w:r>
    </w:p>
    <w:p>
      <w:pPr>
        <w:pStyle w:val="ListParagraph"/>
        <w:numPr>
          <w:ilvl w:val="0"/>
          <w:numId w:val="2"/>
        </w:numPr>
        <w:spacing w:after="40"/>
        <w:ind w:left="892"/>
      </w:pPr>
      <w:r>
        <w:rPr>
          <w:sz w:val="21"/>
          <w:szCs w:val="21"/>
        </w:rPr>
        <w:t xml:space="preserve">Apply any additional filters needed for the review.</w:t>
      </w:r>
    </w:p>
    <w:p>
      <w:pPr>
        <w:pStyle w:val="ListParagraph"/>
        <w:numPr>
          <w:ilvl w:val="0"/>
          <w:numId w:val="2"/>
        </w:numPr>
        <w:spacing w:after="40"/>
        <w:ind w:left="892"/>
      </w:pPr>
      <w:r>
        <w:rPr>
          <w:sz w:val="21"/>
          <w:szCs w:val="21"/>
        </w:rPr>
        <w:t xml:space="preserve">Open Full report if you want to export from a focused dashboard rather than the high-level Overview.</w:t>
      </w:r>
    </w:p>
    <w:p>
      <w:pPr>
        <w:pStyle w:val="ListParagraph"/>
        <w:numPr>
          <w:ilvl w:val="0"/>
          <w:numId w:val="2"/>
        </w:numPr>
        <w:spacing w:after="40"/>
        <w:ind w:left="892"/>
      </w:pPr>
      <w:r>
        <w:rPr>
          <w:sz w:val="21"/>
          <w:szCs w:val="21"/>
        </w:rPr>
        <w:t xml:space="preserve">Confirm that the visible widgets and filters match the information you need.</w:t>
      </w:r>
    </w:p>
    <w:p>
      <w:pPr>
        <w:pStyle w:val="ListParagraph"/>
        <w:numPr>
          <w:ilvl w:val="0"/>
          <w:numId w:val="2"/>
        </w:numPr>
        <w:spacing w:after="40"/>
        <w:ind w:left="892"/>
      </w:pPr>
      <w:r>
        <w:rPr>
          <w:sz w:val="21"/>
          <w:szCs w:val="21"/>
        </w:rPr>
        <w:t xml:space="preserve">Select Export.</w:t>
      </w:r>
    </w:p>
    <w:p>
      <w:pPr>
        <w:pStyle w:val="ListParagraph"/>
        <w:numPr>
          <w:ilvl w:val="0"/>
          <w:numId w:val="2"/>
        </w:numPr>
        <w:spacing w:after="40"/>
        <w:ind w:left="892"/>
      </w:pPr>
      <w:r>
        <w:rPr>
          <w:sz w:val="21"/>
          <w:szCs w:val="21"/>
        </w:rPr>
        <w:t xml:space="preserve">Review the exported file before sharing or storing it.</w:t>
      </w:r>
    </w:p>
    <w:p>
      <w:pPr>
        <w:pStyle w:val="ListParagraph"/>
        <w:numPr>
          <w:ilvl w:val="0"/>
          <w:numId w:val="2"/>
        </w:numPr>
        <w:spacing w:after="40"/>
        <w:ind w:left="892"/>
      </w:pPr>
      <w:r>
        <w:rPr>
          <w:sz w:val="21"/>
          <w:szCs w:val="21"/>
        </w:rPr>
        <w:t xml:space="preserve">Note: Exported reports may contain client names, financial amounts, workload information, engagement data, or other firm information. Review the file and follow your firm's data-handling and sharing policies before distributing it outside the intended audience.</w:t>
      </w:r>
    </w:p>
    <w:p>
      <w:pPr>
        <w:spacing w:after="40" w:before="70"/>
        <w:ind w:left="403"/>
      </w:pPr>
      <w:r>
        <w:rPr>
          <w:color w:val="8B8FA3"/>
          <w:sz w:val="17"/>
          <w:szCs w:val="17"/>
        </w:rPr>
        <w:t xml:space="preserve">Ref: pro-can-report-and-dashboard-data-be-exported-137</w:t>
      </w:r>
    </w:p>
    <w:p>
      <w:pPr>
        <w:keepNext/>
        <w:spacing w:after="90" w:before="220"/>
      </w:pPr>
      <w:r>
        <w:rPr>
          <w:b/>
          <w:bCs/>
          <w:color w:val="1A1C2E"/>
          <w:sz w:val="24"/>
          <w:szCs w:val="24"/>
        </w:rPr>
        <w:t xml:space="preserve">6.   What does the agreement funnel report show?</w:t>
      </w:r>
    </w:p>
    <w:p>
      <w:pPr>
        <w:spacing w:after="90"/>
        <w:ind w:left="403"/>
      </w:pPr>
      <w:r>
        <w:rPr>
          <w:sz w:val="22"/>
          <w:szCs w:val="22"/>
        </w:rPr>
        <w:t xml:space="preserve">The Agreement Funnel report shows how engagement-letter signing packages are progressing from delivery through completion.</w:t>
      </w:r>
    </w:p>
    <w:p>
      <w:pPr>
        <w:spacing w:after="90"/>
        <w:ind w:left="403"/>
      </w:pPr>
      <w:r>
        <w:rPr>
          <w:b/>
          <w:bCs/>
          <w:color w:val="4735BE"/>
          <w:sz w:val="18"/>
          <w:szCs w:val="18"/>
        </w:rPr>
        <w:t xml:space="preserve">More   </w:t>
      </w:r>
      <w:r>
        <w:rPr>
          <w:sz w:val="22"/>
          <w:szCs w:val="22"/>
        </w:rPr>
        <w:t xml:space="preserve">The funnel can track stages and outcomes such as Sent, Viewed, Signed, In progress, Declined, Expired, and Cancelled. Use the funnel to understand where signing packages are moving forward and where they may be getting delayed.</w:t>
      </w:r>
    </w:p>
    <w:p>
      <w:pPr>
        <w:spacing w:after="90"/>
        <w:ind w:left="403"/>
      </w:pPr>
      <w:r>
        <w:rPr>
          <w:b/>
          <w:bCs/>
          <w:color w:val="4735BE"/>
          <w:sz w:val="18"/>
          <w:szCs w:val="18"/>
        </w:rPr>
        <w:t xml:space="preserve">More   </w:t>
      </w:r>
      <w:r>
        <w:rPr>
          <w:sz w:val="22"/>
          <w:szCs w:val="22"/>
        </w:rPr>
        <w:t xml:space="preserve">For example, compare Sent to Viewed to identify packages that may not have reached the client's attention, compare Viewed to Signed to identify packages that were opened but have not yet been completed, and review Declined, Expired, or Cancelled packages to understand why they left the active signing process. If a specific package needs follow-up, open the related engagement-letter record to review its recipients, current status, reminder activity, and audit history.</w:t>
      </w:r>
    </w:p>
    <w:p>
      <w:pPr>
        <w:spacing w:after="90"/>
        <w:ind w:left="403"/>
      </w:pPr>
      <w:r>
        <w:rPr>
          <w:b/>
          <w:bCs/>
          <w:color w:val="4735BE"/>
          <w:sz w:val="18"/>
          <w:szCs w:val="18"/>
        </w:rPr>
        <w:t xml:space="preserve">More   </w:t>
      </w:r>
      <w:r>
        <w:rPr>
          <w:sz w:val="22"/>
          <w:szCs w:val="22"/>
        </w:rPr>
        <w:t xml:space="preserve">The Agreement Funnel helps partners and managers distinguish a one-off unsigned package from a broader signing bottleneck that may require changes to follow-up, pricing, terms, or onboarding timing.</w:t>
      </w:r>
    </w:p>
    <w:p>
      <w:pPr>
        <w:spacing w:after="40" w:before="70"/>
        <w:ind w:left="403"/>
      </w:pPr>
      <w:r>
        <w:rPr>
          <w:color w:val="8B8FA3"/>
          <w:sz w:val="17"/>
          <w:szCs w:val="17"/>
        </w:rPr>
        <w:t xml:space="preserve">Ref: pro-what-does-the-agreement-funnel-report-show-144</w:t>
      </w:r>
    </w:p>
    <w:p>
      <w:r>
        <w:br w:type="page"/>
      </w:r>
    </w:p>
    <w:p>
      <w:pPr>
        <w:pStyle w:val="Heading1"/>
        <w:spacing w:after="40" w:before="60"/>
      </w:pPr>
      <w:r>
        <w:rPr>
          <w:b/>
          <w:bCs/>
          <w:color w:val="1A1C2E"/>
          <w:sz w:val="32"/>
          <w:szCs w:val="32"/>
        </w:rPr>
        <w:t xml:space="preserve">AI</w:t>
      </w:r>
    </w:p>
    <w:p>
      <w:pPr>
        <w:pBdr>
          <w:bottom w:val="single" w:color="E4E2F0" w:sz="4"/>
        </w:pBdr>
        <w:spacing w:after="200"/>
      </w:pPr>
      <w:r>
        <w:rPr>
          <w:color w:val="8B8FA3"/>
          <w:sz w:val="20"/>
          <w:szCs w:val="20"/>
        </w:rPr>
        <w:t xml:space="preserve">15 questions</w:t>
      </w:r>
    </w:p>
    <w:p>
      <w:pPr>
        <w:keepNext/>
        <w:spacing w:after="90" w:before="220"/>
      </w:pPr>
      <w:r>
        <w:rPr>
          <w:b/>
          <w:bCs/>
          <w:color w:val="1A1C2E"/>
          <w:sz w:val="24"/>
          <w:szCs w:val="24"/>
        </w:rPr>
        <w:t xml:space="preserve">1.   What can the AI Agent help with?</w:t>
      </w:r>
    </w:p>
    <w:p>
      <w:pPr>
        <w:spacing w:after="90"/>
        <w:ind w:left="403"/>
      </w:pPr>
      <w:r>
        <w:rPr>
          <w:sz w:val="22"/>
          <w:szCs w:val="22"/>
        </w:rPr>
        <w:t xml:space="preserve">The AssurePro AI Agent can help firm users find, summarize, analyze, and draft information related to client and firm work.</w:t>
      </w:r>
    </w:p>
    <w:p>
      <w:pPr>
        <w:spacing w:after="90"/>
        <w:ind w:left="403"/>
      </w:pPr>
      <w:r>
        <w:rPr>
          <w:b/>
          <w:bCs/>
          <w:color w:val="4735BE"/>
          <w:sz w:val="18"/>
          <w:szCs w:val="18"/>
        </w:rPr>
        <w:t xml:space="preserve">More   </w:t>
      </w:r>
      <w:r>
        <w:rPr>
          <w:sz w:val="22"/>
          <w:szCs w:val="22"/>
        </w:rPr>
        <w:t xml:space="preserve">It can assist with areas such as clients, documents, engagements and tasks, communications, billing, and deadlines and outstanding work.</w:t>
      </w:r>
    </w:p>
    <w:p>
      <w:pPr>
        <w:spacing w:after="90"/>
        <w:ind w:left="403"/>
      </w:pPr>
      <w:r>
        <w:rPr>
          <w:b/>
          <w:bCs/>
          <w:color w:val="4735BE"/>
          <w:sz w:val="18"/>
          <w:szCs w:val="18"/>
        </w:rPr>
        <w:t xml:space="preserve">More   </w:t>
      </w:r>
      <w:r>
        <w:rPr>
          <w:sz w:val="22"/>
          <w:szCs w:val="22"/>
        </w:rPr>
        <w:t xml:space="preserve">Examples of useful requests include "Which engagements have been in the same stage for more than 10 days?", "Summarize unread messages for my assigned clients," "Show clients with outstanding invoices due this month," "Which document requests are still waiting on a client response?", "Summarize work due this week," and "Draft a polite follow-up for overdue invoices, but do not send it."</w:t>
      </w:r>
    </w:p>
    <w:p>
      <w:pPr>
        <w:spacing w:after="90"/>
        <w:ind w:left="403"/>
      </w:pPr>
      <w:r>
        <w:rPr>
          <w:b/>
          <w:bCs/>
          <w:color w:val="4735BE"/>
          <w:sz w:val="18"/>
          <w:szCs w:val="18"/>
        </w:rPr>
        <w:t xml:space="preserve">More   </w:t>
      </w:r>
      <w:r>
        <w:rPr>
          <w:sz w:val="22"/>
          <w:szCs w:val="22"/>
        </w:rPr>
        <w:t xml:space="preserve">A good prompt should include the subject (what client, engagement, task, or area you want to review), the time period when relevant, the desired output (summary, list, analysis, or draft), and the action intent (whether you only want information or want the Agent to propose an action). For example, "List my tax engagements due in the next 14 days that still have open document requests, grouped by manager." More specific prompts generally produce more useful results and make it easier for firm users to validate the Agent's response.</w:t>
      </w:r>
    </w:p>
    <w:p>
      <w:pPr>
        <w:spacing w:after="40" w:before="70"/>
        <w:ind w:left="403"/>
      </w:pPr>
      <w:r>
        <w:rPr>
          <w:color w:val="8B8FA3"/>
          <w:sz w:val="17"/>
          <w:szCs w:val="17"/>
        </w:rPr>
        <w:t xml:space="preserve">Ref: pro-what-can-the-ai-agent-help-with-146</w:t>
      </w:r>
    </w:p>
    <w:p>
      <w:pPr>
        <w:keepNext/>
        <w:spacing w:after="90" w:before="220"/>
      </w:pPr>
      <w:r>
        <w:rPr>
          <w:b/>
          <w:bCs/>
          <w:color w:val="1A1C2E"/>
          <w:sz w:val="24"/>
          <w:szCs w:val="24"/>
        </w:rPr>
        <w:t xml:space="preserve">2.   How do I ask the AI Agent for help?</w:t>
      </w:r>
    </w:p>
    <w:p>
      <w:pPr>
        <w:spacing w:after="90"/>
        <w:ind w:left="403"/>
      </w:pPr>
      <w:r>
        <w:rPr>
          <w:sz w:val="22"/>
          <w:szCs w:val="22"/>
        </w:rPr>
        <w:t xml:space="preserve">Ask the AI Agent a specific question in plain language, then review the response, linked records, and any action it proposes.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w:t>
      </w:r>
    </w:p>
    <w:p>
      <w:pPr>
        <w:pStyle w:val="ListParagraph"/>
        <w:numPr>
          <w:ilvl w:val="0"/>
          <w:numId w:val="2"/>
        </w:numPr>
        <w:spacing w:after="40"/>
        <w:ind w:left="892"/>
      </w:pPr>
      <w:r>
        <w:rPr>
          <w:sz w:val="21"/>
          <w:szCs w:val="21"/>
        </w:rPr>
        <w:t xml:space="preserve">Enter your question, or choose one of the available suggested prompts.</w:t>
      </w:r>
    </w:p>
    <w:p>
      <w:pPr>
        <w:pStyle w:val="ListParagraph"/>
        <w:numPr>
          <w:ilvl w:val="0"/>
          <w:numId w:val="2"/>
        </w:numPr>
        <w:spacing w:after="40"/>
        <w:ind w:left="892"/>
      </w:pPr>
      <w:r>
        <w:rPr>
          <w:sz w:val="21"/>
          <w:szCs w:val="21"/>
        </w:rPr>
        <w:t xml:space="preserve">Include the client, time period, status, or other criteria the question depends on.</w:t>
      </w:r>
    </w:p>
    <w:p>
      <w:pPr>
        <w:pStyle w:val="ListParagraph"/>
        <w:numPr>
          <w:ilvl w:val="0"/>
          <w:numId w:val="2"/>
        </w:numPr>
        <w:spacing w:after="40"/>
        <w:ind w:left="892"/>
      </w:pPr>
      <w:r>
        <w:rPr>
          <w:sz w:val="21"/>
          <w:szCs w:val="21"/>
        </w:rPr>
        <w:t xml:space="preserve">Review the Agent's response and any linked records or supporting information.</w:t>
      </w:r>
    </w:p>
    <w:p>
      <w:pPr>
        <w:pStyle w:val="ListParagraph"/>
        <w:numPr>
          <w:ilvl w:val="0"/>
          <w:numId w:val="2"/>
        </w:numPr>
        <w:spacing w:after="40"/>
        <w:ind w:left="892"/>
      </w:pPr>
      <w:r>
        <w:rPr>
          <w:sz w:val="21"/>
          <w:szCs w:val="21"/>
        </w:rPr>
        <w:t xml:space="preserve">If the result is too broad, ask a narrower follow-up question.</w:t>
      </w:r>
    </w:p>
    <w:p>
      <w:pPr>
        <w:pStyle w:val="ListParagraph"/>
        <w:numPr>
          <w:ilvl w:val="0"/>
          <w:numId w:val="2"/>
        </w:numPr>
        <w:spacing w:after="40"/>
        <w:ind w:left="892"/>
      </w:pPr>
      <w:r>
        <w:rPr>
          <w:sz w:val="21"/>
          <w:szCs w:val="21"/>
        </w:rPr>
        <w:t xml:space="preserve">If the Agent proposes a change, review the action before approving it.</w:t>
      </w:r>
    </w:p>
    <w:p>
      <w:pPr>
        <w:pStyle w:val="ListParagraph"/>
        <w:numPr>
          <w:ilvl w:val="0"/>
          <w:numId w:val="2"/>
        </w:numPr>
        <w:spacing w:after="40"/>
        <w:ind w:left="892"/>
      </w:pPr>
      <w:r>
        <w:rPr>
          <w:sz w:val="21"/>
          <w:szCs w:val="21"/>
        </w:rPr>
        <w:t xml:space="preserve">For example, instead of asking: "What needs attention?".</w:t>
      </w:r>
    </w:p>
    <w:p>
      <w:pPr>
        <w:pStyle w:val="ListParagraph"/>
        <w:numPr>
          <w:ilvl w:val="0"/>
          <w:numId w:val="2"/>
        </w:numPr>
        <w:spacing w:after="40"/>
        <w:ind w:left="892"/>
      </w:pPr>
      <w:r>
        <w:rPr>
          <w:sz w:val="21"/>
          <w:szCs w:val="21"/>
        </w:rPr>
        <w:t xml:space="preserve">ask: "Show my assigned engagements due in the next seven days that have overdue tasks or missing client documents.".</w:t>
      </w:r>
    </w:p>
    <w:p>
      <w:pPr>
        <w:pStyle w:val="ListParagraph"/>
        <w:numPr>
          <w:ilvl w:val="0"/>
          <w:numId w:val="2"/>
        </w:numPr>
        <w:spacing w:after="40"/>
        <w:ind w:left="892"/>
      </w:pPr>
      <w:r>
        <w:rPr>
          <w:sz w:val="21"/>
          <w:szCs w:val="21"/>
        </w:rPr>
        <w:t xml:space="preserve">For actions that can change firm or client data, AssurePro may request confirmation before proceeding. If Auto-approve low-risk actions is enabled for the firm user, supported low-risk actions may proceed without a separate confirmation each time.</w:t>
      </w:r>
    </w:p>
    <w:p>
      <w:pPr>
        <w:pStyle w:val="ListParagraph"/>
        <w:numPr>
          <w:ilvl w:val="0"/>
          <w:numId w:val="2"/>
        </w:numPr>
        <w:spacing w:after="40"/>
        <w:ind w:left="892"/>
      </w:pPr>
      <w:r>
        <w:rPr>
          <w:sz w:val="21"/>
          <w:szCs w:val="21"/>
        </w:rPr>
        <w:t xml:space="preserve">Even when an action is proposed by the Agent, firm users should verify important details such as client, recipient, amount, date, engagement, and message content before allowing a change.</w:t>
      </w:r>
    </w:p>
    <w:p>
      <w:pPr>
        <w:pStyle w:val="ListParagraph"/>
        <w:numPr>
          <w:ilvl w:val="0"/>
          <w:numId w:val="2"/>
        </w:numPr>
        <w:spacing w:after="40"/>
        <w:ind w:left="892"/>
      </w:pPr>
      <w:r>
        <w:rPr>
          <w:sz w:val="21"/>
          <w:szCs w:val="21"/>
        </w:rPr>
        <w:t xml:space="preserve">If you only want assistance preparing content, make that clear in the prompt—for example, "Draft the message, but do not send it."</w:t>
      </w:r>
    </w:p>
    <w:p>
      <w:pPr>
        <w:spacing w:after="40" w:before="70"/>
        <w:ind w:left="403"/>
      </w:pPr>
      <w:r>
        <w:rPr>
          <w:color w:val="8B8FA3"/>
          <w:sz w:val="17"/>
          <w:szCs w:val="17"/>
        </w:rPr>
        <w:t xml:space="preserve">Ref: pro-how-do-i-ask-the-ai-agent-for-help-147</w:t>
      </w:r>
    </w:p>
    <w:p>
      <w:pPr>
        <w:keepNext/>
        <w:spacing w:after="90" w:before="220"/>
      </w:pPr>
      <w:r>
        <w:rPr>
          <w:b/>
          <w:bCs/>
          <w:color w:val="1A1C2E"/>
          <w:sz w:val="24"/>
          <w:szCs w:val="24"/>
        </w:rPr>
        <w:t xml:space="preserve">3.   How are AI Agent conversations managed?</w:t>
      </w:r>
    </w:p>
    <w:p>
      <w:pPr>
        <w:spacing w:after="90"/>
        <w:ind w:left="403"/>
      </w:pPr>
      <w:r>
        <w:rPr>
          <w:sz w:val="22"/>
          <w:szCs w:val="22"/>
        </w:rPr>
        <w:t xml:space="preserve">The AI Agent keeps each chat as a separate conversation so firm users can maintain different questions, clients, or work contexts independently.</w:t>
      </w:r>
    </w:p>
    <w:p>
      <w:pPr>
        <w:spacing w:after="90"/>
        <w:ind w:left="403"/>
      </w:pPr>
      <w:r>
        <w:rPr>
          <w:b/>
          <w:bCs/>
          <w:color w:val="4735BE"/>
          <w:sz w:val="18"/>
          <w:szCs w:val="18"/>
        </w:rPr>
        <w:t xml:space="preserve">More   </w:t>
      </w:r>
      <w:r>
        <w:rPr>
          <w:sz w:val="22"/>
          <w:szCs w:val="22"/>
        </w:rPr>
        <w:t xml:space="preserve">Firm users can start a New chat, reopen a previous conversation from history, rename a conversation, or delete a conversation that is no longer required.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w:t>
      </w:r>
    </w:p>
    <w:p>
      <w:pPr>
        <w:pStyle w:val="ListParagraph"/>
        <w:numPr>
          <w:ilvl w:val="0"/>
          <w:numId w:val="2"/>
        </w:numPr>
        <w:spacing w:after="40"/>
        <w:ind w:left="892"/>
      </w:pPr>
      <w:r>
        <w:rPr>
          <w:sz w:val="21"/>
          <w:szCs w:val="21"/>
        </w:rPr>
        <w:t xml:space="preserve">Select New chat when starting a different question, client, or work context.</w:t>
      </w:r>
    </w:p>
    <w:p>
      <w:pPr>
        <w:pStyle w:val="ListParagraph"/>
        <w:numPr>
          <w:ilvl w:val="0"/>
          <w:numId w:val="2"/>
        </w:numPr>
        <w:spacing w:after="40"/>
        <w:ind w:left="892"/>
      </w:pPr>
      <w:r>
        <w:rPr>
          <w:sz w:val="21"/>
          <w:szCs w:val="21"/>
        </w:rPr>
        <w:t xml:space="preserve">Enter your request and review the Agent's response, links, sources, and any proposed action.</w:t>
      </w:r>
    </w:p>
    <w:p>
      <w:pPr>
        <w:pStyle w:val="ListParagraph"/>
        <w:numPr>
          <w:ilvl w:val="0"/>
          <w:numId w:val="2"/>
        </w:numPr>
        <w:spacing w:after="40"/>
        <w:ind w:left="892"/>
      </w:pPr>
      <w:r>
        <w:rPr>
          <w:sz w:val="21"/>
          <w:szCs w:val="21"/>
        </w:rPr>
        <w:t xml:space="preserve">Use the conversation history to reopen an earlier chat when you need to continue the same context.</w:t>
      </w:r>
    </w:p>
    <w:p>
      <w:pPr>
        <w:pStyle w:val="ListParagraph"/>
        <w:numPr>
          <w:ilvl w:val="0"/>
          <w:numId w:val="2"/>
        </w:numPr>
        <w:spacing w:after="40"/>
        <w:ind w:left="892"/>
      </w:pPr>
      <w:r>
        <w:rPr>
          <w:sz w:val="21"/>
          <w:szCs w:val="21"/>
        </w:rPr>
        <w:t xml:space="preserve">Rename important conversations so their purpose is easy to recognize later.</w:t>
      </w:r>
    </w:p>
    <w:p>
      <w:pPr>
        <w:pStyle w:val="ListParagraph"/>
        <w:numPr>
          <w:ilvl w:val="0"/>
          <w:numId w:val="2"/>
        </w:numPr>
        <w:spacing w:after="40"/>
        <w:ind w:left="892"/>
      </w:pPr>
      <w:r>
        <w:rPr>
          <w:sz w:val="21"/>
          <w:szCs w:val="21"/>
        </w:rPr>
        <w:t xml:space="preserve">Delete a conversation when it is no longer needed, subject to your firm's information-retention requirements.</w:t>
      </w:r>
    </w:p>
    <w:p>
      <w:pPr>
        <w:pStyle w:val="ListParagraph"/>
        <w:numPr>
          <w:ilvl w:val="0"/>
          <w:numId w:val="2"/>
        </w:numPr>
        <w:spacing w:after="40"/>
        <w:ind w:left="892"/>
      </w:pPr>
      <w:r>
        <w:rPr>
          <w:sz w:val="21"/>
          <w:szCs w:val="21"/>
        </w:rPr>
        <w:t xml:space="preserve">For example, a manager may keep separate conversations for Tax Deadline Review, Overdue Billing Follow-up, and Client ABC Engagement Summary instead of mixing unrelated requests in one chat.</w:t>
      </w:r>
    </w:p>
    <w:p>
      <w:pPr>
        <w:pStyle w:val="ListParagraph"/>
        <w:numPr>
          <w:ilvl w:val="0"/>
          <w:numId w:val="2"/>
        </w:numPr>
        <w:spacing w:after="40"/>
        <w:ind w:left="892"/>
      </w:pPr>
      <w:r>
        <w:rPr>
          <w:sz w:val="21"/>
          <w:szCs w:val="21"/>
        </w:rPr>
        <w:t xml:space="preserve">Using separate conversations for different clients or management questions helps keep the Agent's context clear and makes prior work easier to find later.</w:t>
      </w:r>
    </w:p>
    <w:p>
      <w:pPr>
        <w:spacing w:after="40" w:before="70"/>
        <w:ind w:left="403"/>
      </w:pPr>
      <w:r>
        <w:rPr>
          <w:color w:val="8B8FA3"/>
          <w:sz w:val="17"/>
          <w:szCs w:val="17"/>
        </w:rPr>
        <w:t xml:space="preserve">Ref: pro-how-are-ai-agent-conversations-managed-148</w:t>
      </w:r>
    </w:p>
    <w:p>
      <w:pPr>
        <w:keepNext/>
        <w:spacing w:after="90" w:before="220"/>
      </w:pPr>
      <w:r>
        <w:rPr>
          <w:b/>
          <w:bCs/>
          <w:color w:val="1A1C2E"/>
          <w:sz w:val="24"/>
          <w:szCs w:val="24"/>
        </w:rPr>
        <w:t xml:space="preserve">4.   What is AI Agent memory and how can I control it?</w:t>
      </w:r>
    </w:p>
    <w:p>
      <w:pPr>
        <w:spacing w:after="90"/>
        <w:ind w:left="403"/>
      </w:pPr>
      <w:r>
        <w:rPr>
          <w:sz w:val="22"/>
          <w:szCs w:val="22"/>
        </w:rPr>
        <w:t xml:space="preserve">AI Agent memory is the information the Agent retains for the signed-in firm user so it can use relevant context in future conversations.</w:t>
      </w:r>
    </w:p>
    <w:p>
      <w:pPr>
        <w:spacing w:after="90"/>
        <w:ind w:left="403"/>
      </w:pPr>
      <w:r>
        <w:rPr>
          <w:b/>
          <w:bCs/>
          <w:color w:val="4735BE"/>
          <w:sz w:val="18"/>
          <w:szCs w:val="18"/>
        </w:rPr>
        <w:t xml:space="preserve">More   </w:t>
      </w:r>
      <w:r>
        <w:rPr>
          <w:sz w:val="22"/>
          <w:szCs w:val="22"/>
        </w:rPr>
        <w:t xml:space="preserve">Each firm user can control whether memory is enabled and can review or remove saved items.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 &gt; Memory.</w:t>
      </w:r>
    </w:p>
    <w:p>
      <w:pPr>
        <w:pStyle w:val="ListParagraph"/>
        <w:numPr>
          <w:ilvl w:val="0"/>
          <w:numId w:val="2"/>
        </w:numPr>
        <w:spacing w:after="40"/>
        <w:ind w:left="892"/>
      </w:pPr>
      <w:r>
        <w:rPr>
          <w:sz w:val="21"/>
          <w:szCs w:val="21"/>
        </w:rPr>
        <w:t xml:space="preserve">Turn memory On when you want the Agent to retain useful context for future conversations.</w:t>
      </w:r>
    </w:p>
    <w:p>
      <w:pPr>
        <w:pStyle w:val="ListParagraph"/>
        <w:numPr>
          <w:ilvl w:val="0"/>
          <w:numId w:val="2"/>
        </w:numPr>
        <w:spacing w:after="40"/>
        <w:ind w:left="892"/>
      </w:pPr>
      <w:r>
        <w:rPr>
          <w:sz w:val="21"/>
          <w:szCs w:val="21"/>
        </w:rPr>
        <w:t xml:space="preserve">Turn memory Off when you do not want new context retained beyond the current session.</w:t>
      </w:r>
    </w:p>
    <w:p>
      <w:pPr>
        <w:pStyle w:val="ListParagraph"/>
        <w:numPr>
          <w:ilvl w:val="0"/>
          <w:numId w:val="2"/>
        </w:numPr>
        <w:spacing w:after="40"/>
        <w:ind w:left="892"/>
      </w:pPr>
      <w:r>
        <w:rPr>
          <w:sz w:val="21"/>
          <w:szCs w:val="21"/>
        </w:rPr>
        <w:t xml:space="preserve">Select Refresh to review the latest saved memory items.</w:t>
      </w:r>
    </w:p>
    <w:p>
      <w:pPr>
        <w:pStyle w:val="ListParagraph"/>
        <w:numPr>
          <w:ilvl w:val="0"/>
          <w:numId w:val="2"/>
        </w:numPr>
        <w:spacing w:after="40"/>
        <w:ind w:left="892"/>
      </w:pPr>
      <w:r>
        <w:rPr>
          <w:sz w:val="21"/>
          <w:szCs w:val="21"/>
        </w:rPr>
        <w:t xml:space="preserve">Use Forget this to remove an individual saved item that should no longer influence future conversations.</w:t>
      </w:r>
    </w:p>
    <w:p>
      <w:pPr>
        <w:pStyle w:val="ListParagraph"/>
        <w:numPr>
          <w:ilvl w:val="0"/>
          <w:numId w:val="2"/>
        </w:numPr>
        <w:spacing w:after="40"/>
        <w:ind w:left="892"/>
      </w:pPr>
      <w:r>
        <w:rPr>
          <w:sz w:val="21"/>
          <w:szCs w:val="21"/>
        </w:rPr>
        <w:t xml:space="preserve">Use Clear all memory to remove all saved memory for your user account.</w:t>
      </w:r>
    </w:p>
    <w:p>
      <w:pPr>
        <w:pStyle w:val="ListParagraph"/>
        <w:numPr>
          <w:ilvl w:val="0"/>
          <w:numId w:val="2"/>
        </w:numPr>
        <w:spacing w:after="40"/>
        <w:ind w:left="892"/>
      </w:pPr>
      <w:r>
        <w:rPr>
          <w:sz w:val="21"/>
          <w:szCs w:val="21"/>
        </w:rPr>
        <w:t xml:space="preserve">Review saved memory periodically and remove information that is outdated or no longer useful.</w:t>
      </w:r>
    </w:p>
    <w:p>
      <w:pPr>
        <w:pStyle w:val="ListParagraph"/>
        <w:numPr>
          <w:ilvl w:val="0"/>
          <w:numId w:val="2"/>
        </w:numPr>
        <w:spacing w:after="40"/>
        <w:ind w:left="892"/>
      </w:pPr>
      <w:r>
        <w:rPr>
          <w:sz w:val="21"/>
          <w:szCs w:val="21"/>
        </w:rPr>
        <w:t xml:space="preserve">Memory is specific to the firm user's AI experience; it should not be treated as a replacement for the official client, engagement, document, billing, or communication records maintained in AssurePro.</w:t>
      </w:r>
    </w:p>
    <w:p>
      <w:pPr>
        <w:spacing w:after="40" w:before="70"/>
        <w:ind w:left="403"/>
      </w:pPr>
      <w:r>
        <w:rPr>
          <w:color w:val="8B8FA3"/>
          <w:sz w:val="17"/>
          <w:szCs w:val="17"/>
        </w:rPr>
        <w:t xml:space="preserve">Ref: pro-what-is-ai-agent-memory-and-how-can-i-control-it-149</w:t>
      </w:r>
    </w:p>
    <w:p>
      <w:pPr>
        <w:keepNext/>
        <w:spacing w:after="90" w:before="220"/>
      </w:pPr>
      <w:r>
        <w:rPr>
          <w:b/>
          <w:bCs/>
          <w:color w:val="1A1C2E"/>
          <w:sz w:val="24"/>
          <w:szCs w:val="24"/>
        </w:rPr>
        <w:t xml:space="preserve">5.   What does Auto-approve low-risk actions do?</w:t>
      </w:r>
    </w:p>
    <w:p>
      <w:pPr>
        <w:spacing w:after="90"/>
        <w:ind w:left="403"/>
      </w:pPr>
      <w:r>
        <w:rPr>
          <w:sz w:val="22"/>
          <w:szCs w:val="22"/>
        </w:rPr>
        <w:t xml:space="preserve">Auto-approve low-risk actions allows the AI Agent to complete supported actions it classifies as low risk without asking the firm user to approve each action individually.</w:t>
      </w:r>
    </w:p>
    <w:p>
      <w:pPr>
        <w:spacing w:after="90"/>
        <w:ind w:left="403"/>
      </w:pPr>
      <w:r>
        <w:rPr>
          <w:b/>
          <w:bCs/>
          <w:color w:val="4735BE"/>
          <w:sz w:val="18"/>
          <w:szCs w:val="18"/>
        </w:rPr>
        <w:t xml:space="preserve">More   </w:t>
      </w:r>
      <w:r>
        <w:rPr>
          <w:sz w:val="22"/>
          <w:szCs w:val="22"/>
        </w:rPr>
        <w:t xml:space="preserve">When the setting is off, the firm user reviews each proposed change before it is completed. When the setting is on, eligible low-risk actions may proceed automatically, while actions with greater impact still require confirmation. Because the actions classified as low risk may evolve as AI Agent capabilities change, firm users should understand the available behavior and follow the firm's AI and approval policies before enabling this setting.</w:t>
      </w:r>
    </w:p>
    <w:p>
      <w:pPr>
        <w:spacing w:after="90"/>
        <w:ind w:left="403"/>
      </w:pPr>
      <w:r>
        <w:rPr>
          <w:b/>
          <w:bCs/>
          <w:color w:val="4735BE"/>
          <w:sz w:val="18"/>
          <w:szCs w:val="18"/>
        </w:rPr>
        <w:t xml:space="preserve">More   </w:t>
      </w:r>
      <w:r>
        <w:rPr>
          <w:sz w:val="22"/>
          <w:szCs w:val="22"/>
        </w:rPr>
        <w:t xml:space="preserve">Leave Auto-approve low-risk actions off when the user should review every proposed change, when the firm requires individual approval for AI-assisted actions, or when the user is still becoming familiar with AI Agent behavior. Enable it only when the firm is comfortable allowing the Agent to complete supported low-risk actions without an additional approval step.</w:t>
      </w:r>
    </w:p>
    <w:p>
      <w:pPr>
        <w:spacing w:after="90"/>
        <w:ind w:left="403"/>
      </w:pPr>
      <w:r>
        <w:rPr>
          <w:b/>
          <w:bCs/>
          <w:color w:val="4735BE"/>
          <w:sz w:val="18"/>
          <w:szCs w:val="18"/>
        </w:rPr>
        <w:t xml:space="preserve">More   </w:t>
      </w:r>
      <w:r>
        <w:rPr>
          <w:sz w:val="22"/>
          <w:szCs w:val="22"/>
        </w:rPr>
        <w:t xml:space="preserve">Note: auto-approval of low-risk actions does not authorize higher-impact actions — those actions continue to require confirmation where AssurePro requires it.</w:t>
      </w:r>
    </w:p>
    <w:p>
      <w:pPr>
        <w:spacing w:after="40" w:before="70"/>
        <w:ind w:left="403"/>
      </w:pPr>
      <w:r>
        <w:rPr>
          <w:color w:val="8B8FA3"/>
          <w:sz w:val="17"/>
          <w:szCs w:val="17"/>
        </w:rPr>
        <w:t xml:space="preserve">Ref: pro-what-does-auto-approve-low-risk-actions-do-150</w:t>
      </w:r>
    </w:p>
    <w:p>
      <w:pPr>
        <w:keepNext/>
        <w:spacing w:after="90" w:before="220"/>
      </w:pPr>
      <w:r>
        <w:rPr>
          <w:b/>
          <w:bCs/>
          <w:color w:val="1A1C2E"/>
          <w:sz w:val="24"/>
          <w:szCs w:val="24"/>
        </w:rPr>
        <w:t xml:space="preserve">6.   What is the AI-generated daily briefing?</w:t>
      </w:r>
    </w:p>
    <w:p>
      <w:pPr>
        <w:spacing w:after="90"/>
        <w:ind w:left="403"/>
      </w:pPr>
      <w:r>
        <w:rPr>
          <w:sz w:val="22"/>
          <w:szCs w:val="22"/>
        </w:rPr>
        <w:t xml:space="preserve">The AI-generated Daily briefing summarizes recent firm activity and highlights items that may need attention, using the firm's current AssurePro data for the selected period rather than a fixed set of sample metrics.</w:t>
      </w:r>
    </w:p>
    <w:p>
      <w:pPr>
        <w:spacing w:after="90"/>
        <w:ind w:left="403"/>
      </w:pPr>
      <w:r>
        <w:rPr>
          <w:b/>
          <w:bCs/>
          <w:color w:val="4735BE"/>
          <w:sz w:val="18"/>
          <w:szCs w:val="18"/>
        </w:rPr>
        <w:t xml:space="preserve">More   </w:t>
      </w:r>
      <w:r>
        <w:rPr>
          <w:sz w:val="22"/>
          <w:szCs w:val="22"/>
        </w:rPr>
        <w:t xml:space="preserve">Depending on recent activity, it may summarize overdue invoices, payments received, completed tasks, workflow-stage changes, engagements requiring attention, document uploads, client messages, or newly added clients.</w:t>
      </w:r>
    </w:p>
    <w:p>
      <w:pPr>
        <w:spacing w:after="90"/>
        <w:ind w:left="403"/>
      </w:pPr>
      <w:r>
        <w:rPr>
          <w:b/>
          <w:bCs/>
          <w:color w:val="4735BE"/>
          <w:sz w:val="18"/>
          <w:szCs w:val="18"/>
        </w:rPr>
        <w:t xml:space="preserve">More   </w:t>
      </w:r>
      <w:r>
        <w:rPr>
          <w:sz w:val="22"/>
          <w:szCs w:val="22"/>
        </w:rPr>
        <w:t xml:space="preserve">For example, if the briefing reports four overdue invoices, a manager can select the related source records, review which clients and balances are affected, open Billing to confirm invoice status and due dates, and check whether payment or follow-up has already occurred.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Overview and choose Today, This week, or This month to set the period the briefing covers.</w:t>
      </w:r>
    </w:p>
    <w:p>
      <w:pPr>
        <w:pStyle w:val="ListParagraph"/>
        <w:numPr>
          <w:ilvl w:val="0"/>
          <w:numId w:val="2"/>
        </w:numPr>
        <w:spacing w:after="40"/>
        <w:ind w:left="892"/>
      </w:pPr>
      <w:r>
        <w:rPr>
          <w:sz w:val="21"/>
          <w:szCs w:val="21"/>
        </w:rPr>
        <w:t xml:space="preserve">Review each insight for its activity, count, and potential impact.</w:t>
      </w:r>
    </w:p>
    <w:p>
      <w:pPr>
        <w:pStyle w:val="ListParagraph"/>
        <w:numPr>
          <w:ilvl w:val="0"/>
          <w:numId w:val="2"/>
        </w:numPr>
        <w:spacing w:after="40"/>
        <w:ind w:left="892"/>
      </w:pPr>
      <w:r>
        <w:rPr>
          <w:sz w:val="21"/>
          <w:szCs w:val="21"/>
        </w:rPr>
        <w:t xml:space="preserve">Select View sources to review the records behind an insight, or use the available Next actions to open the relevant area of AssurePro.</w:t>
      </w:r>
    </w:p>
    <w:p>
      <w:pPr>
        <w:pStyle w:val="ListParagraph"/>
        <w:numPr>
          <w:ilvl w:val="0"/>
          <w:numId w:val="2"/>
        </w:numPr>
        <w:spacing w:after="40"/>
        <w:ind w:left="892"/>
      </w:pPr>
      <w:r>
        <w:rPr>
          <w:sz w:val="21"/>
          <w:szCs w:val="21"/>
        </w:rPr>
        <w:t xml:space="preserve">Use the connected Overview tiles for further follow-up — Billing for invoices, Clients for client records, Engagements or Bottlenecks for Workflow, Team load for capacity, Documents for document work, Communications for client follow-up.</w:t>
      </w:r>
    </w:p>
    <w:p>
      <w:pPr>
        <w:pStyle w:val="ListParagraph"/>
        <w:numPr>
          <w:ilvl w:val="0"/>
          <w:numId w:val="2"/>
        </w:numPr>
        <w:spacing w:after="40"/>
        <w:ind w:left="892"/>
      </w:pPr>
      <w:r>
        <w:rPr>
          <w:sz w:val="21"/>
          <w:szCs w:val="21"/>
        </w:rPr>
        <w:t xml:space="preserve">Select Re-Generate when the underlying activity has changed and a fresh briefing is needed.</w:t>
      </w:r>
    </w:p>
    <w:p>
      <w:pPr>
        <w:spacing w:after="40" w:before="70"/>
        <w:ind w:left="403"/>
      </w:pPr>
      <w:r>
        <w:rPr>
          <w:color w:val="8B8FA3"/>
          <w:sz w:val="17"/>
          <w:szCs w:val="17"/>
        </w:rPr>
        <w:t xml:space="preserve">Ref: pro-what-is-the-ai-generated-daily-briefing-151</w:t>
      </w:r>
    </w:p>
    <w:p>
      <w:pPr>
        <w:keepNext/>
        <w:spacing w:after="90" w:before="220"/>
      </w:pPr>
      <w:r>
        <w:rPr>
          <w:b/>
          <w:bCs/>
          <w:color w:val="1A1C2E"/>
          <w:sz w:val="24"/>
          <w:szCs w:val="24"/>
        </w:rPr>
        <w:t xml:space="preserve">7.   What use is tracked in AI Credits?</w:t>
      </w:r>
    </w:p>
    <w:p>
      <w:pPr>
        <w:spacing w:after="90"/>
        <w:ind w:left="403"/>
      </w:pPr>
      <w:r>
        <w:rPr>
          <w:sz w:val="22"/>
          <w:szCs w:val="22"/>
        </w:rPr>
        <w:t xml:space="preserve">AI Credits track usage of AI-powered features across AssureOne so the firm can see where credits are being consumed.</w:t>
      </w:r>
    </w:p>
    <w:p>
      <w:pPr>
        <w:spacing w:after="90"/>
        <w:ind w:left="403"/>
      </w:pPr>
      <w:r>
        <w:rPr>
          <w:b/>
          <w:bCs/>
          <w:color w:val="4735BE"/>
          <w:sz w:val="18"/>
          <w:szCs w:val="18"/>
        </w:rPr>
        <w:t xml:space="preserve">More   </w:t>
      </w:r>
      <w:r>
        <w:rPr>
          <w:sz w:val="22"/>
          <w:szCs w:val="22"/>
        </w:rPr>
        <w:t xml:space="preserve">Credits may be used by AI Agent interactions, summaries, draft generation, call transcription, document reading and extraction, and product-specific AI assistance in AssurePro, AssureTax, AssureAudit, or AssureBooks. The AI Credits page shows both the remaining balance and detailed usage activity — activity, feature, firm user, product, date, and credits consumed for each entry — so administrators can identify what is driving consumption. Invoices or receipts for purchased credits are available under Settings &gt; Platform Subscription.</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AI Credits and review Available credits and usage for the last 30 days.</w:t>
      </w:r>
    </w:p>
    <w:p>
      <w:pPr>
        <w:pStyle w:val="ListParagraph"/>
        <w:numPr>
          <w:ilvl w:val="0"/>
          <w:numId w:val="2"/>
        </w:numPr>
        <w:spacing w:after="40"/>
        <w:ind w:left="892"/>
      </w:pPr>
      <w:r>
        <w:rPr>
          <w:sz w:val="21"/>
          <w:szCs w:val="21"/>
        </w:rPr>
        <w:t xml:space="preserve">Filter by product — All products, Pro, Tax, Audit, or Books — and by All team members or an individual firm user.</w:t>
      </w:r>
    </w:p>
    <w:p>
      <w:pPr>
        <w:pStyle w:val="ListParagraph"/>
        <w:numPr>
          <w:ilvl w:val="0"/>
          <w:numId w:val="2"/>
        </w:numPr>
        <w:spacing w:after="40"/>
        <w:ind w:left="892"/>
      </w:pPr>
      <w:r>
        <w:rPr>
          <w:sz w:val="21"/>
          <w:szCs w:val="21"/>
        </w:rPr>
        <w:t xml:space="preserve">Review each usage entry's activity, feature, firm user, product, date, and credits consumed; use About when more context is available.</w:t>
      </w:r>
    </w:p>
    <w:p>
      <w:pPr>
        <w:spacing w:after="40" w:before="70"/>
        <w:ind w:left="403"/>
      </w:pPr>
      <w:r>
        <w:rPr>
          <w:color w:val="8B8FA3"/>
          <w:sz w:val="17"/>
          <w:szCs w:val="17"/>
        </w:rPr>
        <w:t xml:space="preserve">Ref: pro-what-use-is-tracked-in-ai-credits-152</w:t>
      </w:r>
    </w:p>
    <w:p>
      <w:pPr>
        <w:keepNext/>
        <w:spacing w:after="90" w:before="220"/>
      </w:pPr>
      <w:r>
        <w:rPr>
          <w:b/>
          <w:bCs/>
          <w:color w:val="1A1C2E"/>
          <w:sz w:val="24"/>
          <w:szCs w:val="24"/>
        </w:rPr>
        <w:t xml:space="preserve">8.   How much do AI Credits cost, and how are more credits purchased?</w:t>
      </w:r>
    </w:p>
    <w:p>
      <w:pPr>
        <w:spacing w:after="90"/>
        <w:ind w:left="403"/>
      </w:pPr>
      <w:r>
        <w:rPr>
          <w:sz w:val="22"/>
          <w:szCs w:val="22"/>
        </w:rPr>
        <w:t xml:space="preserve">Firm administrators can purchase additional AI Credits from Settings &gt; AI Credits when the available balance needs topping up.</w:t>
      </w:r>
    </w:p>
    <w:p>
      <w:pPr>
        <w:spacing w:after="90"/>
        <w:ind w:left="403"/>
      </w:pPr>
      <w:r>
        <w:rPr>
          <w:b/>
          <w:bCs/>
          <w:color w:val="4735BE"/>
          <w:sz w:val="18"/>
          <w:szCs w:val="18"/>
        </w:rPr>
        <w:t xml:space="preserve">More   </w:t>
      </w:r>
      <w:r>
        <w:rPr>
          <w:sz w:val="22"/>
          <w:szCs w:val="22"/>
        </w:rPr>
        <w:t xml:space="preserve">The purchase screen currently offers $25 for 2,500 credits, $50 for 5,000 credits, $100 for 10,000 credits, or a custom amount. Credits are billed at the underlying AI usage cost without a markup, and the firm decides when to buy more. Payment is handled through the payment experience secured by Stripe, and the related invoice or receipt is available under Settings &gt; Platform Subscription.</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AI Credits and review the current balance and recent usage.</w:t>
      </w:r>
    </w:p>
    <w:p>
      <w:pPr>
        <w:pStyle w:val="ListParagraph"/>
        <w:numPr>
          <w:ilvl w:val="0"/>
          <w:numId w:val="2"/>
        </w:numPr>
        <w:spacing w:after="40"/>
        <w:ind w:left="892"/>
      </w:pPr>
      <w:r>
        <w:rPr>
          <w:sz w:val="21"/>
          <w:szCs w:val="21"/>
        </w:rPr>
        <w:t xml:space="preserve">Select Buy credits, choose a predefined pack or enter a custom amount, and review the purchase amount, credits added, and payment method.</w:t>
      </w:r>
    </w:p>
    <w:p>
      <w:pPr>
        <w:pStyle w:val="ListParagraph"/>
        <w:numPr>
          <w:ilvl w:val="0"/>
          <w:numId w:val="2"/>
        </w:numPr>
        <w:spacing w:after="40"/>
        <w:ind w:left="892"/>
      </w:pPr>
      <w:r>
        <w:rPr>
          <w:sz w:val="21"/>
          <w:szCs w:val="21"/>
        </w:rPr>
        <w:t xml:space="preserve">Confirm the purchase; the additional credits are added to the firm's balance.</w:t>
      </w:r>
    </w:p>
    <w:p>
      <w:pPr>
        <w:spacing w:after="40" w:before="70"/>
        <w:ind w:left="403"/>
      </w:pPr>
      <w:r>
        <w:rPr>
          <w:color w:val="8B8FA3"/>
          <w:sz w:val="17"/>
          <w:szCs w:val="17"/>
        </w:rPr>
        <w:t xml:space="preserve">Ref: pro-how-much-do-ai-credits-cost-and-how-are-more-credits-purchased-153</w:t>
      </w:r>
    </w:p>
    <w:p>
      <w:pPr>
        <w:keepNext/>
        <w:spacing w:after="90" w:before="220"/>
      </w:pPr>
      <w:r>
        <w:rPr>
          <w:b/>
          <w:bCs/>
          <w:color w:val="1A1C2E"/>
          <w:sz w:val="24"/>
          <w:szCs w:val="24"/>
        </w:rPr>
        <w:t xml:space="preserve">9.   Are AI Credits replenished automatically or included as a monthly allowance?</w:t>
      </w:r>
    </w:p>
    <w:p>
      <w:pPr>
        <w:spacing w:after="90"/>
        <w:ind w:left="403"/>
      </w:pPr>
      <w:r>
        <w:rPr>
          <w:sz w:val="22"/>
          <w:szCs w:val="22"/>
        </w:rPr>
        <w:t xml:space="preserve">No. AI Credits are not automatically added back, and they do not reset to a set amount each month.</w:t>
      </w:r>
    </w:p>
    <w:p>
      <w:pPr>
        <w:spacing w:after="90"/>
        <w:ind w:left="403"/>
      </w:pPr>
      <w:r>
        <w:rPr>
          <w:b/>
          <w:bCs/>
          <w:color w:val="4735BE"/>
          <w:sz w:val="18"/>
          <w:szCs w:val="18"/>
        </w:rPr>
        <w:t xml:space="preserve">More   </w:t>
      </w:r>
      <w:r>
        <w:rPr>
          <w:sz w:val="22"/>
          <w:szCs w:val="22"/>
        </w:rPr>
        <w:t xml:space="preserve">Your firm controls when additional credits are purchased. AssurePro does not automatically charge the firm's payment method when the balance becomes low or reaches zero. Firm administrators can monitor the remaining credit balance, review recent AI usage, and purchase a predefined credit pack or a custom top-up amount.</w:t>
      </w:r>
    </w:p>
    <w:p>
      <w:pPr>
        <w:spacing w:after="90"/>
        <w:ind w:left="403"/>
      </w:pPr>
      <w:r>
        <w:rPr>
          <w:b/>
          <w:bCs/>
          <w:color w:val="4735BE"/>
          <w:sz w:val="18"/>
          <w:szCs w:val="18"/>
        </w:rPr>
        <w:t xml:space="preserve">More   </w:t>
      </w:r>
      <w:r>
        <w:rPr>
          <w:sz w:val="22"/>
          <w:szCs w:val="22"/>
        </w:rPr>
        <w:t xml:space="preserve">As a planning reference, a firm with approximately five to ten users using AssurePro together with one additional AssureOne product may use around $50 of AI Credits per month under typical usage. Actual consumption can vary based on factors such as document volume, AI Agent usage, summarization, drafting, extraction, transcription, and other AI-powered activity.</w:t>
      </w:r>
    </w:p>
    <w:p>
      <w:pPr>
        <w:spacing w:after="90"/>
        <w:ind w:left="403"/>
      </w:pPr>
      <w:r>
        <w:rPr>
          <w:b/>
          <w:bCs/>
          <w:color w:val="4735BE"/>
          <w:sz w:val="18"/>
          <w:szCs w:val="18"/>
        </w:rPr>
        <w:t xml:space="preserve">More   </w:t>
      </w:r>
      <w:r>
        <w:rPr>
          <w:sz w:val="22"/>
          <w:szCs w:val="22"/>
        </w:rPr>
        <w:t xml:space="preserve">Use the firm's actual usage history in Settings &gt; AI Credits as the primary basis for future credit planning.</w:t>
      </w:r>
    </w:p>
    <w:p>
      <w:pPr>
        <w:spacing w:after="40" w:before="70"/>
        <w:ind w:left="403"/>
      </w:pPr>
      <w:r>
        <w:rPr>
          <w:color w:val="8B8FA3"/>
          <w:sz w:val="17"/>
          <w:szCs w:val="17"/>
        </w:rPr>
        <w:t xml:space="preserve">Ref: pro-are-ai-credits-replenished-automatically-or-included-as-a-monthly-allo-154</w:t>
      </w:r>
    </w:p>
    <w:p>
      <w:pPr>
        <w:keepNext/>
        <w:spacing w:after="90" w:before="220"/>
      </w:pPr>
      <w:r>
        <w:rPr>
          <w:b/>
          <w:bCs/>
          <w:color w:val="1A1C2E"/>
          <w:sz w:val="24"/>
          <w:szCs w:val="24"/>
        </w:rPr>
        <w:t xml:space="preserve">10.   What happens when the firm runs out of AI Credits?</w:t>
      </w:r>
    </w:p>
    <w:p>
      <w:pPr>
        <w:spacing w:after="90"/>
        <w:ind w:left="403"/>
      </w:pPr>
      <w:r>
        <w:rPr>
          <w:sz w:val="22"/>
          <w:szCs w:val="22"/>
        </w:rPr>
        <w:t xml:space="preserve">The firm's remaining AI Credit balance is visible in the application header and under Settings &gt; AI Credits. When the balance reaches zero, features that require AI Credits pause until more are purchased — AssurePro does not automatically charge the firm's card or replenish the balance.</w:t>
      </w:r>
    </w:p>
    <w:p>
      <w:pPr>
        <w:spacing w:after="90"/>
        <w:ind w:left="403"/>
      </w:pPr>
      <w:r>
        <w:rPr>
          <w:b/>
          <w:bCs/>
          <w:color w:val="4735BE"/>
          <w:sz w:val="18"/>
          <w:szCs w:val="18"/>
        </w:rPr>
        <w:t xml:space="preserve">More   </w:t>
      </w:r>
      <w:r>
        <w:rPr>
          <w:sz w:val="22"/>
          <w:szCs w:val="22"/>
        </w:rPr>
        <w:t xml:space="preserve">For example, if the balance reaches zero during document extraction, drafting, or summarization, add credits first and then restart the action rather than assuming the original request completed. To reduce interruptions, monitor both Available credits and last-30-days usage so credits can be purchased before the balance runs out.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AI Credits and review the current balance and recent usage.</w:t>
      </w:r>
    </w:p>
    <w:p>
      <w:pPr>
        <w:pStyle w:val="ListParagraph"/>
        <w:numPr>
          <w:ilvl w:val="0"/>
          <w:numId w:val="2"/>
        </w:numPr>
        <w:spacing w:after="40"/>
        <w:ind w:left="892"/>
      </w:pPr>
      <w:r>
        <w:rPr>
          <w:sz w:val="21"/>
          <w:szCs w:val="21"/>
        </w:rPr>
        <w:t xml:space="preserve">Select Buy credits, choose a pack or enter a custom amount, and complete the purchase.</w:t>
      </w:r>
    </w:p>
    <w:p>
      <w:pPr>
        <w:pStyle w:val="ListParagraph"/>
        <w:numPr>
          <w:ilvl w:val="0"/>
          <w:numId w:val="2"/>
        </w:numPr>
        <w:spacing w:after="40"/>
        <w:ind w:left="892"/>
      </w:pPr>
      <w:r>
        <w:rPr>
          <w:sz w:val="21"/>
          <w:szCs w:val="21"/>
        </w:rPr>
        <w:t xml:space="preserve">Confirm the new credits appear in the available balance, then restart the AI-powered activity that was interrupted.</w:t>
      </w:r>
    </w:p>
    <w:p>
      <w:pPr>
        <w:spacing w:after="40" w:before="70"/>
        <w:ind w:left="403"/>
      </w:pPr>
      <w:r>
        <w:rPr>
          <w:color w:val="8B8FA3"/>
          <w:sz w:val="17"/>
          <w:szCs w:val="17"/>
        </w:rPr>
        <w:t xml:space="preserve">Ref: pro-what-happens-when-the-firm-runs-out-of-ai-credits-155</w:t>
      </w:r>
    </w:p>
    <w:p>
      <w:pPr>
        <w:keepNext/>
        <w:spacing w:after="90" w:before="220"/>
      </w:pPr>
      <w:r>
        <w:rPr>
          <w:b/>
          <w:bCs/>
          <w:color w:val="1A1C2E"/>
          <w:sz w:val="24"/>
          <w:szCs w:val="24"/>
        </w:rPr>
        <w:t xml:space="preserve">11.   How can administrators control AI Credit usage across the firm?</w:t>
      </w:r>
    </w:p>
    <w:p>
      <w:pPr>
        <w:spacing w:after="90"/>
        <w:ind w:left="403"/>
      </w:pPr>
      <w:r>
        <w:rPr>
          <w:sz w:val="22"/>
          <w:szCs w:val="22"/>
        </w:rPr>
        <w:t xml:space="preserve">Firm administrators can monitor and manage AI Credit consumption from Settings &gt; AI Credits.</w:t>
      </w:r>
    </w:p>
    <w:p>
      <w:pPr>
        <w:spacing w:after="90"/>
        <w:ind w:left="403"/>
      </w:pPr>
      <w:r>
        <w:rPr>
          <w:b/>
          <w:bCs/>
          <w:color w:val="4735BE"/>
          <w:sz w:val="18"/>
          <w:szCs w:val="18"/>
        </w:rPr>
        <w:t xml:space="preserve">More   </w:t>
      </w:r>
      <w:r>
        <w:rPr>
          <w:sz w:val="22"/>
          <w:szCs w:val="22"/>
        </w:rPr>
        <w:t xml:space="preserve">The AI Credits area provides visibility into usage across AssurePro, AssureTax, AssureAudit, and AssureBooks, broken down by individual firm users, AI features and activities, and dates and credits consumed. Administrators can also manage how credits are distributed across the team by assigning user-level allocations or usage caps where available.</w:t>
      </w:r>
    </w:p>
    <w:p>
      <w:pPr>
        <w:spacing w:after="90"/>
        <w:ind w:left="403"/>
      </w:pPr>
      <w:r>
        <w:rPr>
          <w:b/>
          <w:bCs/>
          <w:color w:val="4735BE"/>
          <w:sz w:val="18"/>
          <w:szCs w:val="18"/>
        </w:rPr>
        <w:t xml:space="preserve">More   </w:t>
      </w:r>
      <w:r>
        <w:rPr>
          <w:sz w:val="22"/>
          <w:szCs w:val="22"/>
        </w:rPr>
        <w:t xml:space="preserve">For example, an administrator may allocate more credits to a firm user who regularly performs AI-assisted document or client work, set a lower usage cap for a user who only needs occasional AI assistance, compare usage across Pro, Tax, Audit, and Books, review individual usage when the firm's overall consumption increases unexpectedly, and adjust allocations as responsibilities or workloads change. These controls help the firm manage AI usage without disabling approved AI functionality for the entire practice.</w:t>
      </w:r>
    </w:p>
    <w:p>
      <w:pPr>
        <w:spacing w:after="90"/>
        <w:ind w:left="403"/>
      </w:pPr>
      <w:r>
        <w:rPr>
          <w:b/>
          <w:bCs/>
          <w:color w:val="4735BE"/>
          <w:sz w:val="18"/>
          <w:szCs w:val="18"/>
        </w:rPr>
        <w:t xml:space="preserve">More   </w:t>
      </w:r>
      <w:r>
        <w:rPr>
          <w:sz w:val="22"/>
          <w:szCs w:val="22"/>
        </w:rPr>
        <w:t xml:space="preserve">Because AssureOne does not automatically replenish the balance or charge the firm's card, administrators should review usage trends, user allocations, and remaining credits together when deciding when to purchase additional credits and how much to add.</w:t>
      </w:r>
    </w:p>
    <w:p>
      <w:pPr>
        <w:spacing w:after="40" w:before="70"/>
        <w:ind w:left="403"/>
      </w:pPr>
      <w:r>
        <w:rPr>
          <w:color w:val="8B8FA3"/>
          <w:sz w:val="17"/>
          <w:szCs w:val="17"/>
        </w:rPr>
        <w:t xml:space="preserve">Ref: pro-can-the-firm-set-a-spending-cap-or-get-an-alert-before-ai-credits-run--156</w:t>
      </w:r>
    </w:p>
    <w:p>
      <w:pPr>
        <w:keepNext/>
        <w:spacing w:after="90" w:before="220"/>
      </w:pPr>
      <w:r>
        <w:rPr>
          <w:b/>
          <w:bCs/>
          <w:color w:val="1A1C2E"/>
          <w:sz w:val="24"/>
          <w:szCs w:val="24"/>
        </w:rPr>
        <w:t xml:space="preserve">12.   Are AI Credits shared across the firm, or can they be allocated by firm user?</w:t>
      </w:r>
    </w:p>
    <w:p>
      <w:pPr>
        <w:spacing w:after="90"/>
        <w:ind w:left="403"/>
      </w:pPr>
      <w:r>
        <w:rPr>
          <w:sz w:val="22"/>
          <w:szCs w:val="22"/>
        </w:rPr>
        <w:t xml:space="preserve">AI Credits are purchased at the firm level, and firm administrators can manage how that balance is allocated across individual firm users.</w:t>
      </w:r>
    </w:p>
    <w:p>
      <w:pPr>
        <w:spacing w:after="90"/>
        <w:ind w:left="403"/>
      </w:pPr>
      <w:r>
        <w:rPr>
          <w:b/>
          <w:bCs/>
          <w:color w:val="4735BE"/>
          <w:sz w:val="18"/>
          <w:szCs w:val="18"/>
        </w:rPr>
        <w:t xml:space="preserve">More   </w:t>
      </w:r>
      <w:r>
        <w:rPr>
          <w:sz w:val="22"/>
          <w:szCs w:val="22"/>
        </w:rPr>
        <w:t xml:space="preserve">Administrators can review AI Credit usage by AssureOne product, review usage by individual firm user, allocate credits to firm users, set per-user usage caps, and adjust allocations as responsibilities or usage patterns change.</w:t>
      </w:r>
    </w:p>
    <w:p>
      <w:pPr>
        <w:spacing w:after="90"/>
        <w:ind w:left="403"/>
      </w:pPr>
      <w:r>
        <w:rPr>
          <w:b/>
          <w:bCs/>
          <w:color w:val="4735BE"/>
          <w:sz w:val="18"/>
          <w:szCs w:val="18"/>
        </w:rPr>
        <w:t xml:space="preserve">More   </w:t>
      </w:r>
      <w:r>
        <w:rPr>
          <w:sz w:val="22"/>
          <w:szCs w:val="22"/>
        </w:rPr>
        <w:t xml:space="preserve">For example, if the firm purchases 10,000 credits, an administrator can allocate a larger portion to users who regularly use AI-assisted document review, drafting, or analysis, while setting lower limits for users who only need occasional AI assistance. The Credit Usage section shows where credits have been consumed, allowing administrators to make allocation decisions based on actual usage rather than estimates.</w:t>
      </w:r>
    </w:p>
    <w:p>
      <w:pPr>
        <w:spacing w:after="90"/>
        <w:ind w:left="403"/>
      </w:pPr>
      <w:r>
        <w:rPr>
          <w:b/>
          <w:bCs/>
          <w:color w:val="4735BE"/>
          <w:sz w:val="18"/>
          <w:szCs w:val="18"/>
        </w:rPr>
        <w:t xml:space="preserve">More   </w:t>
      </w:r>
      <w:r>
        <w:rPr>
          <w:sz w:val="22"/>
          <w:szCs w:val="22"/>
        </w:rPr>
        <w:t xml:space="preserve">Review allocations periodically, especially when team responsibilities, workloads, or use of AssurePro, AssureTax, AssureAudit, or AssureBooks changes.</w:t>
      </w:r>
    </w:p>
    <w:p>
      <w:pPr>
        <w:spacing w:after="40" w:before="70"/>
        <w:ind w:left="403"/>
      </w:pPr>
      <w:r>
        <w:rPr>
          <w:color w:val="8B8FA3"/>
          <w:sz w:val="17"/>
          <w:szCs w:val="17"/>
        </w:rPr>
        <w:t xml:space="preserve">Ref: pro-are-ai-credits-shared-across-the-firm-or-does-each-user-have-a-separat-157</w:t>
      </w:r>
    </w:p>
    <w:p>
      <w:pPr>
        <w:keepNext/>
        <w:spacing w:after="90" w:before="220"/>
      </w:pPr>
      <w:r>
        <w:rPr>
          <w:b/>
          <w:bCs/>
          <w:color w:val="1A1C2E"/>
          <w:sz w:val="24"/>
          <w:szCs w:val="24"/>
        </w:rPr>
        <w:t xml:space="preserve">13.   Can we control what data the AI Agent retains?</w:t>
      </w:r>
    </w:p>
    <w:p>
      <w:pPr>
        <w:spacing w:after="90"/>
        <w:ind w:left="403"/>
      </w:pPr>
      <w:r>
        <w:rPr>
          <w:sz w:val="22"/>
          <w:szCs w:val="22"/>
        </w:rPr>
        <w:t xml:space="preserve">Yes. Each firm user can control the context retained by the AI Agent through AI Agent &gt; Memory.</w:t>
      </w:r>
    </w:p>
    <w:p>
      <w:pPr>
        <w:spacing w:after="90"/>
        <w:ind w:left="403"/>
      </w:pPr>
      <w:r>
        <w:rPr>
          <w:b/>
          <w:bCs/>
          <w:color w:val="4735BE"/>
          <w:sz w:val="18"/>
          <w:szCs w:val="18"/>
        </w:rPr>
        <w:t xml:space="preserve">More   </w:t>
      </w:r>
      <w:r>
        <w:rPr>
          <w:sz w:val="22"/>
          <w:szCs w:val="22"/>
        </w:rPr>
        <w:t xml:space="preserve">Firm users can turn Memory on when useful context should be retained for future conversations, turn it off when new context should not be retained beyond the current session, review the items currently saved in memory, use Forget this to remove an individual saved item, and use Clear all memory to remove all saved Agent memory for that user.</w:t>
      </w:r>
    </w:p>
    <w:p>
      <w:pPr>
        <w:spacing w:after="90"/>
        <w:ind w:left="403"/>
      </w:pPr>
      <w:r>
        <w:rPr>
          <w:b/>
          <w:bCs/>
          <w:color w:val="4735BE"/>
          <w:sz w:val="18"/>
          <w:szCs w:val="18"/>
        </w:rPr>
        <w:t xml:space="preserve">More   </w:t>
      </w:r>
      <w:r>
        <w:rPr>
          <w:sz w:val="22"/>
          <w:szCs w:val="22"/>
        </w:rPr>
        <w:t xml:space="preserve">For example, a firm user may retain a stable working preference that is useful across conversations while removing temporary client-specific context once it is no longer needed. Review saved memory periodically so retained information remains relevant and appropriate.</w:t>
      </w:r>
    </w:p>
    <w:p>
      <w:pPr>
        <w:spacing w:after="90"/>
        <w:ind w:left="403"/>
      </w:pPr>
      <w:r>
        <w:rPr>
          <w:b/>
          <w:bCs/>
          <w:color w:val="4735BE"/>
          <w:sz w:val="18"/>
          <w:szCs w:val="18"/>
        </w:rPr>
        <w:t xml:space="preserve">More   </w:t>
      </w:r>
      <w:r>
        <w:rPr>
          <w:sz w:val="22"/>
          <w:szCs w:val="22"/>
        </w:rPr>
        <w:t xml:space="preserve">Note: AI Agent memory is contextual assistance for future AI conversations. It should not be used as the system of record for client information, engagement details, documents, billing, or other firm records maintained elsewhere in AssurePro.</w:t>
      </w:r>
    </w:p>
    <w:p>
      <w:pPr>
        <w:spacing w:after="40" w:before="70"/>
        <w:ind w:left="403"/>
      </w:pPr>
      <w:r>
        <w:rPr>
          <w:color w:val="8B8FA3"/>
          <w:sz w:val="17"/>
          <w:szCs w:val="17"/>
        </w:rPr>
        <w:t xml:space="preserve">Ref: pro-can-we-control-what-data-the-ai-agent-retains-158</w:t>
      </w:r>
    </w:p>
    <w:p>
      <w:pPr>
        <w:keepNext/>
        <w:spacing w:after="90" w:before="220"/>
      </w:pPr>
      <w:r>
        <w:rPr>
          <w:b/>
          <w:bCs/>
          <w:color w:val="1A1C2E"/>
          <w:sz w:val="24"/>
          <w:szCs w:val="24"/>
        </w:rPr>
        <w:t xml:space="preserve">14.   Can an AI Agent action be undone, and is there an audit trail of what it did?</w:t>
      </w:r>
    </w:p>
    <w:p>
      <w:pPr>
        <w:spacing w:after="90"/>
        <w:ind w:left="403"/>
      </w:pPr>
      <w:r>
        <w:rPr>
          <w:sz w:val="22"/>
          <w:szCs w:val="22"/>
        </w:rPr>
        <w:t xml:space="preserve">AssurePro does not provide one universal Undo action for every change completed by the AI Agent.</w:t>
      </w:r>
    </w:p>
    <w:p>
      <w:pPr>
        <w:spacing w:after="90"/>
        <w:ind w:left="403"/>
      </w:pPr>
      <w:r>
        <w:rPr>
          <w:b/>
          <w:bCs/>
          <w:color w:val="4735BE"/>
          <w:sz w:val="18"/>
          <w:szCs w:val="18"/>
        </w:rPr>
        <w:t xml:space="preserve">More   </w:t>
      </w:r>
      <w:r>
        <w:rPr>
          <w:sz w:val="22"/>
          <w:szCs w:val="22"/>
        </w:rPr>
        <w:t xml:space="preserve">Before approving an Agent-proposed action, firm users should review the affected information carefully, including the client or record, recipient, amount, date, engagement or task, and proposed change. If your firm requires users to review every AI-assisted change before it occurs, leave Auto-approve low-risk actions turned off.</w:t>
      </w:r>
    </w:p>
    <w:p>
      <w:pPr>
        <w:spacing w:after="90"/>
        <w:ind w:left="403"/>
      </w:pPr>
      <w:r>
        <w:rPr>
          <w:b/>
          <w:bCs/>
          <w:color w:val="4735BE"/>
          <w:sz w:val="18"/>
          <w:szCs w:val="18"/>
        </w:rPr>
        <w:t xml:space="preserve">More   </w:t>
      </w:r>
      <w:r>
        <w:rPr>
          <w:sz w:val="22"/>
          <w:szCs w:val="22"/>
        </w:rPr>
        <w:t xml:space="preserve">If an AI Agent action needs to be corrected, open the affected area of AssurePro and use the available edit, update, or reversal controls for that specific record, where supported. For auditability, Settings &gt; AI Credits shows AI usage and attribution, such as the feature used, firm user, product, date, and credits consumed — however, AI Credit usage should not be treated as a complete audit log of every data change performed by the Agent. Where available, use the affected record's own activity history, audit trail, status history, or other record-level history to review what happened.</w:t>
      </w:r>
    </w:p>
    <w:p>
      <w:pPr>
        <w:spacing w:after="90"/>
        <w:ind w:left="403"/>
      </w:pPr>
      <w:r>
        <w:rPr>
          <w:b/>
          <w:bCs/>
          <w:color w:val="4735BE"/>
          <w:sz w:val="18"/>
          <w:szCs w:val="18"/>
        </w:rPr>
        <w:t xml:space="preserve">More   </w:t>
      </w:r>
      <w:r>
        <w:rPr>
          <w:sz w:val="22"/>
          <w:szCs w:val="22"/>
        </w:rPr>
        <w:t xml:space="preserve">A useful distinction is that AI Credits show who used AI and where credits were consumed, while record activity or audit history shows what happened to the underlying client or firm record. For higher-impact actions, firm users should validate the proposed change before approval rather than relying on the ability to undo it later.</w:t>
      </w:r>
    </w:p>
    <w:p>
      <w:pPr>
        <w:spacing w:after="40" w:before="70"/>
        <w:ind w:left="403"/>
      </w:pPr>
      <w:r>
        <w:rPr>
          <w:color w:val="8B8FA3"/>
          <w:sz w:val="17"/>
          <w:szCs w:val="17"/>
        </w:rPr>
        <w:t xml:space="preserve">Ref: pro-can-an-ai-agent-action-be-undone-and-is-there-an-audit-trail-of-what-i-159</w:t>
      </w:r>
    </w:p>
    <w:p>
      <w:pPr>
        <w:keepNext/>
        <w:spacing w:after="90" w:before="220"/>
      </w:pPr>
      <w:r>
        <w:rPr>
          <w:b/>
          <w:bCs/>
          <w:color w:val="1A1C2E"/>
          <w:sz w:val="24"/>
          <w:szCs w:val="24"/>
        </w:rPr>
        <w:t xml:space="preserve">15.   Do unused AI Credits expire or roll over?</w:t>
      </w:r>
    </w:p>
    <w:p>
      <w:pPr>
        <w:spacing w:after="90"/>
        <w:ind w:left="403"/>
      </w:pPr>
      <w:r>
        <w:rPr>
          <w:sz w:val="22"/>
          <w:szCs w:val="22"/>
        </w:rPr>
        <w:t xml:space="preserve">No. Unused AI Credits do not expire and do not reset at the end of a month or subscription cycle.</w:t>
      </w:r>
    </w:p>
    <w:p>
      <w:pPr>
        <w:spacing w:after="90"/>
        <w:ind w:left="403"/>
      </w:pPr>
      <w:r>
        <w:rPr>
          <w:b/>
          <w:bCs/>
          <w:color w:val="4735BE"/>
          <w:sz w:val="18"/>
          <w:szCs w:val="18"/>
        </w:rPr>
        <w:t xml:space="preserve">More   </w:t>
      </w:r>
      <w:r>
        <w:rPr>
          <w:sz w:val="22"/>
          <w:szCs w:val="22"/>
        </w:rPr>
        <w:t xml:space="preserve">Any unused balance remains available to the firm until the credits are consumed. There is no monthly rollover calculation because the credits simply stay in the firm's available balance.</w:t>
      </w:r>
    </w:p>
    <w:p>
      <w:pPr>
        <w:spacing w:after="90"/>
        <w:ind w:left="403"/>
      </w:pPr>
      <w:r>
        <w:rPr>
          <w:b/>
          <w:bCs/>
          <w:color w:val="4735BE"/>
          <w:sz w:val="18"/>
          <w:szCs w:val="18"/>
        </w:rPr>
        <w:t xml:space="preserve">More   </w:t>
      </w:r>
      <w:r>
        <w:rPr>
          <w:sz w:val="22"/>
          <w:szCs w:val="22"/>
        </w:rPr>
        <w:t xml:space="preserve">For example, if your firm purchases 5,000 credits and uses 3,500 credits, the remaining 1,500 credits remain available for future AI-powered activity.</w:t>
      </w:r>
    </w:p>
    <w:p>
      <w:pPr>
        <w:spacing w:after="90"/>
        <w:ind w:left="403"/>
      </w:pPr>
      <w:r>
        <w:rPr>
          <w:b/>
          <w:bCs/>
          <w:color w:val="4735BE"/>
          <w:sz w:val="18"/>
          <w:szCs w:val="18"/>
        </w:rPr>
        <w:t xml:space="preserve">More   </w:t>
      </w:r>
      <w:r>
        <w:rPr>
          <w:sz w:val="22"/>
          <w:szCs w:val="22"/>
        </w:rPr>
        <w:t xml:space="preserve">Because credits do not expire, administrators can purchase based on expected usage rather than trying to use the balance before a renewal date.</w:t>
      </w:r>
    </w:p>
    <w:p>
      <w:pPr>
        <w:spacing w:after="90"/>
        <w:ind w:left="403"/>
      </w:pPr>
      <w:r>
        <w:rPr>
          <w:b/>
          <w:bCs/>
          <w:color w:val="4735BE"/>
          <w:sz w:val="18"/>
          <w:szCs w:val="18"/>
        </w:rPr>
        <w:t xml:space="preserve">More   </w:t>
      </w:r>
      <w:r>
        <w:rPr>
          <w:sz w:val="22"/>
          <w:szCs w:val="22"/>
        </w:rPr>
        <w:t xml:space="preserve">Review Available credits and recent usage in Settings &gt; AI Credits to decide when an additional purchase is actually needed.</w:t>
      </w:r>
    </w:p>
    <w:p>
      <w:pPr>
        <w:spacing w:after="40" w:before="70"/>
        <w:ind w:left="403"/>
      </w:pPr>
      <w:r>
        <w:rPr>
          <w:color w:val="8B8FA3"/>
          <w:sz w:val="17"/>
          <w:szCs w:val="17"/>
        </w:rPr>
        <w:t xml:space="preserve">Ref: pro-do-unused-ai-credits-expire-or-roll-over-160</w:t>
      </w:r>
    </w:p>
    <w:p>
      <w:r>
        <w:br w:type="page"/>
      </w:r>
    </w:p>
    <w:p>
      <w:pPr>
        <w:pStyle w:val="Heading1"/>
        <w:spacing w:after="40" w:before="60"/>
      </w:pPr>
      <w:r>
        <w:rPr>
          <w:b/>
          <w:bCs/>
          <w:color w:val="1A1C2E"/>
          <w:sz w:val="32"/>
          <w:szCs w:val="32"/>
        </w:rPr>
        <w:t xml:space="preserve">Integrations &amp; security</w:t>
      </w:r>
    </w:p>
    <w:p>
      <w:pPr>
        <w:pBdr>
          <w:bottom w:val="single" w:color="E4E2F0" w:sz="4"/>
        </w:pBdr>
        <w:spacing w:after="200"/>
      </w:pPr>
      <w:r>
        <w:rPr>
          <w:color w:val="8B8FA3"/>
          <w:sz w:val="20"/>
          <w:szCs w:val="20"/>
        </w:rPr>
        <w:t xml:space="preserve">12 questions</w:t>
      </w:r>
    </w:p>
    <w:p>
      <w:pPr>
        <w:keepNext/>
        <w:spacing w:after="90" w:before="220"/>
      </w:pPr>
      <w:r>
        <w:rPr>
          <w:b/>
          <w:bCs/>
          <w:color w:val="1A1C2E"/>
          <w:sz w:val="24"/>
          <w:szCs w:val="24"/>
        </w:rPr>
        <w:t xml:space="preserve">1.   Which third-party services can be connected?</w:t>
      </w:r>
    </w:p>
    <w:p>
      <w:pPr>
        <w:spacing w:after="90"/>
        <w:ind w:left="403"/>
      </w:pPr>
      <w:r>
        <w:rPr>
          <w:sz w:val="22"/>
          <w:szCs w:val="22"/>
        </w:rPr>
        <w:t xml:space="preserve">AssurePro supports third-party integrations for email, meetings, document storage, client payments, accounting, SMS, and other connected workflows.</w:t>
      </w:r>
    </w:p>
    <w:p>
      <w:pPr>
        <w:spacing w:after="90"/>
        <w:ind w:left="403"/>
      </w:pPr>
      <w:r>
        <w:rPr>
          <w:b/>
          <w:bCs/>
          <w:color w:val="4735BE"/>
          <w:sz w:val="18"/>
          <w:szCs w:val="18"/>
        </w:rPr>
        <w:t xml:space="preserve">More   </w:t>
      </w:r>
      <w:r>
        <w:rPr>
          <w:sz w:val="22"/>
          <w:szCs w:val="22"/>
        </w:rPr>
        <w:t xml:space="preserve">Available integrations include Gmail and Outlook for firm email, Calendly for meeting scheduling, Google Calendar and Outlook Calendar for calendar and meeting activity, Dropbox and OneDrive for document storage and import, Twilio for client SMS, the payment processor shown in Integrations for online client payments, QuickBooks Online for accounting synchronization, and ProdAff for the ProdAff connection shown in Integrations.</w:t>
      </w:r>
    </w:p>
    <w:p>
      <w:pPr>
        <w:spacing w:after="90"/>
        <w:ind w:left="403"/>
      </w:pPr>
      <w:r>
        <w:rPr>
          <w:b/>
          <w:bCs/>
          <w:color w:val="4735BE"/>
          <w:sz w:val="18"/>
          <w:szCs w:val="18"/>
        </w:rPr>
        <w:t xml:space="preserve">More   </w:t>
      </w:r>
      <w:r>
        <w:rPr>
          <w:sz w:val="22"/>
          <w:szCs w:val="22"/>
        </w:rPr>
        <w:t xml:space="preserve">Firm administrators can review and manage available providers under Settings &gt; Integrations. The integration you choose depends on the workflow your firm wants to support — for example, connect Dropbox or OneDrive for cloud document import, Twilio for client SMS, and QuickBooks Online when paid-invoice information should flow into the firm's accounting process.</w:t>
      </w:r>
    </w:p>
    <w:p>
      <w:pPr>
        <w:spacing w:after="40" w:before="70"/>
        <w:ind w:left="403"/>
      </w:pPr>
      <w:r>
        <w:rPr>
          <w:color w:val="8B8FA3"/>
          <w:sz w:val="17"/>
          <w:szCs w:val="17"/>
        </w:rPr>
        <w:t xml:space="preserve">Ref: pro-which-third-party-services-can-be-connected-161</w:t>
      </w:r>
    </w:p>
    <w:p>
      <w:pPr>
        <w:keepNext/>
        <w:spacing w:after="90" w:before="220"/>
      </w:pPr>
      <w:r>
        <w:rPr>
          <w:b/>
          <w:bCs/>
          <w:color w:val="1A1C2E"/>
          <w:sz w:val="24"/>
          <w:szCs w:val="24"/>
        </w:rPr>
        <w:t xml:space="preserve">2.   How do I connect and test an integration?</w:t>
      </w:r>
    </w:p>
    <w:p>
      <w:pPr>
        <w:spacing w:after="90"/>
        <w:ind w:left="403"/>
      </w:pPr>
      <w:r>
        <w:rPr>
          <w:sz w:val="22"/>
          <w:szCs w:val="22"/>
        </w:rPr>
        <w:t xml:space="preserve">Firm administrators can connect supported external services from Settings &gt; Integrations.</w:t>
      </w:r>
    </w:p>
    <w:p>
      <w:pPr>
        <w:spacing w:after="90"/>
        <w:ind w:left="403"/>
      </w:pPr>
      <w:r>
        <w:rPr>
          <w:b/>
          <w:bCs/>
          <w:color w:val="4735BE"/>
          <w:sz w:val="18"/>
          <w:szCs w:val="18"/>
        </w:rPr>
        <w:t xml:space="preserve">More   </w:t>
      </w:r>
      <w:r>
        <w:rPr>
          <w:sz w:val="22"/>
          <w:szCs w:val="22"/>
        </w:rPr>
        <w:t xml:space="preserve">Where possible, use a firm-controlled provider account rather than an individual user's temporary or personal account, particularly for integrations that support firm-wide workflows.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Integrations.</w:t>
      </w:r>
    </w:p>
    <w:p>
      <w:pPr>
        <w:pStyle w:val="ListParagraph"/>
        <w:numPr>
          <w:ilvl w:val="0"/>
          <w:numId w:val="2"/>
        </w:numPr>
        <w:spacing w:after="40"/>
        <w:ind w:left="892"/>
      </w:pPr>
      <w:r>
        <w:rPr>
          <w:sz w:val="21"/>
          <w:szCs w:val="21"/>
        </w:rPr>
        <w:t xml:space="preserve">Find the provider your firm wants to use.</w:t>
      </w:r>
    </w:p>
    <w:p>
      <w:pPr>
        <w:pStyle w:val="ListParagraph"/>
        <w:numPr>
          <w:ilvl w:val="0"/>
          <w:numId w:val="2"/>
        </w:numPr>
        <w:spacing w:after="40"/>
        <w:ind w:left="892"/>
      </w:pPr>
      <w:r>
        <w:rPr>
          <w:sz w:val="21"/>
          <w:szCs w:val="21"/>
        </w:rPr>
        <w:t xml:space="preserve">Select Connect.</w:t>
      </w:r>
    </w:p>
    <w:p>
      <w:pPr>
        <w:pStyle w:val="ListParagraph"/>
        <w:numPr>
          <w:ilvl w:val="0"/>
          <w:numId w:val="2"/>
        </w:numPr>
        <w:spacing w:after="40"/>
        <w:ind w:left="892"/>
      </w:pPr>
      <w:r>
        <w:rPr>
          <w:sz w:val="21"/>
          <w:szCs w:val="21"/>
        </w:rPr>
        <w:t xml:space="preserve">Complete the provider's authorization process.</w:t>
      </w:r>
    </w:p>
    <w:p>
      <w:pPr>
        <w:pStyle w:val="ListParagraph"/>
        <w:numPr>
          <w:ilvl w:val="0"/>
          <w:numId w:val="2"/>
        </w:numPr>
        <w:spacing w:after="40"/>
        <w:ind w:left="892"/>
      </w:pPr>
      <w:r>
        <w:rPr>
          <w:sz w:val="21"/>
          <w:szCs w:val="21"/>
        </w:rPr>
        <w:t xml:space="preserve">Return to AssurePro and confirm that the provider shows as Connected.</w:t>
      </w:r>
    </w:p>
    <w:p>
      <w:pPr>
        <w:pStyle w:val="ListParagraph"/>
        <w:numPr>
          <w:ilvl w:val="0"/>
          <w:numId w:val="2"/>
        </w:numPr>
        <w:spacing w:after="40"/>
        <w:ind w:left="892"/>
      </w:pPr>
      <w:r>
        <w:rPr>
          <w:sz w:val="21"/>
          <w:szCs w:val="21"/>
        </w:rPr>
        <w:t xml:space="preserve">Confirm that the connected account or identity is the one your firm intended to authorize.</w:t>
      </w:r>
    </w:p>
    <w:p>
      <w:pPr>
        <w:pStyle w:val="ListParagraph"/>
        <w:numPr>
          <w:ilvl w:val="0"/>
          <w:numId w:val="2"/>
        </w:numPr>
        <w:spacing w:after="40"/>
        <w:ind w:left="892"/>
      </w:pPr>
      <w:r>
        <w:rPr>
          <w:sz w:val="21"/>
          <w:szCs w:val="21"/>
        </w:rPr>
        <w:t xml:space="preserve">Test the specific workflow that depends on the integration.</w:t>
      </w:r>
    </w:p>
    <w:p>
      <w:pPr>
        <w:pStyle w:val="ListParagraph"/>
        <w:numPr>
          <w:ilvl w:val="0"/>
          <w:numId w:val="2"/>
        </w:numPr>
        <w:spacing w:after="40"/>
        <w:ind w:left="892"/>
      </w:pPr>
      <w:r>
        <w:rPr>
          <w:sz w:val="21"/>
          <w:szCs w:val="21"/>
        </w:rPr>
        <w:t xml:space="preserve">For example:</w:t>
      </w:r>
    </w:p>
    <w:p>
      <w:pPr>
        <w:pStyle w:val="ListParagraph"/>
        <w:numPr>
          <w:ilvl w:val="0"/>
          <w:numId w:val="2"/>
        </w:numPr>
        <w:spacing w:after="40"/>
        <w:ind w:left="892"/>
      </w:pPr>
      <w:r>
        <w:rPr>
          <w:sz w:val="21"/>
          <w:szCs w:val="21"/>
        </w:rPr>
        <w:t xml:space="preserve">Send an internal test email after connecting Gmail or Outlook.</w:t>
      </w:r>
    </w:p>
    <w:p>
      <w:pPr>
        <w:pStyle w:val="ListParagraph"/>
        <w:numPr>
          <w:ilvl w:val="0"/>
          <w:numId w:val="2"/>
        </w:numPr>
        <w:spacing w:after="40"/>
        <w:ind w:left="892"/>
      </w:pPr>
      <w:r>
        <w:rPr>
          <w:sz w:val="21"/>
          <w:szCs w:val="21"/>
        </w:rPr>
        <w:t xml:space="preserve">Import a non-sensitive test file after connecting Dropbox or OneDrive.</w:t>
      </w:r>
    </w:p>
    <w:p>
      <w:pPr>
        <w:pStyle w:val="ListParagraph"/>
        <w:numPr>
          <w:ilvl w:val="0"/>
          <w:numId w:val="2"/>
        </w:numPr>
        <w:spacing w:after="40"/>
        <w:ind w:left="892"/>
      </w:pPr>
      <w:r>
        <w:rPr>
          <w:sz w:val="21"/>
          <w:szCs w:val="21"/>
        </w:rPr>
        <w:t xml:space="preserve">Create or verify a test meeting after connecting a calendar provider.</w:t>
      </w:r>
    </w:p>
    <w:p>
      <w:pPr>
        <w:pStyle w:val="ListParagraph"/>
        <w:numPr>
          <w:ilvl w:val="0"/>
          <w:numId w:val="2"/>
        </w:numPr>
        <w:spacing w:after="40"/>
        <w:ind w:left="892"/>
      </w:pPr>
      <w:r>
        <w:rPr>
          <w:sz w:val="21"/>
          <w:szCs w:val="21"/>
        </w:rPr>
        <w:t xml:space="preserve">Send and receive a test SMS after connecting Twilio.</w:t>
      </w:r>
    </w:p>
    <w:p>
      <w:pPr>
        <w:pStyle w:val="ListParagraph"/>
        <w:numPr>
          <w:ilvl w:val="0"/>
          <w:numId w:val="2"/>
        </w:numPr>
        <w:spacing w:after="40"/>
        <w:ind w:left="892"/>
      </w:pPr>
      <w:r>
        <w:rPr>
          <w:sz w:val="21"/>
          <w:szCs w:val="21"/>
        </w:rPr>
        <w:t xml:space="preserve">Complete a controlled payment or accounting test before relying on a financial integration.</w:t>
      </w:r>
    </w:p>
    <w:p>
      <w:pPr>
        <w:pStyle w:val="ListParagraph"/>
        <w:numPr>
          <w:ilvl w:val="0"/>
          <w:numId w:val="2"/>
        </w:numPr>
        <w:spacing w:after="40"/>
        <w:ind w:left="892"/>
      </w:pPr>
      <w:r>
        <w:rPr>
          <w:sz w:val="21"/>
          <w:szCs w:val="21"/>
        </w:rPr>
        <w:t xml:space="preserve">A Connected status confirms that authorization has been established. A successful end-to-end test confirms that the integration is usable for your firm's workflow.</w:t>
      </w:r>
    </w:p>
    <w:p>
      <w:pPr>
        <w:spacing w:after="40" w:before="70"/>
        <w:ind w:left="403"/>
      </w:pPr>
      <w:r>
        <w:rPr>
          <w:color w:val="8B8FA3"/>
          <w:sz w:val="17"/>
          <w:szCs w:val="17"/>
        </w:rPr>
        <w:t xml:space="preserve">Ref: pro-how-do-i-connect-an-integration-162</w:t>
      </w:r>
    </w:p>
    <w:p>
      <w:pPr>
        <w:keepNext/>
        <w:spacing w:after="90" w:before="220"/>
      </w:pPr>
      <w:r>
        <w:rPr>
          <w:b/>
          <w:bCs/>
          <w:color w:val="1A1C2E"/>
          <w:sz w:val="24"/>
          <w:szCs w:val="24"/>
        </w:rPr>
        <w:t xml:space="preserve">3.   Which AssurePro workflows depend on a connected service?</w:t>
      </w:r>
    </w:p>
    <w:p>
      <w:pPr>
        <w:spacing w:after="90"/>
        <w:ind w:left="403"/>
      </w:pPr>
      <w:r>
        <w:rPr>
          <w:sz w:val="22"/>
          <w:szCs w:val="22"/>
        </w:rPr>
        <w:t xml:space="preserve">Some AssurePro features require a third-party service to be connected before the workflow can be used.</w:t>
      </w:r>
    </w:p>
    <w:p>
      <w:pPr>
        <w:spacing w:after="90"/>
        <w:ind w:left="403"/>
      </w:pPr>
      <w:r>
        <w:rPr>
          <w:b/>
          <w:bCs/>
          <w:color w:val="4735BE"/>
          <w:sz w:val="18"/>
          <w:szCs w:val="18"/>
        </w:rPr>
        <w:t xml:space="preserve">More   </w:t>
      </w:r>
      <w:r>
        <w:rPr>
          <w:sz w:val="22"/>
          <w:szCs w:val="22"/>
        </w:rPr>
        <w:t xml:space="preserve">Examples include email communication (Gmail or Outlook), client SMS (Twilio and a configured firm phone number), meeting scheduling (Calendly), calendar and meeting association (Google Calendar or Outlook Calendar), cloud document import (Dropbox or OneDrive), online client payments (the configured payment processor), and paid-invoice accounting synchronization (QuickBooks Online).</w:t>
      </w:r>
    </w:p>
    <w:p>
      <w:pPr>
        <w:spacing w:after="90"/>
        <w:ind w:left="403"/>
      </w:pPr>
      <w:r>
        <w:rPr>
          <w:b/>
          <w:bCs/>
          <w:color w:val="4735BE"/>
          <w:sz w:val="18"/>
          <w:szCs w:val="18"/>
        </w:rPr>
        <w:t xml:space="preserve">More   </w:t>
      </w:r>
      <w:r>
        <w:rPr>
          <w:sz w:val="22"/>
          <w:szCs w:val="22"/>
        </w:rPr>
        <w:t xml:space="preserve">For example, if Dropbox or OneDrive is not connected, cloud document import cannot proceed. SMS requires both a connected Twilio account and a linked phone number, while online invoice payment depends on the firm's payment-processor configuration.</w:t>
      </w:r>
    </w:p>
    <w:p>
      <w:pPr>
        <w:spacing w:after="90"/>
        <w:ind w:left="403"/>
      </w:pPr>
      <w:r>
        <w:rPr>
          <w:b/>
          <w:bCs/>
          <w:color w:val="4735BE"/>
          <w:sz w:val="18"/>
          <w:szCs w:val="18"/>
        </w:rPr>
        <w:t xml:space="preserve">More   </w:t>
      </w:r>
      <w:r>
        <w:rPr>
          <w:sz w:val="22"/>
          <w:szCs w:val="22"/>
        </w:rPr>
        <w:t xml:space="preserve">Because a disconnected or expired authorization can affect multiple users, the firm should also maintain clear ownership of each integration and periodically confirm that critical connections remain active.</w:t>
      </w:r>
    </w:p>
    <w:p>
      <w:pPr>
        <w:spacing w:after="40" w:before="70"/>
        <w:ind w:left="403"/>
      </w:pPr>
      <w:r>
        <w:rPr>
          <w:color w:val="8B8FA3"/>
          <w:sz w:val="17"/>
          <w:szCs w:val="17"/>
        </w:rPr>
        <w:t xml:space="preserve">Ref: pro-which-workflows-require-a-connected-service-163</w:t>
      </w:r>
    </w:p>
    <w:p>
      <w:pPr>
        <w:keepNext/>
        <w:spacing w:after="90" w:before="220"/>
      </w:pPr>
      <w:r>
        <w:rPr>
          <w:b/>
          <w:bCs/>
          <w:color w:val="1A1C2E"/>
          <w:sz w:val="24"/>
          <w:szCs w:val="24"/>
        </w:rPr>
        <w:t xml:space="preserve">4.   What is the Tax Connector?</w:t>
      </w:r>
    </w:p>
    <w:p>
      <w:pPr>
        <w:spacing w:after="90"/>
        <w:ind w:left="403"/>
      </w:pPr>
      <w:r>
        <w:rPr>
          <w:sz w:val="22"/>
          <w:szCs w:val="22"/>
        </w:rPr>
        <w:t xml:space="preserve">The Tax Connector is used to approve Windows computers that import supported tax-software data into AssureTax.</w:t>
      </w:r>
    </w:p>
    <w:p>
      <w:pPr>
        <w:spacing w:after="90"/>
        <w:ind w:left="403"/>
      </w:pPr>
      <w:r>
        <w:rPr>
          <w:b/>
          <w:bCs/>
          <w:color w:val="4735BE"/>
          <w:sz w:val="18"/>
          <w:szCs w:val="18"/>
        </w:rPr>
        <w:t xml:space="preserve">More   </w:t>
      </w:r>
      <w:r>
        <w:rPr>
          <w:sz w:val="22"/>
          <w:szCs w:val="22"/>
        </w:rPr>
        <w:t xml:space="preserve">Each computer is paired individually and receives its own import-only credential after approval. The Tax Connector setup includes a pairing code with a 10-minute validity period, individual approval for each Windows computer, a revocable import-only credential, connected-computer status, last-seen information, credential-expiration information, and platform and application-version details.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Tax Connector.</w:t>
      </w:r>
    </w:p>
    <w:p>
      <w:pPr>
        <w:pStyle w:val="ListParagraph"/>
        <w:numPr>
          <w:ilvl w:val="0"/>
          <w:numId w:val="2"/>
        </w:numPr>
        <w:spacing w:after="40"/>
        <w:ind w:left="892"/>
      </w:pPr>
      <w:r>
        <w:rPr>
          <w:sz w:val="21"/>
          <w:szCs w:val="21"/>
        </w:rPr>
        <w:t xml:space="preserve">Enter the pairing code displayed by the Tax Connector within the 10-minute validity window.</w:t>
      </w:r>
    </w:p>
    <w:p>
      <w:pPr>
        <w:pStyle w:val="ListParagraph"/>
        <w:numPr>
          <w:ilvl w:val="0"/>
          <w:numId w:val="2"/>
        </w:numPr>
        <w:spacing w:after="40"/>
        <w:ind w:left="892"/>
      </w:pPr>
      <w:r>
        <w:rPr>
          <w:sz w:val="21"/>
          <w:szCs w:val="21"/>
        </w:rPr>
        <w:t xml:space="preserve">Select Approve computer if you recognize the request.</w:t>
      </w:r>
    </w:p>
    <w:p>
      <w:pPr>
        <w:pStyle w:val="ListParagraph"/>
        <w:numPr>
          <w:ilvl w:val="0"/>
          <w:numId w:val="2"/>
        </w:numPr>
        <w:spacing w:after="40"/>
        <w:ind w:left="892"/>
      </w:pPr>
      <w:r>
        <w:rPr>
          <w:sz w:val="21"/>
          <w:szCs w:val="21"/>
        </w:rPr>
        <w:t xml:space="preserve">Select Deny if the request is unexpected or unrecognized.</w:t>
      </w:r>
    </w:p>
    <w:p>
      <w:pPr>
        <w:pStyle w:val="ListParagraph"/>
        <w:numPr>
          <w:ilvl w:val="0"/>
          <w:numId w:val="2"/>
        </w:numPr>
        <w:spacing w:after="40"/>
        <w:ind w:left="892"/>
      </w:pPr>
      <w:r>
        <w:rPr>
          <w:sz w:val="21"/>
          <w:szCs w:val="21"/>
        </w:rPr>
        <w:t xml:space="preserve">Review approved devices under Connected computers.</w:t>
      </w:r>
    </w:p>
    <w:p>
      <w:pPr>
        <w:pStyle w:val="ListParagraph"/>
        <w:numPr>
          <w:ilvl w:val="0"/>
          <w:numId w:val="2"/>
        </w:numPr>
        <w:spacing w:after="40"/>
        <w:ind w:left="892"/>
      </w:pPr>
      <w:r>
        <w:rPr>
          <w:sz w:val="21"/>
          <w:szCs w:val="21"/>
        </w:rPr>
        <w:t xml:space="preserve">Use Revoke when a computer should no longer be allowed to import data.</w:t>
      </w:r>
    </w:p>
    <w:p>
      <w:pPr>
        <w:pStyle w:val="ListParagraph"/>
        <w:numPr>
          <w:ilvl w:val="0"/>
          <w:numId w:val="2"/>
        </w:numPr>
        <w:spacing w:after="40"/>
        <w:ind w:left="892"/>
      </w:pPr>
      <w:r>
        <w:rPr>
          <w:sz w:val="21"/>
          <w:szCs w:val="21"/>
        </w:rPr>
        <w:t xml:space="preserve">Revocation takes effect when the connector next attempts to communicate with AssureOne.</w:t>
      </w:r>
    </w:p>
    <w:p>
      <w:pPr>
        <w:pStyle w:val="ListParagraph"/>
        <w:numPr>
          <w:ilvl w:val="0"/>
          <w:numId w:val="2"/>
        </w:numPr>
        <w:spacing w:after="40"/>
        <w:ind w:left="892"/>
      </w:pPr>
      <w:r>
        <w:rPr>
          <w:sz w:val="21"/>
          <w:szCs w:val="21"/>
        </w:rPr>
        <w:t xml:space="preserve">Review the connected-computer list periodically and revoke devices that are no longer used by the firm.</w:t>
      </w:r>
    </w:p>
    <w:p>
      <w:pPr>
        <w:spacing w:after="40" w:before="70"/>
        <w:ind w:left="403"/>
      </w:pPr>
      <w:r>
        <w:rPr>
          <w:color w:val="8B8FA3"/>
          <w:sz w:val="17"/>
          <w:szCs w:val="17"/>
        </w:rPr>
        <w:t xml:space="preserve">Ref: pro-what-is-the-tax-connector-164</w:t>
      </w:r>
    </w:p>
    <w:p>
      <w:pPr>
        <w:keepNext/>
        <w:spacing w:after="90" w:before="220"/>
      </w:pPr>
      <w:r>
        <w:rPr>
          <w:b/>
          <w:bCs/>
          <w:color w:val="1A1C2E"/>
          <w:sz w:val="24"/>
          <w:szCs w:val="24"/>
        </w:rPr>
        <w:t xml:space="preserve">5.   How are shared firm and client credentials handled?</w:t>
      </w:r>
    </w:p>
    <w:p>
      <w:pPr>
        <w:spacing w:after="90"/>
        <w:ind w:left="403"/>
      </w:pPr>
      <w:r>
        <w:rPr>
          <w:sz w:val="22"/>
          <w:szCs w:val="22"/>
        </w:rPr>
        <w:t xml:space="preserve">AssurePro keeps firm-wide credentials and client-specific credentials in separate areas.</w:t>
      </w:r>
    </w:p>
    <w:p>
      <w:pPr>
        <w:spacing w:after="90"/>
        <w:ind w:left="403"/>
      </w:pPr>
      <w:r>
        <w:rPr>
          <w:b/>
          <w:bCs/>
          <w:color w:val="4735BE"/>
          <w:sz w:val="18"/>
          <w:szCs w:val="18"/>
        </w:rPr>
        <w:t xml:space="preserve">More   </w:t>
      </w:r>
      <w:r>
        <w:rPr>
          <w:sz w:val="22"/>
          <w:szCs w:val="22"/>
        </w:rPr>
        <w:t xml:space="preserve">Firm Credentials is used for shared internal logins that apply across the practice.</w:t>
      </w:r>
    </w:p>
    <w:p>
      <w:pPr>
        <w:spacing w:after="90"/>
        <w:ind w:left="403"/>
      </w:pPr>
      <w:r>
        <w:rPr>
          <w:b/>
          <w:bCs/>
          <w:color w:val="4735BE"/>
          <w:sz w:val="18"/>
          <w:szCs w:val="18"/>
        </w:rPr>
        <w:t xml:space="preserve">More   </w:t>
      </w:r>
      <w:r>
        <w:rPr>
          <w:sz w:val="22"/>
          <w:szCs w:val="22"/>
        </w:rPr>
        <w:t xml:space="preserve">The client Credentials tab is used for login information that belongs to a specific client.</w:t>
      </w:r>
    </w:p>
    <w:p>
      <w:pPr>
        <w:spacing w:after="90"/>
        <w:ind w:left="403"/>
      </w:pPr>
      <w:r>
        <w:rPr>
          <w:b/>
          <w:bCs/>
          <w:color w:val="4735BE"/>
          <w:sz w:val="18"/>
          <w:szCs w:val="18"/>
        </w:rPr>
        <w:t xml:space="preserve">More   </w:t>
      </w:r>
      <w:r>
        <w:rPr>
          <w:sz w:val="22"/>
          <w:szCs w:val="22"/>
        </w:rPr>
        <w:t xml:space="preserve">Stored credentials are protected with encryption at rest, and access to reveal sensitive values is controlled through permissions and engagement ownership.</w:t>
      </w:r>
    </w:p>
    <w:p>
      <w:pPr>
        <w:spacing w:after="90"/>
        <w:ind w:left="403"/>
      </w:pPr>
      <w:r>
        <w:rPr>
          <w:b/>
          <w:bCs/>
          <w:color w:val="4735BE"/>
          <w:sz w:val="18"/>
          <w:szCs w:val="18"/>
        </w:rPr>
        <w:t xml:space="preserve">More   </w:t>
      </w:r>
      <w:r>
        <w:rPr>
          <w:sz w:val="22"/>
          <w:szCs w:val="22"/>
        </w:rPr>
        <w:t xml:space="preserve">AssurePro also records credential-reveal activity so access can be reviewed at any time.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Firm Credentials for a firm-wide credential, or open the client's Credentials tab for a client-specific login.</w:t>
      </w:r>
    </w:p>
    <w:p>
      <w:pPr>
        <w:pStyle w:val="ListParagraph"/>
        <w:numPr>
          <w:ilvl w:val="0"/>
          <w:numId w:val="2"/>
        </w:numPr>
        <w:spacing w:after="40"/>
        <w:ind w:left="892"/>
      </w:pPr>
      <w:r>
        <w:rPr>
          <w:sz w:val="21"/>
          <w:szCs w:val="21"/>
        </w:rPr>
        <w:t xml:space="preserve">Select Add your first credential or Add credential.</w:t>
      </w:r>
    </w:p>
    <w:p>
      <w:pPr>
        <w:pStyle w:val="ListParagraph"/>
        <w:numPr>
          <w:ilvl w:val="0"/>
          <w:numId w:val="2"/>
        </w:numPr>
        <w:spacing w:after="40"/>
        <w:ind w:left="892"/>
      </w:pPr>
      <w:r>
        <w:rPr>
          <w:sz w:val="21"/>
          <w:szCs w:val="21"/>
        </w:rPr>
        <w:t xml:space="preserve">Enter the service and credential information.</w:t>
      </w:r>
    </w:p>
    <w:p>
      <w:pPr>
        <w:pStyle w:val="ListParagraph"/>
        <w:numPr>
          <w:ilvl w:val="0"/>
          <w:numId w:val="2"/>
        </w:numPr>
        <w:spacing w:after="40"/>
        <w:ind w:left="892"/>
      </w:pPr>
      <w:r>
        <w:rPr>
          <w:sz w:val="21"/>
          <w:szCs w:val="21"/>
        </w:rPr>
        <w:t xml:space="preserve">Confirm that access is limited to the appropriate firm users.</w:t>
      </w:r>
    </w:p>
    <w:p>
      <w:pPr>
        <w:pStyle w:val="ListParagraph"/>
        <w:numPr>
          <w:ilvl w:val="0"/>
          <w:numId w:val="2"/>
        </w:numPr>
        <w:spacing w:after="40"/>
        <w:ind w:left="892"/>
      </w:pPr>
      <w:r>
        <w:rPr>
          <w:sz w:val="21"/>
          <w:szCs w:val="21"/>
        </w:rPr>
        <w:t xml:space="preserve">Use the available reveal-history information when credential access needs to be reviewed.</w:t>
      </w:r>
    </w:p>
    <w:p>
      <w:pPr>
        <w:pStyle w:val="ListParagraph"/>
        <w:numPr>
          <w:ilvl w:val="0"/>
          <w:numId w:val="2"/>
        </w:numPr>
        <w:spacing w:after="40"/>
        <w:ind w:left="892"/>
      </w:pPr>
      <w:r>
        <w:rPr>
          <w:sz w:val="21"/>
          <w:szCs w:val="21"/>
        </w:rPr>
        <w:t xml:space="preserve">Keep client credentials in the client workspace rather than placing them in the firm-wide credential store. This helps maintain the correct relationship between the credential and the client it belongs to.</w:t>
      </w:r>
    </w:p>
    <w:p>
      <w:pPr>
        <w:spacing w:after="40" w:before="70"/>
        <w:ind w:left="403"/>
      </w:pPr>
      <w:r>
        <w:rPr>
          <w:color w:val="8B8FA3"/>
          <w:sz w:val="17"/>
          <w:szCs w:val="17"/>
        </w:rPr>
        <w:t xml:space="preserve">Ref: pro-how-are-shared-firm-and-client-credentials-handled-165</w:t>
      </w:r>
    </w:p>
    <w:p>
      <w:pPr>
        <w:keepNext/>
        <w:spacing w:after="90" w:before="220"/>
      </w:pPr>
      <w:r>
        <w:rPr>
          <w:b/>
          <w:bCs/>
          <w:color w:val="1A1C2E"/>
          <w:sz w:val="24"/>
          <w:szCs w:val="24"/>
        </w:rPr>
        <w:t xml:space="preserve">6.   What can firm users manage in Security settings?</w:t>
      </w:r>
    </w:p>
    <w:p>
      <w:pPr>
        <w:spacing w:after="90"/>
        <w:ind w:left="403"/>
      </w:pPr>
      <w:r>
        <w:rPr>
          <w:sz w:val="22"/>
          <w:szCs w:val="22"/>
        </w:rPr>
        <w:t xml:space="preserve">The Security settings currently allow the signed-in firm user to change their AssurePro password.</w:t>
      </w:r>
    </w:p>
    <w:p>
      <w:pPr>
        <w:spacing w:after="90"/>
        <w:ind w:left="403"/>
      </w:pPr>
      <w:r>
        <w:rPr>
          <w:b/>
          <w:bCs/>
          <w:color w:val="4735BE"/>
          <w:sz w:val="18"/>
          <w:szCs w:val="18"/>
        </w:rPr>
        <w:t xml:space="preserve">More   </w:t>
      </w:r>
      <w:r>
        <w:rPr>
          <w:sz w:val="22"/>
          <w:szCs w:val="22"/>
        </w:rPr>
        <w:t xml:space="preserve">Changing the password affects only that user's own account. It does not change team membership, roles or permissions, product access, client portal credentials, or other firm users' passwords.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&gt; Security.</w:t>
      </w:r>
    </w:p>
    <w:p>
      <w:pPr>
        <w:pStyle w:val="ListParagraph"/>
        <w:numPr>
          <w:ilvl w:val="0"/>
          <w:numId w:val="2"/>
        </w:numPr>
        <w:spacing w:after="40"/>
        <w:ind w:left="892"/>
      </w:pPr>
      <w:r>
        <w:rPr>
          <w:sz w:val="21"/>
          <w:szCs w:val="21"/>
        </w:rPr>
        <w:t xml:space="preserve">Enter the Current Password.</w:t>
      </w:r>
    </w:p>
    <w:p>
      <w:pPr>
        <w:pStyle w:val="ListParagraph"/>
        <w:numPr>
          <w:ilvl w:val="0"/>
          <w:numId w:val="2"/>
        </w:numPr>
        <w:spacing w:after="40"/>
        <w:ind w:left="892"/>
      </w:pPr>
      <w:r>
        <w:rPr>
          <w:sz w:val="21"/>
          <w:szCs w:val="21"/>
        </w:rPr>
        <w:t xml:space="preserve">Enter the new password.</w:t>
      </w:r>
    </w:p>
    <w:p>
      <w:pPr>
        <w:pStyle w:val="ListParagraph"/>
        <w:numPr>
          <w:ilvl w:val="0"/>
          <w:numId w:val="2"/>
        </w:numPr>
        <w:spacing w:after="40"/>
        <w:ind w:left="892"/>
      </w:pPr>
      <w:r>
        <w:rPr>
          <w:sz w:val="21"/>
          <w:szCs w:val="21"/>
        </w:rPr>
        <w:t xml:space="preserve">Confirm the new password.</w:t>
      </w:r>
    </w:p>
    <w:p>
      <w:pPr>
        <w:pStyle w:val="ListParagraph"/>
        <w:numPr>
          <w:ilvl w:val="0"/>
          <w:numId w:val="2"/>
        </w:numPr>
        <w:spacing w:after="40"/>
        <w:ind w:left="892"/>
      </w:pPr>
      <w:r>
        <w:rPr>
          <w:sz w:val="21"/>
          <w:szCs w:val="21"/>
        </w:rPr>
        <w:t xml:space="preserve">Select Change Password.</w:t>
      </w:r>
    </w:p>
    <w:p>
      <w:pPr>
        <w:pStyle w:val="ListParagraph"/>
        <w:numPr>
          <w:ilvl w:val="0"/>
          <w:numId w:val="2"/>
        </w:numPr>
        <w:spacing w:after="40"/>
        <w:ind w:left="892"/>
      </w:pPr>
      <w:r>
        <w:rPr>
          <w:sz w:val="21"/>
          <w:szCs w:val="21"/>
        </w:rPr>
        <w:t xml:space="preserve">The new password must meet the minimum password requirements shown in AssurePro.</w:t>
      </w:r>
    </w:p>
    <w:p>
      <w:pPr>
        <w:pStyle w:val="ListParagraph"/>
        <w:numPr>
          <w:ilvl w:val="0"/>
          <w:numId w:val="2"/>
        </w:numPr>
        <w:spacing w:after="40"/>
        <w:ind w:left="892"/>
      </w:pPr>
      <w:r>
        <w:rPr>
          <w:sz w:val="21"/>
          <w:szCs w:val="21"/>
        </w:rPr>
        <w:t xml:space="preserve">Use a unique password that also complies with your firm's internal security policy, and store it in an approved password manager.</w:t>
      </w:r>
    </w:p>
    <w:p>
      <w:pPr>
        <w:spacing w:after="40" w:before="70"/>
        <w:ind w:left="403"/>
      </w:pPr>
      <w:r>
        <w:rPr>
          <w:color w:val="8B8FA3"/>
          <w:sz w:val="17"/>
          <w:szCs w:val="17"/>
        </w:rPr>
        <w:t xml:space="preserve">Ref: pro-what-can-users-manage-in-security-settings-166</w:t>
      </w:r>
    </w:p>
    <w:p>
      <w:pPr>
        <w:keepNext/>
        <w:spacing w:after="90" w:before="220"/>
      </w:pPr>
      <w:r>
        <w:rPr>
          <w:b/>
          <w:bCs/>
          <w:color w:val="1A1C2E"/>
          <w:sz w:val="24"/>
          <w:szCs w:val="24"/>
        </w:rPr>
        <w:t xml:space="preserve">7.   How is account access managed for firm users and client users?</w:t>
      </w:r>
    </w:p>
    <w:p>
      <w:pPr>
        <w:spacing w:after="90"/>
        <w:ind w:left="403"/>
      </w:pPr>
      <w:r>
        <w:rPr>
          <w:sz w:val="22"/>
          <w:szCs w:val="22"/>
        </w:rPr>
        <w:t xml:space="preserve">Firm-user access and client-user access are managed separately in AssurePro.</w:t>
      </w:r>
    </w:p>
    <w:p>
      <w:pPr>
        <w:spacing w:after="90"/>
        <w:ind w:left="403"/>
      </w:pPr>
      <w:r>
        <w:rPr>
          <w:b/>
          <w:bCs/>
          <w:color w:val="4735BE"/>
          <w:sz w:val="18"/>
          <w:szCs w:val="18"/>
        </w:rPr>
        <w:t xml:space="preserve">More   </w:t>
      </w:r>
      <w:r>
        <w:rPr>
          <w:sz w:val="22"/>
          <w:szCs w:val="22"/>
        </w:rPr>
        <w:t xml:space="preserve">A firm user manages their own password under Settings &gt; Security. Firm administrators manage broader access — team membership, roles, permissions, product access, and account status — under Team &amp; Roles. Client access is managed from the client record: firm users can manage the client contact's portal invitation, email address, portal-access status, and invitation resend.</w:t>
      </w:r>
    </w:p>
    <w:p>
      <w:pPr>
        <w:spacing w:after="90"/>
        <w:ind w:left="403"/>
      </w:pPr>
      <w:r>
        <w:rPr>
          <w:b/>
          <w:bCs/>
          <w:color w:val="4735BE"/>
          <w:sz w:val="18"/>
          <w:szCs w:val="18"/>
        </w:rPr>
        <w:t xml:space="preserve">More   </w:t>
      </w:r>
      <w:r>
        <w:rPr>
          <w:sz w:val="22"/>
          <w:szCs w:val="22"/>
        </w:rPr>
        <w:t xml:space="preserve">This separation is deliberate: changing a firm user's role does not affect a client's portal access, and changing a client contact does not change any firm user's permissions.</w:t>
      </w:r>
    </w:p>
    <w:p>
      <w:pPr>
        <w:spacing w:after="40" w:before="70"/>
        <w:ind w:left="403"/>
      </w:pPr>
      <w:r>
        <w:rPr>
          <w:color w:val="8B8FA3"/>
          <w:sz w:val="17"/>
          <w:szCs w:val="17"/>
        </w:rPr>
        <w:t xml:space="preserve">Ref: pro-what-account-security-control-is-available-in-assurepro-167</w:t>
      </w:r>
    </w:p>
    <w:p>
      <w:pPr>
        <w:keepNext/>
        <w:spacing w:after="90" w:before="220"/>
      </w:pPr>
      <w:r>
        <w:rPr>
          <w:b/>
          <w:bCs/>
          <w:color w:val="1A1C2E"/>
          <w:sz w:val="24"/>
          <w:szCs w:val="24"/>
        </w:rPr>
        <w:t xml:space="preserve">8.   How are notifications and report alerts controlled?</w:t>
      </w:r>
    </w:p>
    <w:p>
      <w:pPr>
        <w:spacing w:after="90"/>
        <w:ind w:left="403"/>
      </w:pPr>
      <w:r>
        <w:rPr>
          <w:sz w:val="22"/>
          <w:szCs w:val="22"/>
        </w:rPr>
        <w:t xml:space="preserve">Firm users can control personal notifications under Settings &gt; Notifications &amp; Email, while report alerts can be configured for firm-level KPI monitoring.</w:t>
      </w:r>
    </w:p>
    <w:p>
      <w:pPr>
        <w:spacing w:after="90"/>
        <w:ind w:left="403"/>
      </w:pPr>
      <w:r>
        <w:rPr>
          <w:b/>
          <w:bCs/>
          <w:color w:val="4735BE"/>
          <w:sz w:val="18"/>
          <w:szCs w:val="18"/>
        </w:rPr>
        <w:t xml:space="preserve">More   </w:t>
      </w:r>
      <w:r>
        <w:rPr>
          <w:sz w:val="22"/>
          <w:szCs w:val="22"/>
        </w:rPr>
        <w:t xml:space="preserve">Personal notifications: firm users can independently enable or disable email and in-app notifications for new document uploads, client messages, invoice payments, upcoming deadlines, and overdue invoices — for example, enabling both channels for overdue invoices while using only in-app for routine uploads.</w:t>
      </w:r>
    </w:p>
    <w:p>
      <w:pPr>
        <w:spacing w:after="90"/>
        <w:ind w:left="403"/>
      </w:pPr>
      <w:r>
        <w:rPr>
          <w:b/>
          <w:bCs/>
          <w:color w:val="4735BE"/>
          <w:sz w:val="18"/>
          <w:szCs w:val="18"/>
        </w:rPr>
        <w:t xml:space="preserve">More   </w:t>
      </w:r>
      <w:r>
        <w:rPr>
          <w:sz w:val="22"/>
          <w:szCs w:val="22"/>
        </w:rPr>
        <w:t xml:space="preserve">Report alerts: notify selected firm users when a KPI reaches a defined threshold, or send a scheduled digest of selected firm metrics. Use threshold alerts for conditions needing timely action, such as rising A/R or workflow backlog, and scheduled digests for recurring management reviews.</w:t>
      </w:r>
    </w:p>
    <w:p>
      <w:pPr>
        <w:spacing w:after="40" w:before="70"/>
        <w:ind w:left="403"/>
      </w:pPr>
      <w:r>
        <w:rPr>
          <w:color w:val="8B8FA3"/>
          <w:sz w:val="17"/>
          <w:szCs w:val="17"/>
        </w:rPr>
        <w:t xml:space="preserve">Ref: pro-how-are-notifications-and-report-alerts-controlled-168</w:t>
      </w:r>
    </w:p>
    <w:p>
      <w:pPr>
        <w:keepNext/>
        <w:spacing w:after="90" w:before="220"/>
      </w:pPr>
      <w:r>
        <w:rPr>
          <w:b/>
          <w:bCs/>
          <w:color w:val="1A1C2E"/>
          <w:sz w:val="24"/>
          <w:szCs w:val="24"/>
        </w:rPr>
        <w:t xml:space="preserve">9.   Where is firm and client data hosted, and is it encrypted?</w:t>
      </w:r>
    </w:p>
    <w:p>
      <w:pPr>
        <w:spacing w:after="90"/>
        <w:ind w:left="403"/>
      </w:pPr>
      <w:r>
        <w:rPr>
          <w:sz w:val="22"/>
          <w:szCs w:val="22"/>
        </w:rPr>
        <w:t xml:space="preserve">AssurePro runs on Amazon Web Services (AWS) infrastructure.</w:t>
      </w:r>
    </w:p>
    <w:p>
      <w:pPr>
        <w:spacing w:after="90"/>
        <w:ind w:left="403"/>
      </w:pPr>
      <w:r>
        <w:rPr>
          <w:b/>
          <w:bCs/>
          <w:color w:val="4735BE"/>
          <w:sz w:val="18"/>
          <w:szCs w:val="18"/>
        </w:rPr>
        <w:t xml:space="preserve">More   </w:t>
      </w:r>
      <w:r>
        <w:rPr>
          <w:sz w:val="22"/>
          <w:szCs w:val="22"/>
        </w:rPr>
        <w:t xml:space="preserve">Firm and client data is protected using encryption both in transit and at rest. For stored credentials, AssurePro states that Firm Credentials and client Credentials use AES-256 encryption at rest — reveal access is controlled through permissions and engagement ownership, and credential-reveal activity is logged.</w:t>
      </w:r>
    </w:p>
    <w:p>
      <w:pPr>
        <w:spacing w:after="90"/>
        <w:ind w:left="403"/>
      </w:pPr>
      <w:r>
        <w:rPr>
          <w:b/>
          <w:bCs/>
          <w:color w:val="4735BE"/>
          <w:sz w:val="18"/>
          <w:szCs w:val="18"/>
        </w:rPr>
        <w:t xml:space="preserve">More   </w:t>
      </w:r>
      <w:r>
        <w:rPr>
          <w:sz w:val="22"/>
          <w:szCs w:val="22"/>
        </w:rPr>
        <w:t xml:space="preserve">Firms completing a security or vendor-risk review should request the latest AssureOne security documentation for details such as hosting architecture, data location, backup approach, retention, encryption, disaster recovery, and security controls.</w:t>
      </w:r>
    </w:p>
    <w:p>
      <w:pPr>
        <w:spacing w:after="90"/>
        <w:ind w:left="403"/>
      </w:pPr>
      <w:r>
        <w:rPr>
          <w:b/>
          <w:bCs/>
          <w:color w:val="4735BE"/>
          <w:sz w:val="18"/>
          <w:szCs w:val="18"/>
        </w:rPr>
        <w:t xml:space="preserve">More   </w:t>
      </w:r>
      <w:r>
        <w:rPr>
          <w:sz w:val="22"/>
          <w:szCs w:val="22"/>
        </w:rPr>
        <w:t xml:space="preserve">Because infrastructure and security controls can evolve, use the current AssureOne security documentation rather than relying only on knowledge-base summaries for formal due diligence.</w:t>
      </w:r>
    </w:p>
    <w:p>
      <w:pPr>
        <w:spacing w:after="40" w:before="70"/>
        <w:ind w:left="403"/>
      </w:pPr>
      <w:r>
        <w:rPr>
          <w:color w:val="8B8FA3"/>
          <w:sz w:val="17"/>
          <w:szCs w:val="17"/>
        </w:rPr>
        <w:t xml:space="preserve">Ref: pro-where-is-firm-and-client-data-hosted-and-is-it-encrypted-169</w:t>
      </w:r>
    </w:p>
    <w:p>
      <w:pPr>
        <w:keepNext/>
        <w:spacing w:after="90" w:before="220"/>
      </w:pPr>
      <w:r>
        <w:rPr>
          <w:b/>
          <w:bCs/>
          <w:color w:val="1A1C2E"/>
          <w:sz w:val="24"/>
          <w:szCs w:val="24"/>
        </w:rPr>
        <w:t xml:space="preserve">10.   Does AssurePro hold compliance certifications such as SOC 2?</w:t>
      </w:r>
    </w:p>
    <w:p>
      <w:pPr>
        <w:spacing w:after="90"/>
        <w:ind w:left="403"/>
      </w:pPr>
      <w:r>
        <w:rPr>
          <w:sz w:val="22"/>
          <w:szCs w:val="22"/>
        </w:rPr>
        <w:t xml:space="preserve">Security certifications, audit reports, and their coverage can change over time.</w:t>
      </w:r>
    </w:p>
    <w:p>
      <w:pPr>
        <w:spacing w:after="90"/>
        <w:ind w:left="403"/>
      </w:pPr>
      <w:r>
        <w:rPr>
          <w:b/>
          <w:bCs/>
          <w:color w:val="4735BE"/>
          <w:sz w:val="18"/>
          <w:szCs w:val="18"/>
        </w:rPr>
        <w:t xml:space="preserve">More   </w:t>
      </w:r>
      <w:r>
        <w:rPr>
          <w:sz w:val="22"/>
          <w:szCs w:val="22"/>
        </w:rPr>
        <w:t xml:space="preserve">If your firm is completing vendor due diligence, request the current AssureOne security and compliance package and verify the exact certification or report status before relying on it. The review should confirm items such as the certification or report name, services and products covered, audit period, current validity period, subservice organizations, customer responsibilities, and any bridge letter covering the period since the last audit.</w:t>
      </w:r>
    </w:p>
    <w:p>
      <w:pPr>
        <w:spacing w:after="90"/>
        <w:ind w:left="403"/>
      </w:pPr>
      <w:r>
        <w:rPr>
          <w:b/>
          <w:bCs/>
          <w:color w:val="4735BE"/>
          <w:sz w:val="18"/>
          <w:szCs w:val="18"/>
        </w:rPr>
        <w:t xml:space="preserve">More   </w:t>
      </w:r>
      <w:r>
        <w:rPr>
          <w:sz w:val="22"/>
          <w:szCs w:val="22"/>
        </w:rPr>
        <w:t xml:space="preserve">A bridge letter may be relevant when the most recent audit period does not extend through the date of your firm's security review. Your firm's security, compliance, or risk lead should review the current documentation directly.</w:t>
      </w:r>
    </w:p>
    <w:p>
      <w:pPr>
        <w:spacing w:after="90"/>
        <w:ind w:left="403"/>
      </w:pPr>
      <w:r>
        <w:rPr>
          <w:b/>
          <w:bCs/>
          <w:color w:val="4735BE"/>
          <w:sz w:val="18"/>
          <w:szCs w:val="18"/>
        </w:rPr>
        <w:t xml:space="preserve">More   </w:t>
      </w:r>
      <w:r>
        <w:rPr>
          <w:sz w:val="22"/>
          <w:szCs w:val="22"/>
        </w:rPr>
        <w:t xml:space="preserve">Do not treat language such as planned, in progress, or coming soon as evidence that a certification is already active.</w:t>
      </w:r>
    </w:p>
    <w:p>
      <w:pPr>
        <w:spacing w:after="40" w:before="70"/>
        <w:ind w:left="403"/>
      </w:pPr>
      <w:r>
        <w:rPr>
          <w:color w:val="8B8FA3"/>
          <w:sz w:val="17"/>
          <w:szCs w:val="17"/>
        </w:rPr>
        <w:t xml:space="preserve">Ref: pro-does-assurepro-hold-specific-compliance-certifications-such-as-soc-2-170</w:t>
      </w:r>
    </w:p>
    <w:p>
      <w:pPr>
        <w:keepNext/>
        <w:spacing w:after="90" w:before="220"/>
      </w:pPr>
      <w:r>
        <w:rPr>
          <w:b/>
          <w:bCs/>
          <w:color w:val="1A1C2E"/>
          <w:sz w:val="24"/>
          <w:szCs w:val="24"/>
        </w:rPr>
        <w:t xml:space="preserve">11.   Is multi-factor authentication available for firm users and client users?</w:t>
      </w:r>
    </w:p>
    <w:p>
      <w:pPr>
        <w:spacing w:after="90"/>
        <w:ind w:left="403"/>
      </w:pPr>
      <w:r>
        <w:rPr>
          <w:sz w:val="22"/>
          <w:szCs w:val="22"/>
        </w:rPr>
        <w:t xml:space="preserve">AssurePro currently uses a one-time email verification step during account activation for both firm users and client users.</w:t>
      </w:r>
    </w:p>
    <w:p>
      <w:pPr>
        <w:spacing w:after="90"/>
        <w:ind w:left="403"/>
      </w:pPr>
      <w:r>
        <w:rPr>
          <w:b/>
          <w:bCs/>
          <w:color w:val="4735BE"/>
          <w:sz w:val="18"/>
          <w:szCs w:val="18"/>
        </w:rPr>
        <w:t xml:space="preserve">More   </w:t>
      </w:r>
      <w:r>
        <w:rPr>
          <w:sz w:val="22"/>
          <w:szCs w:val="22"/>
        </w:rPr>
        <w:t xml:space="preserve">During activation, the user opens the invitation sent to their email address, verifies the invited email address using the verification step provided, creates a password, and uses those credentials for future sign-in. This activation verification confirms that the user has access to the invited mailbox — it is not the same as recurring multi-factor authentication at every sign-in.</w:t>
      </w:r>
    </w:p>
    <w:p>
      <w:pPr>
        <w:spacing w:after="90"/>
        <w:ind w:left="403"/>
      </w:pPr>
      <w:r>
        <w:rPr>
          <w:b/>
          <w:bCs/>
          <w:color w:val="4735BE"/>
          <w:sz w:val="18"/>
          <w:szCs w:val="18"/>
        </w:rPr>
        <w:t xml:space="preserve">More   </w:t>
      </w:r>
      <w:r>
        <w:rPr>
          <w:sz w:val="22"/>
          <w:szCs w:val="22"/>
        </w:rPr>
        <w:t xml:space="preserve">If a verification code or invitation does not arrive, for a firm user, confirm the email under Team &amp; Roles &gt; Invitations and resend the invitation if needed; for a client user, confirm the contact email on the client Info tab and resend the portal invitation. Ask the recipient to check spam or email-filtering folders before resending.</w:t>
      </w:r>
    </w:p>
    <w:p>
      <w:pPr>
        <w:spacing w:after="90"/>
        <w:ind w:left="403"/>
      </w:pPr>
      <w:r>
        <w:rPr>
          <w:b/>
          <w:bCs/>
          <w:color w:val="4735BE"/>
          <w:sz w:val="18"/>
          <w:szCs w:val="18"/>
        </w:rPr>
        <w:t xml:space="preserve">More   </w:t>
      </w:r>
      <w:r>
        <w:rPr>
          <w:sz w:val="22"/>
          <w:szCs w:val="22"/>
        </w:rPr>
        <w:t xml:space="preserve">Verification codes should not be forwarded between users because they are intended to confirm access to the specific mailbox that received the invitation.</w:t>
      </w:r>
    </w:p>
    <w:p>
      <w:pPr>
        <w:spacing w:after="40" w:before="70"/>
        <w:ind w:left="403"/>
      </w:pPr>
      <w:r>
        <w:rPr>
          <w:color w:val="8B8FA3"/>
          <w:sz w:val="17"/>
          <w:szCs w:val="17"/>
        </w:rPr>
        <w:t xml:space="preserve">Ref: pro-is-multi-factor-authentication-available-for-staff-and-client-portal-l-171</w:t>
      </w:r>
    </w:p>
    <w:p>
      <w:pPr>
        <w:keepNext/>
        <w:spacing w:after="90" w:before="220"/>
      </w:pPr>
      <w:r>
        <w:rPr>
          <w:b/>
          <w:bCs/>
          <w:color w:val="1A1C2E"/>
          <w:sz w:val="24"/>
          <w:szCs w:val="24"/>
        </w:rPr>
        <w:t xml:space="preserve">12.   Can the firm export its data if it cancels its AssurePro subscription?</w:t>
      </w:r>
    </w:p>
    <w:p>
      <w:pPr>
        <w:spacing w:after="90"/>
        <w:ind w:left="403"/>
      </w:pPr>
      <w:r>
        <w:rPr>
          <w:sz w:val="22"/>
          <w:szCs w:val="22"/>
        </w:rPr>
        <w:t xml:space="preserve">Yes, but the data-export and account-closure process should be planned with the AssureOne account team before access is terminated.</w:t>
      </w:r>
    </w:p>
    <w:p>
      <w:pPr>
        <w:spacing w:after="90"/>
        <w:ind w:left="403"/>
      </w:pPr>
      <w:r>
        <w:rPr>
          <w:b/>
          <w:bCs/>
          <w:color w:val="4735BE"/>
          <w:sz w:val="18"/>
          <w:szCs w:val="18"/>
        </w:rPr>
        <w:t xml:space="preserve">More   </w:t>
      </w:r>
      <w:r>
        <w:rPr>
          <w:sz w:val="22"/>
          <w:szCs w:val="22"/>
        </w:rPr>
        <w:t xml:space="preserve">The firm and AssureOne team should confirm the records that need to be retained, the documents that need to be exported, available export formats, the required historical period, export method, account-closure date, and validation responsibilities. Before the account is closed, download and review the agreed exports.</w:t>
      </w:r>
    </w:p>
    <w:p>
      <w:pPr>
        <w:spacing w:after="90"/>
        <w:ind w:left="403"/>
      </w:pPr>
      <w:r>
        <w:rPr>
          <w:b/>
          <w:bCs/>
          <w:color w:val="4735BE"/>
          <w:sz w:val="18"/>
          <w:szCs w:val="18"/>
        </w:rPr>
        <w:t xml:space="preserve">More   </w:t>
      </w:r>
      <w:r>
        <w:rPr>
          <w:sz w:val="22"/>
          <w:szCs w:val="22"/>
        </w:rPr>
        <w:t xml:space="preserve">A practical offboarding checklist can include exporting client and contact records, exporting open and historical engagement information where required, downloading required client documents, exporting billing and invoice records, exporting communication records where available and required, confirming that files open correctly, reconciling record counts against AssurePro, and storing the exported information in the firm's approved retention location.</w:t>
      </w:r>
    </w:p>
    <w:p>
      <w:pPr>
        <w:spacing w:after="90"/>
        <w:ind w:left="403"/>
      </w:pPr>
      <w:r>
        <w:rPr>
          <w:b/>
          <w:bCs/>
          <w:color w:val="4735BE"/>
          <w:sz w:val="18"/>
          <w:szCs w:val="18"/>
        </w:rPr>
        <w:t xml:space="preserve">More   </w:t>
      </w:r>
      <w:r>
        <w:rPr>
          <w:sz w:val="22"/>
          <w:szCs w:val="22"/>
        </w:rPr>
        <w:t xml:space="preserve">For example, compare the number of exported clients, active engagements, invoices, and documents with the totals visible in AssurePro before access ends. Keep the account active until the firm has confirmed that the required data has been exported, validated, and stored successfully.</w:t>
      </w:r>
    </w:p>
    <w:p>
      <w:pPr>
        <w:spacing w:after="40" w:before="70"/>
        <w:ind w:left="403"/>
      </w:pPr>
      <w:r>
        <w:rPr>
          <w:color w:val="8B8FA3"/>
          <w:sz w:val="17"/>
          <w:szCs w:val="17"/>
        </w:rPr>
        <w:t xml:space="preserve">Ref: pro-can-the-firm-export-its-data-if-it-cancels-its-assurepro-subscription-172</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26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AssurePro question review</dc:title>
  <dc:creator>AssureOne</dc:creator>
  <dc:description>166 AssurePro help centre questions for review</dc:description>
  <cp:lastModifiedBy>Un-named</cp:lastModifiedBy>
  <cp:revision>1</cp:revision>
  <dcterms:created xsi:type="dcterms:W3CDTF">2026-09-08T09:03:56.274Z</dcterms:created>
  <dcterms:modified xsi:type="dcterms:W3CDTF">2026-09-08T09:03:56.282Z</dcterms:modified>
</cp:coreProperties>
</file>

<file path=docProps/custom.xml><?xml version="1.0" encoding="utf-8"?>
<Properties xmlns="http://schemas.openxmlformats.org/officeDocument/2006/custom-properties" xmlns:vt="http://schemas.openxmlformats.org/officeDocument/2006/docPropsVTypes"/>
</file>