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0"/>
        <w:jc w:val="right"/>
      </w:pPr>
      <w:r>
        <w:rPr>
          <w:rFonts w:ascii="Arial" w:cs="Arial" w:eastAsia="Arial" w:hAnsi="Arial"/>
          <w:b/>
          <w:bCs/>
          <w:color w:val="0D1B2A"/>
          <w:sz w:val="34"/>
          <w:szCs w:val="34"/>
          <w:rtl/>
        </w:rPr>
        <w:t xml:space="preserve">مركز القيادة المباشر — حدائق الملك عبدالله</w:t>
      </w:r>
    </w:p>
    <w:p>
      <w:pPr>
        <w:pBdr>
          <w:bottom w:val="single" w:color="C9A84C" w:sz="14" w:space="8"/>
        </w:pBdr>
        <w:bidi/>
        <w:spacing w:after="70"/>
        <w:jc w:val="right"/>
      </w:pPr>
      <w:r>
        <w:rPr>
          <w:rFonts w:ascii="Arial" w:cs="Arial" w:eastAsia="Arial" w:hAnsi="Arial"/>
          <w:b/>
          <w:bCs/>
          <w:color w:val="C9A84C"/>
          <w:sz w:val="23"/>
          <w:szCs w:val="23"/>
          <w:rtl/>
        </w:rPr>
        <w:t xml:space="preserve">دليل التسليم التقني وخطوات الرفع — لفريق التطوير</w:t>
      </w:r>
    </w:p>
    <w:p>
      <w:pPr>
        <w:bidi/>
        <w:spacing w:after="120" w:before="60" w:line="312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  <w:rtl/>
        </w:rPr>
        <w:t xml:space="preserve">هذا الدليل يشرح النظام، وخطوات رفعه على Render، وحالة كل مكوّن (الجاهز والمتبقّي)، والعمل المطلوب لإكمال أتمتة التقارير.</w:t>
      </w:r>
    </w:p>
    <w:p>
      <w:pPr>
        <w:pStyle w:val="Heading1"/>
        <w:pBdr>
          <w:bottom w:val="single" w:color="C9A84C" w:sz="10" w:space="6"/>
        </w:pBdr>
        <w:bidi/>
        <w:spacing w:after="130" w:before="320"/>
        <w:jc w:val="right"/>
      </w:pPr>
      <w:r>
        <w:rPr>
          <w:rFonts w:ascii="Arial" w:cs="Arial" w:eastAsia="Arial" w:hAnsi="Arial"/>
          <w:b/>
          <w:bCs/>
          <w:color w:val="0D1B2A"/>
          <w:sz w:val="27"/>
          <w:szCs w:val="27"/>
          <w:rtl/>
        </w:rPr>
        <w:t xml:space="preserve">١) نظرة عامة على النظام</w:t>
      </w:r>
    </w:p>
    <w:p>
      <w:pPr>
        <w:bidi/>
        <w:spacing w:after="120" w:before="60" w:line="312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لوحة تحكم ويب تعرض حالة مشروع الافتتاح لحظيًا. خادم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Node.js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(بدون أي مكتبات خارجية) يقرأ البيانات من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Google Sheet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ويخدم الواجهة و واجهة برمجية للقراءة فقط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/api/state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. الواجهة تستعلم كل ٣ ثوانٍ فتتحدّث تلقائيًا.</w:t>
      </w:r>
    </w:p>
    <w:p>
      <w:pPr>
        <w:bidi/>
        <w:spacing w:after="70" w:before="180"/>
        <w:jc w:val="right"/>
      </w:pPr>
      <w:r>
        <w:rPr>
          <w:rFonts w:ascii="Arial" w:cs="Arial" w:eastAsia="Arial" w:hAnsi="Arial"/>
          <w:b/>
          <w:bCs/>
          <w:color w:val="0E7C7B"/>
          <w:sz w:val="23"/>
          <w:szCs w:val="23"/>
          <w:rtl/>
        </w:rPr>
        <w:t xml:space="preserve">المكوّنات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Consolas" w:cs="Consolas" w:eastAsia="Consolas" w:hAnsi="Consolas"/>
          <w:b/>
          <w:bCs/>
          <w:color w:val="1F2A37"/>
          <w:sz w:val="19"/>
          <w:szCs w:val="19"/>
        </w:rPr>
        <w:t xml:space="preserve">server.js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 — خادم Node: قراءة الشيت، القفل، الترويسات الأمنية، خدمة الواجهة.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Consolas" w:cs="Consolas" w:eastAsia="Consolas" w:hAnsi="Consolas"/>
          <w:b/>
          <w:bCs/>
          <w:color w:val="1F2A37"/>
          <w:sz w:val="19"/>
          <w:szCs w:val="19"/>
        </w:rPr>
        <w:t xml:space="preserve">public/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 — الواجهة: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index.html, script.js, style.css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والأصول.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مصدر البيانات: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Google Sheet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(معرّفه مثبّت في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server.js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وقابل للتجاوز بمتغيّر بيئة).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النشر: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Render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كـ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Web 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(وليس Static Site).</w:t>
      </w:r>
    </w:p>
    <w:p>
      <w:pPr>
        <w:pStyle w:val="Heading1"/>
        <w:pBdr>
          <w:bottom w:val="single" w:color="C9A84C" w:sz="10" w:space="6"/>
        </w:pBdr>
        <w:bidi/>
        <w:spacing w:after="130" w:before="320"/>
        <w:jc w:val="right"/>
      </w:pPr>
      <w:r>
        <w:rPr>
          <w:rFonts w:ascii="Arial" w:cs="Arial" w:eastAsia="Arial" w:hAnsi="Arial"/>
          <w:b/>
          <w:bCs/>
          <w:color w:val="0D1B2A"/>
          <w:sz w:val="27"/>
          <w:szCs w:val="27"/>
          <w:rtl/>
        </w:rPr>
        <w:t xml:space="preserve">٢) المتطلبات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Consolas" w:cs="Consolas" w:eastAsia="Consolas" w:hAnsi="Consolas"/>
          <w:b/>
          <w:bCs/>
          <w:color w:val="1F2A37"/>
          <w:sz w:val="19"/>
          <w:szCs w:val="19"/>
        </w:rPr>
        <w:t xml:space="preserve">Node.js 18+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 لتشغيل الخادم محليًا (اختياري للاختبار).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حساب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GitHub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(لرفع الكود) وحساب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Render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(للنشر).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صلاحية تحرير على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Google Sheet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الخاص بالمشروع.</w:t>
      </w:r>
    </w:p>
    <w:p>
      <w:pPr>
        <w:pStyle w:val="Heading1"/>
        <w:pBdr>
          <w:bottom w:val="single" w:color="C9A84C" w:sz="10" w:space="6"/>
        </w:pBdr>
        <w:bidi/>
        <w:spacing w:after="130" w:before="320"/>
        <w:jc w:val="right"/>
      </w:pPr>
      <w:r>
        <w:rPr>
          <w:rFonts w:ascii="Arial" w:cs="Arial" w:eastAsia="Arial" w:hAnsi="Arial"/>
          <w:b/>
          <w:bCs/>
          <w:color w:val="0D1B2A"/>
          <w:sz w:val="27"/>
          <w:szCs w:val="27"/>
          <w:rtl/>
        </w:rPr>
        <w:t xml:space="preserve">٣) خطوات رفع اللوحة (جاهزة الآن)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١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ارفع محتويات حزمة الكود إلى مستودع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GitHub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جديد (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Add file ▸ Upload files ▸ Commit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).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في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Render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New ▸ Web 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، اربط المستودع. اختر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Web 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(مهم: ليس Static Site).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٣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الخادم يقرأ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render.yaml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تلقائيًا (أمر التشغيل والمتغيّرات). أو اضبط يدويًا:</w:t>
      </w:r>
    </w:p>
    <w:p>
      <w:pPr>
        <w:shd w:fill="0D1B2A" w:val="clear"/>
        <w:bidi w:val="false"/>
        <w:spacing w:after="80" w:before="40" w:line="288"/>
        <w:ind w:left="160" w:right="160"/>
        <w:jc w:val="left"/>
      </w:pPr>
      <w:r>
        <w:rPr>
          <w:rFonts w:ascii="Consolas" w:cs="Consolas" w:eastAsia="Consolas" w:hAnsi="Consolas"/>
          <w:color w:val="E8EEF5"/>
          <w:sz w:val="18"/>
          <w:szCs w:val="18"/>
        </w:rPr>
        <w:t xml:space="preserve">Build Command:  (none)
Start Command:  node server.js
Health Check:   /api/health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٤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اضبط متغيّرات البيئة في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Render ▸ Environment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:</w:t>
      </w:r>
    </w:p>
    <w:p>
      <w:pPr>
        <w:shd w:fill="0D1B2A" w:val="clear"/>
        <w:bidi w:val="false"/>
        <w:spacing w:after="80" w:before="40" w:line="288"/>
        <w:ind w:left="160" w:right="160"/>
        <w:jc w:val="left"/>
      </w:pPr>
      <w:r>
        <w:rPr>
          <w:rFonts w:ascii="Consolas" w:cs="Consolas" w:eastAsia="Consolas" w:hAnsi="Consolas"/>
          <w:color w:val="E8EEF5"/>
          <w:sz w:val="18"/>
          <w:szCs w:val="18"/>
        </w:rPr>
        <w:t xml:space="preserve">REQUIRE_LOGIN = true
ADMIN_USER    = MAYADEEN
ADMIN_PASS    = (كلمة مرور قوية جديدة)
SHEET_ID      = 15m2VHVr7W2mWWz7g_Z5iMDxaIZuRshj-N3EtA9j4lWk
OPENING_DATE  = 2026-09-27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٥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شارك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Google Sheet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Share ▸ Anyone with the link ▸ Viewer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، أو انشره كـ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CSV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عبر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File ▸ Share ▸ Publish to web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. (إلزامي وإلا تظهر بيانات احتياطية.)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٦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بعد ظهور الحالة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Live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، افتح الرابط وتأكد: تظهر بوابة الدخول، وبعد الدخول تظهر اللوحة والمسارات الأربعة.</w:t>
      </w:r>
    </w:p>
    <w:p>
      <w:pPr>
        <w:pStyle w:val="Heading1"/>
        <w:pBdr>
          <w:bottom w:val="single" w:color="C9A84C" w:sz="10" w:space="6"/>
        </w:pBdr>
        <w:bidi/>
        <w:spacing w:after="130" w:before="320"/>
        <w:jc w:val="right"/>
      </w:pPr>
      <w:r>
        <w:rPr>
          <w:rFonts w:ascii="Arial" w:cs="Arial" w:eastAsia="Arial" w:hAnsi="Arial"/>
          <w:b/>
          <w:bCs/>
          <w:color w:val="0D1B2A"/>
          <w:sz w:val="27"/>
          <w:szCs w:val="27"/>
          <w:rtl/>
        </w:rPr>
        <w:t xml:space="preserve">٤) بنية بيانات Google Sheet</w:t>
      </w:r>
    </w:p>
    <w:p>
      <w:pPr>
        <w:bidi/>
        <w:spacing w:after="120" w:before="60" w:line="312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التبويب الحالي (مصدر اللوحة) — صف عنوان ثم صف لكل عنصر: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1040"/>
        <w:gridCol w:w="1080"/>
        <w:gridCol w:w="1000"/>
      </w:tblGrid>
      <w:tr>
        <w:tc>
          <w:tcPr>
            <w:tcW w:type="dxa" w:w="1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0D1B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  <w:tc>
          <w:tcPr>
            <w:tcW w:type="dxa" w:w="1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0D1B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النوع</w:t>
            </w:r>
          </w:p>
        </w:tc>
        <w:tc>
          <w:tcPr>
            <w:tcW w:type="dxa" w:w="312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0D1B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العنوان</w:t>
            </w:r>
          </w:p>
        </w:tc>
        <w:tc>
          <w:tcPr>
            <w:tcW w:type="dxa" w:w="1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0D1B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المسؤول</w:t>
            </w:r>
          </w:p>
        </w:tc>
        <w:tc>
          <w:tcPr>
            <w:tcW w:type="dxa" w:w="1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0D1B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1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0D1B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الاستحقاق</w:t>
            </w:r>
          </w:p>
        </w:tc>
      </w:tr>
      <w:tr>
        <w:tc>
          <w:tcPr>
            <w:tcW w:type="dxa" w:w="1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أ/ب/ج/د</w:t>
            </w:r>
          </w:p>
        </w:tc>
        <w:tc>
          <w:tcPr>
            <w:tcW w:type="dxa" w:w="1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tasks/risks/permits/milestones</w:t>
            </w:r>
          </w:p>
        </w:tc>
        <w:tc>
          <w:tcPr>
            <w:tcW w:type="dxa" w:w="312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نص البند</w:t>
            </w:r>
          </w:p>
        </w:tc>
        <w:tc>
          <w:tcPr>
            <w:tcW w:type="dxa" w:w="1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الجهة</w:t>
            </w:r>
          </w:p>
        </w:tc>
        <w:tc>
          <w:tcPr>
            <w:tcW w:type="dxa" w:w="13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مكتملة/قيد التنفيذ/معرضة للخطر</w:t>
            </w:r>
          </w:p>
        </w:tc>
        <w:tc>
          <w:tcPr>
            <w:tcW w:type="dxa" w:w="10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YYYY-MM-DD</w:t>
            </w:r>
          </w:p>
        </w:tc>
      </w:tr>
    </w:tbl>
    <w:p>
      <w:pPr>
        <w:pBdr>
          <w:top w:val="single" w:color="C9A84C" w:sz="4"/>
          <w:left w:val="single" w:color="C9A84C" w:sz="4"/>
          <w:bottom w:val="single" w:color="C9A84C" w:sz="4"/>
          <w:right w:val="single" w:color="C9A84C" w:sz="18"/>
        </w:pBdr>
        <w:shd w:fill="FBF4DE" w:val="clear"/>
        <w:bidi/>
        <w:spacing w:after="120" w:before="80" w:line="312"/>
        <w:ind w:left="160" w:right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3A52"/>
          <w:sz w:val="22"/>
          <w:szCs w:val="22"/>
          <w:rtl/>
        </w:rPr>
        <w:t xml:space="preserve">قيم الحالة المعتمدة: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منجز = (مكتملة، معتمدة) · نشط = (قيد التنفيذ، تحت المتابعة) · خطر = (معرضة للخطر، متأخر).</w:t>
      </w:r>
    </w:p>
    <w:p>
      <w:pPr>
        <w:pStyle w:val="Heading1"/>
        <w:pBdr>
          <w:bottom w:val="single" w:color="C9A84C" w:sz="10" w:space="6"/>
        </w:pBdr>
        <w:bidi/>
        <w:spacing w:after="130" w:before="320"/>
        <w:jc w:val="right"/>
      </w:pPr>
      <w:r>
        <w:rPr>
          <w:rFonts w:ascii="Arial" w:cs="Arial" w:eastAsia="Arial" w:hAnsi="Arial"/>
          <w:b/>
          <w:bCs/>
          <w:color w:val="0D1B2A"/>
          <w:sz w:val="27"/>
          <w:szCs w:val="27"/>
          <w:rtl/>
        </w:rPr>
        <w:t xml:space="preserve">٥) أتمتة التقارير (PowerPoint) — العمل المتبقّي</w:t>
      </w:r>
    </w:p>
    <w:p>
      <w:pPr>
        <w:bidi/>
        <w:spacing w:after="120" w:before="60" w:line="312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الهدف: زر داخل اللوحة يولّد تقرير القيادة (PowerPoint) معبّأً ببيانات حية على قوالب ميادين.</w:t>
      </w:r>
    </w:p>
    <w:p>
      <w:pPr>
        <w:bidi/>
        <w:spacing w:after="70" w:before="180"/>
        <w:jc w:val="right"/>
      </w:pPr>
      <w:r>
        <w:rPr>
          <w:rFonts w:ascii="Arial" w:cs="Arial" w:eastAsia="Arial" w:hAnsi="Arial"/>
          <w:b/>
          <w:bCs/>
          <w:color w:val="0E7C7B"/>
          <w:sz w:val="23"/>
          <w:szCs w:val="23"/>
          <w:rtl/>
        </w:rPr>
        <w:t xml:space="preserve">الوضع الحالي (نموذج أولي يعمل)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محرّك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Python (python-pptx)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gen_comprehensive.py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— يقرأ التحديث اليومي من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CSV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ويعبّي قالب الشامل (شريحة الملخص التنفيذي) مع الحفاظ على التصميم. مُختبَر ويُنتج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out_comprehensive.pptx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.</w:t>
      </w:r>
    </w:p>
    <w:p>
      <w:pPr>
        <w:bidi/>
        <w:spacing w:after="70" w:before="180"/>
        <w:jc w:val="right"/>
      </w:pPr>
      <w:r>
        <w:rPr>
          <w:rFonts w:ascii="Arial" w:cs="Arial" w:eastAsia="Arial" w:hAnsi="Arial"/>
          <w:b/>
          <w:bCs/>
          <w:color w:val="0E7C7B"/>
          <w:sz w:val="23"/>
          <w:szCs w:val="23"/>
          <w:rtl/>
        </w:rPr>
        <w:t xml:space="preserve">الخطوات لإكماله (مطلوبة من الفريق)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١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توسيع المحرّك ليعبّي بقية شرائح الشامل (تفاصيل المسارات، المخاطر، القرارات) ثم قالبي «المسار الواحد» و«الأسبوعي». خريطة مواضع الحقول موثّقة داخل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gen_comprehensive.py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(المطابقة بالنص الدليلي + الإحداثي y).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٢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إضافة تبويبين في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Google Sheet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: «التحديث_اليومي» و«القضايا_الحرجة» بنفس أعمدة ملفّي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CSV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المرفقين.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٣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تعديل المحرّك ليقرأ من الشيت مباشرة (نفس روابط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gviz/CSV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) بدل الملفات المحلية.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٤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تشغيل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Python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على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Render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. التوصية المعمارية: خدمة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Python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منفصلة (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Flask/FastAPI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) تستضيف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POST /generate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تُرجع ملف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PPTX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، واللوحة (Node) تستدعيها. أنظف من دمج Python داخل خادم Node.</w:t>
      </w:r>
    </w:p>
    <w:p>
      <w:pPr>
        <w:bidi/>
        <w:spacing w:after="70" w:before="40" w:line="308"/>
        <w:ind w:right="280" w:hanging="300"/>
        <w:jc w:val="right"/>
      </w:pPr>
      <w:r>
        <w:rPr>
          <w:rFonts w:ascii="Arial" w:cs="Arial" w:eastAsia="Arial" w:hAnsi="Arial"/>
          <w:b/>
          <w:bCs/>
          <w:color w:val="C9A84C"/>
          <w:sz w:val="21"/>
          <w:szCs w:val="21"/>
          <w:rtl/>
        </w:rPr>
        <w:t xml:space="preserve">٥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إضافة زر «ولّد تقرير القيادة» في الواجهة → ينادي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/generate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→ ينزّل الملف فورًا.</w:t>
      </w:r>
    </w:p>
    <w:p>
      <w:pPr>
        <w:pBdr>
          <w:top w:val="single" w:color="C9A84C" w:sz="4"/>
          <w:left w:val="single" w:color="C9A84C" w:sz="4"/>
          <w:bottom w:val="single" w:color="C9A84C" w:sz="4"/>
          <w:right w:val="single" w:color="C9A84C" w:sz="18"/>
        </w:pBdr>
        <w:shd w:fill="FBF4DE" w:val="clear"/>
        <w:bidi/>
        <w:spacing w:after="120" w:before="80" w:line="312"/>
        <w:ind w:left="160" w:right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9A6A00"/>
          <w:sz w:val="22"/>
          <w:szCs w:val="22"/>
          <w:rtl/>
        </w:rPr>
        <w:t xml:space="preserve">ملاحظة معمارية مهمة: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القوالب مبنية من صناديق نصية حرّة (ليست جداول PowerPoint)، فالتعبئة تتم بمطابقة النص الدليلي والموضع. أي تعديل في تصميم القوالب يستلزم تحديث خريطة المطابقة في المحرّك.</w:t>
      </w:r>
    </w:p>
    <w:p>
      <w:pPr>
        <w:pStyle w:val="Heading1"/>
        <w:pBdr>
          <w:bottom w:val="single" w:color="C9A84C" w:sz="10" w:space="6"/>
        </w:pBdr>
        <w:bidi/>
        <w:spacing w:after="130" w:before="320"/>
        <w:jc w:val="right"/>
      </w:pPr>
      <w:r>
        <w:rPr>
          <w:rFonts w:ascii="Arial" w:cs="Arial" w:eastAsia="Arial" w:hAnsi="Arial"/>
          <w:b/>
          <w:bCs/>
          <w:color w:val="0D1B2A"/>
          <w:sz w:val="27"/>
          <w:szCs w:val="27"/>
          <w:rtl/>
        </w:rPr>
        <w:t xml:space="preserve">٦) ملاحظات الأمان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القفل مفعّل افتراضيًا (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REQUIRE_LOGIN=true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)؛ غيّروا كلمة المرور الافتراضية فورًا عبر متغيّرات البيئة.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سياسة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CSP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مضبوطة في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server.js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؛ وُسِّعت للسماح ببث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HLS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(مشغّل الفيديو) ومصادر يوتيوب — راجعوها إذا شُدِّدت المتطلبات.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النقل آمن عبر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HTTPS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من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Render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تلقائيًا. يُنصح بنسخ احتياطي دوري لمحتوى الشيت.</w:t>
      </w:r>
    </w:p>
    <w:p>
      <w:pPr>
        <w:pStyle w:val="Heading1"/>
        <w:pBdr>
          <w:bottom w:val="single" w:color="C9A84C" w:sz="10" w:space="6"/>
        </w:pBdr>
        <w:bidi/>
        <w:spacing w:after="130" w:before="320"/>
        <w:jc w:val="right"/>
      </w:pPr>
      <w:r>
        <w:rPr>
          <w:rFonts w:ascii="Arial" w:cs="Arial" w:eastAsia="Arial" w:hAnsi="Arial"/>
          <w:b/>
          <w:bCs/>
          <w:color w:val="0D1B2A"/>
          <w:sz w:val="27"/>
          <w:szCs w:val="27"/>
          <w:rtl/>
        </w:rPr>
        <w:t xml:space="preserve">٧) حالة الإنجاز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0D1B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0D1B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0D1B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المسؤول</w:t>
            </w:r>
          </w:p>
        </w:tc>
      </w:tr>
      <w:tr>
        <w:tc>
          <w:tcPr>
            <w:tcW w:type="dxa" w:w="54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اللوحة الأساسية (٤ مسارات، مؤشرات، جدول زمني، قفل)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AF6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  <w:rtl/>
              </w:rPr>
              <w:t xml:space="preserve">جاهز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منجز</w:t>
            </w:r>
          </w:p>
        </w:tc>
      </w:tr>
      <w:tr>
        <w:tc>
          <w:tcPr>
            <w:tcW w:type="dxa" w:w="54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مركز القرارات الاستباقي (تنبيهات تلقائية)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AF6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  <w:rtl/>
              </w:rPr>
              <w:t xml:space="preserve">جاهز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منجز</w:t>
            </w:r>
          </w:p>
        </w:tc>
      </w:tr>
      <w:tr>
        <w:tc>
          <w:tcPr>
            <w:tcW w:type="dxa" w:w="54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البث المباشر (العربية عبر HLS)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BF4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  <w:rtl/>
              </w:rPr>
              <w:t xml:space="preserve">جاهز — يلزم تأكيد بعد النشر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منجز/تحقق</w:t>
            </w:r>
          </w:p>
        </w:tc>
      </w:tr>
      <w:tr>
        <w:tc>
          <w:tcPr>
            <w:tcW w:type="dxa" w:w="54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محرّك التقارير — قالب الشامل (الملخص التنفيذي)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BF4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  <w:rtl/>
              </w:rPr>
              <w:t xml:space="preserve">نموذج أولي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منجز جزئيًا</w:t>
            </w:r>
          </w:p>
        </w:tc>
      </w:tr>
      <w:tr>
        <w:tc>
          <w:tcPr>
            <w:tcW w:type="dxa" w:w="54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بقية شرائح التقارير + القالبان الآخران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BEA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B23A3A"/>
                <w:sz w:val="18"/>
                <w:szCs w:val="18"/>
                <w:rtl/>
              </w:rPr>
              <w:t xml:space="preserve">متبقٍ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الفريق</w:t>
            </w:r>
          </w:p>
        </w:tc>
      </w:tr>
      <w:tr>
        <w:tc>
          <w:tcPr>
            <w:tcW w:type="dxa" w:w="54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ربط التقارير بالشيت (تبويب التحديث اليومي)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BEA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B23A3A"/>
                <w:sz w:val="18"/>
                <w:szCs w:val="18"/>
                <w:rtl/>
              </w:rPr>
              <w:t xml:space="preserve">متبقٍ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الفريق</w:t>
            </w:r>
          </w:p>
        </w:tc>
      </w:tr>
      <w:tr>
        <w:tc>
          <w:tcPr>
            <w:tcW w:type="dxa" w:w="54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زر التقرير + تشغيل Python على Render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BEA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/>
                <w:bCs/>
                <w:color w:val="B23A3A"/>
                <w:sz w:val="18"/>
                <w:szCs w:val="18"/>
                <w:rtl/>
              </w:rPr>
              <w:t xml:space="preserve">متبقٍ</w:t>
            </w:r>
          </w:p>
        </w:tc>
        <w:tc>
          <w:tcPr>
            <w:tcW w:type="dxa" w:w="195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7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  <w:rtl/>
              </w:rPr>
              <w:t xml:space="preserve">الفريق</w:t>
            </w:r>
          </w:p>
        </w:tc>
      </w:tr>
    </w:tbl>
    <w:p>
      <w:pPr>
        <w:pStyle w:val="Heading1"/>
        <w:pBdr>
          <w:bottom w:val="single" w:color="C9A84C" w:sz="10" w:space="6"/>
        </w:pBdr>
        <w:bidi/>
        <w:spacing w:after="130" w:before="320"/>
        <w:jc w:val="right"/>
      </w:pPr>
      <w:r>
        <w:rPr>
          <w:rFonts w:ascii="Arial" w:cs="Arial" w:eastAsia="Arial" w:hAnsi="Arial"/>
          <w:b/>
          <w:bCs/>
          <w:color w:val="0D1B2A"/>
          <w:sz w:val="27"/>
          <w:szCs w:val="27"/>
          <w:rtl/>
        </w:rPr>
        <w:t xml:space="preserve">٨) الملفات المرفقة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Consolas" w:cs="Consolas" w:eastAsia="Consolas" w:hAnsi="Consolas"/>
          <w:b/>
          <w:bCs/>
          <w:color w:val="1F2A37"/>
          <w:sz w:val="19"/>
          <w:szCs w:val="19"/>
        </w:rPr>
        <w:t xml:space="preserve">KAG_FINAL_COMPLETE.zip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 — كامل اللوحة جاهزة للرفع (Node + الواجهة + مركز القرارات + البث).</w:t>
      </w:r>
    </w:p>
    <w:p>
      <w:pPr>
        <w:bidi/>
        <w:spacing w:after="60" w:before="26" w:line="300"/>
        <w:ind w:right="260" w:hanging="210"/>
        <w:jc w:val="right"/>
      </w:pPr>
      <w:r>
        <w:rPr>
          <w:rFonts w:ascii="Arial" w:cs="Arial" w:eastAsia="Arial" w:hAnsi="Arial"/>
          <w:color w:val="C9A84C"/>
          <w:sz w:val="16"/>
          <w:szCs w:val="16"/>
          <w:rtl/>
        </w:rPr>
        <w:t xml:space="preserve">◆  </w:t>
      </w:r>
      <w:r>
        <w:rPr>
          <w:rFonts w:ascii="Consolas" w:cs="Consolas" w:eastAsia="Consolas" w:hAnsi="Consolas"/>
          <w:b/>
          <w:bCs/>
          <w:color w:val="1F2A37"/>
          <w:sz w:val="19"/>
          <w:szCs w:val="19"/>
        </w:rPr>
        <w:t xml:space="preserve">report_engine/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  — محرّك التقارير: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gen_comprehensive.py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، قوالب البيانات </w:t>
      </w:r>
      <w:r>
        <w:rPr>
          <w:rFonts w:ascii="Consolas" w:cs="Consolas" w:eastAsia="Consolas" w:hAnsi="Consolas"/>
          <w:b w:val="false"/>
          <w:bCs w:val="false"/>
          <w:color w:val="1F2A37"/>
          <w:sz w:val="19"/>
          <w:szCs w:val="19"/>
        </w:rPr>
        <w:t xml:space="preserve">CSV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7"/>
          <w:sz w:val="22"/>
          <w:szCs w:val="22"/>
          <w:rtl/>
        </w:rPr>
        <w:t xml:space="preserve">، والقالب، ومثال الناتج، ودليل مختصر.</w:t>
      </w:r>
    </w:p>
    <w:p>
      <w:pPr>
        <w:bidi/>
        <w:spacing w:after="120" w:before="60" w:line="312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  <w:rtl/>
        </w:rPr>
        <w:t xml:space="preserve">نقطة البداية الموصى بها للفريق: ارفعوا اللوحة الآن (القسم ٣) لتشتغل فورًا، ثم أكملوا أتمتة التقارير (القسم ٥) على التوازي.</w:t>
      </w:r>
    </w:p>
    <w:sectPr>
      <w:footerReference w:type="default" r:id="rId7"/>
      <w:pgSz w:w="12240" w:h="15840" w:orient="portrait"/>
      <w:pgMar w:top="1180" w:right="1300" w:bottom="11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475569"/>
        <w:sz w:val="15"/>
        <w:szCs w:val="15"/>
        <w:rtl/>
      </w:rPr>
      <w:t xml:space="preserve">دليل التسليم التقني — مركز القيادة المباشر · حدائق الملك عبدالله   •   صفحة </w:t>
    </w:r>
    <w:r>
      <w:rPr>
        <w:rFonts w:ascii="Arial" w:cs="Arial" w:eastAsia="Arial" w:hAnsi="Arial"/>
        <w:color w:val="4755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20"/>
      <w:outlineLvl w:val="0"/>
    </w:pPr>
    <w:rPr>
      <w:rFonts w:ascii="Arial" w:cs="Arial" w:eastAsia="Arial" w:hAnsi="Arial"/>
      <w:b/>
      <w:bCs/>
      <w:color w:val="0D1B2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2026-06-08T03:07:36.048Z</dcterms:created>
  <dcterms:modified xsi:type="dcterms:W3CDTF">2026-06-08T03:07:36.048Z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