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问题三模型建立与求解</w:t>
      </w:r>
    </w:p>
    <w:p>
      <w:pPr>
        <w:pStyle w:val="Heading2"/>
      </w:pPr>
      <w:r>
        <w:t>问题三分析</w:t>
      </w:r>
    </w:p>
    <w:p>
      <w:pPr>
        <w:pStyle w:val="BodyText"/>
      </w:pPr>
      <w:r>
        <w:t>问题三要求以啤酒风格为条件生成合理的化合物谱，给出生成样本的感官画像，并将源啤酒迁移到目标风格，同时控制缺陷化合物不恶化。该问同时涉及条件联合分布估计、感官映射和受约束搜索三个环节：生成模型负责保持风格内的边缘分布与相关结构，第一问的感官模型负责将生成谱映射为相对感官画像，迁移模型则在目标接近、谱改动和缺陷限制之间寻找可核验候选。</w:t>
      </w:r>
    </w:p>
    <w:p>
      <w:pPr>
        <w:pStyle w:val="BodyText"/>
      </w:pPr>
      <w:r>
        <w:t>数据包含250款啤酒、231个化学及理化字段和22个风格标签；Tripel、Kriek、Lambic分别只有28、10、11个样本。高维字段数接近样本量，直接按风格估计完整协方差容易不稳定；部分字段还存在检测地板、缺失或参考值冲突。因此本文保留字段原尺度和观测状态，采用风格内经验边缘与收缩相关结构生成联合谱，并把未知源浓度与未知阈值从缺陷通过分母中分离。</w:t>
      </w:r>
    </w:p>
    <w:p>
      <w:pPr>
        <w:pStyle w:val="Heading2"/>
      </w:pPr>
      <w:r>
        <w:t>问题三模型</w:t>
      </w:r>
    </w:p>
    <w:p>
      <w:pPr>
        <w:pStyle w:val="Heading3"/>
      </w:pPr>
      <w:r>
        <w:t>数据口径与预处理</w:t>
      </w:r>
    </w:p>
    <w:p>
      <w:pPr>
        <w:pStyle w:val="BodyText"/>
      </w:pPr>
      <w:r>
        <w:t>以beer作为唯一连接键，beer_id不参与建模。保留250个样本和原始缺失；对正值成对比对识别37个log10字段和33个原尺度字段，其余字段保持附件的存储尺度。进一步记录80个正值不一致单元和3个负参考值，将缺失、校准零、参考冲突与可比观测分开保存。生成与迁移均在训练折内完成分位、尺度、相关阵和边界计算，避免把全数据描述量带入外层评价。</w:t>
      </w:r>
    </w:p>
    <w:p>
      <w:pPr>
        <w:pStyle w:val="BodyText"/>
        <w:jc w:val="center"/>
      </w:pPr>
      <w:r>
        <w:rPr>
          <w:rFonts w:ascii="宋体" w:hAnsi="宋体"/>
          <w:b/>
          <w:sz w:val="20"/>
        </w:rPr>
        <w:t>表1  问题三数据口径与处理规则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对象</w:t>
            </w:r>
          </w:p>
        </w:tc>
        <w:tc>
          <w:tcPr>
            <w:tcW w:type="dxa" w:w="4320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处理规则</w:t>
            </w:r>
          </w:p>
        </w:tc>
        <w:tc>
          <w:tcPr>
            <w:tcW w:type="dxa" w:w="388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保留的边界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主键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按beer对齐化学谱、风格和感官数据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beer_id不连接、不建模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化学字段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按字段级核验结果保留log10或原尺度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不对所有字段统一指数化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缺失/地板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保留缺失掩码和地板状态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未知浓度不作为安全上限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感官画像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使用第一问最终感官组收缩NNLS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0–6仅作训练折经验映射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迁移约束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已知直接浓度逐项比较，未知项返回未知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未知不计入通过分母</w:t>
            </w:r>
          </w:p>
        </w:tc>
      </w:tr>
    </w:tbl>
    <w:p>
      <w:pPr>
        <w:pStyle w:val="Heading3"/>
      </w:pPr>
      <w:r>
        <w:t>风格条件收缩Copula</w:t>
      </w:r>
    </w:p>
    <w:p>
      <w:pPr>
        <w:pStyle w:val="BodyText"/>
      </w:pPr>
      <w:r>
        <w:t>设风格为s，第k个字段的风格内经验分位函数为Qsk。对风格内观测按字段取平均秩，并把秩映射到标准正态空间：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m:sty m:val="i"/>
                    </m:rPr>
                    <m:t>z</m:t>
                  </m:r>
                </m:e>
                <m:sub>
                  <m:r>
                    <m:rPr>
                      <m:sty m:val="i"/>
                    </m:rPr>
                    <m:t>ik</m:t>
                  </m:r>
                </m:sub>
              </m:sSub>
              <m:r>
                <m:rPr>
                  <m:sty m:val="p"/>
                </m:rPr>
                <m:t> = 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−1</m:t>
                  </m:r>
                </m:sup>
              </m:sSup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m:rPr>
                          <m:sty m:val="i"/>
                        </m:rPr>
                        <m:t>ik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b>
                      <m:r>
                        <m:rPr>
                          <m:sty m:val="i"/>
                        </m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(1)</w:t>
            </w:r>
          </w:p>
        </w:tc>
      </w:tr>
    </w:tbl>
    <w:p>
      <w:pPr>
        <w:pStyle w:val="BodyText"/>
      </w:pPr>
      <w:r>
        <w:t>在潜在空间中，对风格内协方差向总体对角结构收缩；Ds为协方差的对角阵，p为字段数。对称化和非负特征值修正只用于保证相关阵可采样。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r>
                <m:rPr>
                  <m:sty m:val="i"/>
                </m:rPr>
                <m:t>Σ</m:t>
              </m:r>
              <m:r>
                <m:rPr>
                  <m:sty m:val="p"/>
                </m:rPr>
                <m:t>~</m:t>
              </m:r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r>
                <m:rPr>
                  <m:sty m:val="p"/>
                </m:rPr>
                <m:t> = (1−</m:t>
              </m:r>
              <m:sSub>
                <m:e>
                  <m:r>
                    <m:rPr>
                      <m:sty m:val="i"/>
                    </m:rPr>
                    <m:t>α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Σ</m:t>
              </m:r>
              <m:r>
                <m:rPr>
                  <m:sty m:val="p"/>
                </m:rPr>
                <m:t>^</m:t>
              </m:r>
              <m:r>
                <m:rPr>
                  <m:sty m:val="p"/>
                </m:rPr>
                <m:t> + </m:t>
              </m:r>
              <m:sSub>
                <m:e>
                  <m:r>
                    <m:rPr>
                      <m:sty m:val="i"/>
                    </m:rPr>
                    <m:t>α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r>
                <m:rPr>
                  <m:sty m:val="p"/>
                </m:rPr>
                <m:t>tr(</m:t>
              </m:r>
              <m:r>
                <m:rPr>
                  <m:sty m:val="i"/>
                </m:rPr>
                <m:t>Σ</m:t>
              </m:r>
              <m:r>
                <m:rPr>
                  <m:sty m:val="p"/>
                </m:rPr>
                <m:t>)/p I</m:t>
              </m:r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m:sty m:val="i"/>
                    </m:rPr>
                    <m:t>R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r>
                <m:rPr>
                  <m:sty m:val="p"/>
                </m:rPr>
                <m:t> = </m:t>
              </m:r>
              <m:sSup>
                <m:e>
                  <m:r>
                    <m:rPr>
                      <m:sty m:val="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−1/2</m:t>
                  </m:r>
                </m:sup>
              </m:sSup>
              <m:sSub>
                <m:e>
                  <m:r>
                    <m:rPr>
                      <m:sty m:val="i"/>
                    </m:rPr>
                    <m:t>Σ</m:t>
                  </m:r>
                </m:e>
                <m:sub>
                  <m:r>
                    <m:rPr>
                      <m:sty m:val="i"/>
                    </m:rPr>
                    <m:t>s</m:t>
                  </m:r>
                </m:sub>
              </m:sSub>
              <m:sSup>
                <m:e>
                  <m:r>
                    <m:rPr>
                      <m:sty m:val="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−1/2</m:t>
                  </m:r>
                </m:sup>
              </m:sSup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(3)</w:t>
            </w:r>
          </w:p>
        </w:tc>
      </w:tr>
    </w:tbl>
    <w:p>
      <w:pPr>
        <w:pStyle w:val="BodyText"/>
      </w:pPr>
      <w:r>
        <w:t>从标准正态相关分布采样后，按训练风格的经验边缘分位函数反变换，保留每个字段的非正态边缘并共享稳定的依赖结构。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 = </m:t>
              </m:r>
              <m:sSub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sk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b>
                <m:e>
                  <m:sSup>
                    <m:e>
                      <m:r>
                        <m:rPr>
                          <m:sty m:val="i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))</m:t>
              </m:r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(4)</w:t>
            </w:r>
          </w:p>
        </w:tc>
      </w:tr>
    </w:tbl>
    <w:p>
      <w:pPr>
        <w:pStyle w:val="BodyText"/>
      </w:pPr>
      <w:r>
        <w:t>该模型不把三个目标风格的均值简单平移到同一空间，也不将生成尾部解释为实测浓度。评价同时使用边缘W1、联合energy、留出覆盖率、对数离散误差、秩相关误差和近训练复制率。</w:t>
      </w:r>
    </w:p>
    <w:p>
      <w:pPr>
        <w:pStyle w:val="Heading3"/>
      </w:pPr>
      <w:r>
        <w:t>感官画像与相对等级</w:t>
      </w:r>
    </w:p>
    <w:p>
      <w:pPr>
        <w:pStyle w:val="BodyText"/>
      </w:pPr>
      <w:r>
        <w:t>每个生成谱通过第一问最终感官组收缩NNLS得到50维标准化感官预测。画像汇总每种风格300份生成谱的均值和样本间第10–90百分位范围；该区间描述生成样本散布，不是均值置信区间。为便于读者比较，逐目标预测再按对应训练折的经验分布做单调0–6映射，完整50维结果保留在机器可读表中，正文只展示预先指定的六个维度。</w:t>
      </w:r>
    </w:p>
    <w:p>
      <w:pPr>
        <w:pStyle w:val="BodyText"/>
        <w:jc w:val="center"/>
      </w:pPr>
      <w:r>
        <w:rPr>
          <w:rFonts w:ascii="宋体" w:hAnsi="宋体"/>
          <w:b/>
          <w:sz w:val="20"/>
        </w:rPr>
        <w:t>表2  三种风格生成样本的六维相对画像均值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维度</w:t>
            </w:r>
          </w:p>
        </w:tc>
        <w:tc>
          <w:tcPr>
            <w:tcW w:type="dxa" w:w="2160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Tripel</w:t>
            </w:r>
          </w:p>
        </w:tc>
        <w:tc>
          <w:tcPr>
            <w:tcW w:type="dxa" w:w="2160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Kriek</w:t>
            </w:r>
          </w:p>
        </w:tc>
        <w:tc>
          <w:tcPr>
            <w:tcW w:type="dxa" w:w="2160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Lambic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酒精感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4.4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1.1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苦味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3.9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1.1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酒花味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3.7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4VG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4.6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1.3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酸度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3.0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5.6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5.6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乳酸感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2.9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5.6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5.7</w:t>
            </w:r>
          </w:p>
        </w:tc>
      </w:tr>
    </w:tbl>
    <w:p>
      <w:pPr>
        <w:pStyle w:val="Heading3"/>
      </w:pPr>
      <w:r>
        <w:t>受约束迁移</w:t>
      </w:r>
    </w:p>
    <w:p>
      <w:pPr>
        <w:pStyle w:val="BodyText"/>
      </w:pPr>
      <w:r>
        <w:t>设源谱为x0，目标风格候选端点为a，沿线性路径搜索：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) = (1−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₀ + </m:t>
              </m:r>
              <m:r>
                <m:rPr>
                  <m:sty m:val="i"/>
                </m:rPr>
                <m:t>λ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, 0≤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≤1</m:t>
              </m:r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(5)</w:t>
            </w:r>
          </w:p>
        </w:tc>
      </w:tr>
    </w:tbl>
    <w:p>
      <w:pPr>
        <w:pStyle w:val="BodyText"/>
      </w:pPr>
      <w:r>
        <w:t>对DMS、双乙酰、4VG和trans-2-nonenal，仅在源浓度可核验时施加不升约束；投影只下调超过上限的候选值，不用插补值替代未知源浓度。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* = min{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)), 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₀)}</m:t>
              </m:r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(6)</w:t>
            </w:r>
          </w:p>
        </w:tc>
      </w:tr>
    </w:tbl>
    <w:p>
      <w:pPr>
        <w:pStyle w:val="BodyText"/>
      </w:pPr>
      <w:r>
        <w:t>目标接近用目标风格相关结构下的Mahalanobis距离衡量，谱改动用全字段标准差归一化后的RMS衡量；两者是化学设计空间中的距离，不等同于酿造成本或成对迁移真值。感官搜索要求Stale hops的预测均值和重复90%分位均不升，并要求至少1%的目标接近。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 = 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μ</m:t>
                  </m:r>
                  <m:r>
                    <m:rPr>
                      <m:sty m:val="p"/>
                    </m:rPr>
                    <m:t>)ᵀ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⁻¹(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</w:tcPr>
          <w:p/>
        </w:tc>
        <w:tc>
          <w:tcPr>
            <w:tcW w:type="dxa" w:w="8496"/>
            <w:vAlign w:val="center"/>
          </w:tcPr>
          <w:p>
            <w:pPr>
              <w:jc w:val="center"/>
            </w:pPr>
            <m:oMath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₀) = </m:t>
              </m:r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i"/>
                        </m:rPr>
                        <m:t>p</m:t>
                      </m:r>
                    </m:den>
                  </m:f>
                  <m:r>
                    <m:rPr>
                      <m:sty m:val="p"/>
                    </m:rP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₀</m:t>
                  </m:r>
                  <m:r>
                    <m:rPr>
                      <m:sty m:val="p"/>
                    </m:rPr>
                    <m:t>)²</m:t>
                  </m:r>
                </m:e>
              </m:rad>
            </m:oMath>
          </w:p>
        </w:tc>
        <w:tc>
          <w:tcPr>
            <w:tcW w:type="dxa" w:w="792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(8)</w:t>
            </w:r>
          </w:p>
        </w:tc>
      </w:tr>
    </w:tbl>
    <w:p>
      <w:pPr>
        <w:pStyle w:val="Heading2"/>
      </w:pPr>
      <w:r>
        <w:t>问题三求解</w:t>
      </w:r>
    </w:p>
    <w:p>
      <w:pPr>
        <w:pStyle w:val="Heading3"/>
      </w:pPr>
      <w:r>
        <w:t>求解流程</w:t>
      </w:r>
    </w:p>
    <w:p>
      <w:pPr>
        <w:pStyle w:val="BodyText"/>
      </w:pPr>
      <w:r>
        <w:t>第一步，按外层训练折完成字段口径、缺失掩码、经验边缘、协方差收缩和目标风格采样；验证折只用于分布指标计算。</w:t>
      </w:r>
    </w:p>
    <w:p>
      <w:pPr>
        <w:pStyle w:val="BodyText"/>
      </w:pPr>
      <w:r>
        <w:t>第二步，在相同的十次重复、三折外层协议下比较经验生成、收缩高斯、局部混合和共享低秩候选，联合报告边缘距离、联合距离、覆盖率与离散误差。</w:t>
      </w:r>
    </w:p>
    <w:p>
      <w:pPr>
        <w:pStyle w:val="BodyText"/>
      </w:pPr>
      <w:r>
        <w:t>第三步，用全数据拟合的最终生成器为Tripel、Kriek和Lambic各产生300份谱，经过感官预测器得到50维画像。画像用于描述风格差异，不回写生成模型。</w:t>
      </w:r>
    </w:p>
    <w:p>
      <w:pPr>
        <w:pStyle w:val="BodyText"/>
      </w:pPr>
      <w:r>
        <w:t>第四步，在11个源啤酒与3个目标风格构成的33组任务中，从固定端点池和路径网格中筛选最小改动候选；先锁定候选，再进行一次ElasticNet模型族复核。</w:t>
      </w:r>
    </w:p>
    <w:p>
      <w:pPr>
        <w:pStyle w:val="BodyText"/>
      </w:pPr>
      <w:r>
        <w:t>第五步，对未知源浓度、检测地板、绝对阈值缺失和感官代理不稳定分别标记，不把待核验记录计为缺陷约束通过。</w:t>
      </w:r>
    </w:p>
    <w:p>
      <w:pPr>
        <w:pStyle w:val="Heading3"/>
      </w:pPr>
      <w:r>
        <w:t>生成质量与模型选择</w:t>
      </w:r>
    </w:p>
    <w:p>
      <w:pPr>
        <w:pStyle w:val="BodyText"/>
      </w:pPr>
      <w:r>
        <w:t>收缩Copula在稳健尺度下的W1为0.4762、联合energy为0.5813、留出覆盖率为0.5580、对数离散误差为0.2475。整行局部混合的覆盖率提高到0.6599，但离散误差增至0.2925；PCA邻域混合和基函数邻域混合也存在覆盖与离散度的交换。基函数方案在Lambic上的稳健W1和energy分别增加0.0079和0.0115，未形成跨风格一致改进。因此主生成器保留为风格条件收缩Copula。</w:t>
      </w:r>
    </w:p>
    <w:p>
      <w:pPr>
        <w:pStyle w:val="BodyText"/>
        <w:jc w:val="center"/>
      </w:pPr>
      <w:r>
        <w:rPr>
          <w:rFonts w:ascii="宋体" w:hAnsi="宋体"/>
          <w:b/>
          <w:sz w:val="20"/>
        </w:rPr>
        <w:t>表3  生成方法的稳健尺度比较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11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方法</w:t>
            </w:r>
          </w:p>
        </w:tc>
        <w:tc>
          <w:tcPr>
            <w:tcW w:type="dxa" w:w="1584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W1↓</w:t>
            </w:r>
          </w:p>
        </w:tc>
        <w:tc>
          <w:tcPr>
            <w:tcW w:type="dxa" w:w="172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energy↓</w:t>
            </w:r>
          </w:p>
        </w:tc>
        <w:tc>
          <w:tcPr>
            <w:tcW w:type="dxa" w:w="172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覆盖率↑</w:t>
            </w:r>
          </w:p>
        </w:tc>
        <w:tc>
          <w:tcPr>
            <w:tcW w:type="dxa" w:w="172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离散误差↓</w:t>
            </w:r>
          </w:p>
        </w:tc>
      </w:tr>
      <w:tr>
        <w:tc>
          <w:tcPr>
            <w:tcW w:type="dxa" w:w="3311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风格收缩Copula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0.4762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0.5813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0.5580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0.2475</w:t>
            </w:r>
          </w:p>
        </w:tc>
      </w:tr>
      <w:tr>
        <w:tc>
          <w:tcPr>
            <w:tcW w:type="dxa" w:w="3311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整行局部混合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0.4740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0.5772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0.6599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0.2925</w:t>
            </w:r>
          </w:p>
        </w:tc>
      </w:tr>
      <w:tr>
        <w:tc>
          <w:tcPr>
            <w:tcW w:type="dxa" w:w="3311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PCA邻域混合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0.4768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0.5805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0.6660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0.3026</w:t>
            </w:r>
          </w:p>
        </w:tc>
      </w:tr>
      <w:tr>
        <w:tc>
          <w:tcPr>
            <w:tcW w:type="dxa" w:w="3311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基函数邻域混合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0.4786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0.5834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0.6580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0.3014</w:t>
            </w:r>
          </w:p>
        </w:tc>
      </w:tr>
    </w:tbl>
    <w:p>
      <w:pPr>
        <w:pStyle w:val="BodyText"/>
        <w:jc w:val="center"/>
      </w:pPr>
      <w:r>
        <w:drawing>
          <wp:inline>
            <wp:extent cx="5989320" cy="3814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生成质量与多样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14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宋体" w:hAnsi="宋体"/>
          <w:b/>
          <w:sz w:val="19"/>
        </w:rPr>
        <w:t>图1  风格条件生成方法在外层重复验证中的分布保真与多样性</w:t>
      </w:r>
    </w:p>
    <w:p>
      <w:pPr>
        <w:pStyle w:val="Heading3"/>
      </w:pPr>
      <w:r>
        <w:t>三风格感官画像</w:t>
      </w:r>
    </w:p>
    <w:p>
      <w:pPr>
        <w:pStyle w:val="BodyText"/>
      </w:pPr>
      <w:r>
        <w:t>画像显示出清晰的风格差异：Tripel在酒精感、苦味、酒花味和4VG上较高，Kriek与Lambic在酸度和乳酸感上较高。每种风格的300份谱均由同一全数据生成器产生，图中误差棒表示合成样本第10–90百分位。4VG的第一问外折解释度约为0.255，故该维度只作较弱的描述证据；画像不能替代真实品评。</w:t>
      </w:r>
    </w:p>
    <w:p>
      <w:pPr>
        <w:pStyle w:val="BodyText"/>
        <w:jc w:val="center"/>
      </w:pPr>
      <w:r>
        <w:drawing>
          <wp:inline>
            <wp:extent cx="5989320" cy="342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三风格感官画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宋体" w:hAnsi="宋体"/>
          <w:b/>
          <w:sz w:val="19"/>
        </w:rPr>
        <w:t>图2  三目标风格生成样本的相对感官画像</w:t>
      </w:r>
    </w:p>
    <w:p>
      <w:pPr>
        <w:pStyle w:val="Heading3"/>
      </w:pPr>
      <w:r>
        <w:t>跨风格迁移与缺陷约束</w:t>
      </w:r>
    </w:p>
    <w:p>
      <w:pPr>
        <w:pStyle w:val="BodyText"/>
      </w:pPr>
      <w:r>
        <w:t>33组源—目标任务中，固定最小改动规则得到29条有谱候选：2条进入待实测统计候选，26条因直接化学证据不足，1条因感官代理不稳定，另4组未找到搜索可行谱。两条待实测统计候选均来自源啤酒230，分别指向Tripel和Kriek；目标距离分别下降38.36%和37.36%，谱RMS改动分别为0.4862和0.5822。两条候选均未取得物理安全认证。</w:t>
      </w:r>
    </w:p>
    <w:p>
      <w:pPr>
        <w:pStyle w:val="BodyText"/>
        <w:jc w:val="center"/>
      </w:pPr>
      <w:r>
        <w:rPr>
          <w:rFonts w:ascii="宋体" w:hAnsi="宋体"/>
          <w:b/>
          <w:sz w:val="20"/>
        </w:rPr>
        <w:t>表4  两条待实测统计候选的迁移结果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目标风格</w:t>
            </w:r>
          </w:p>
        </w:tc>
        <w:tc>
          <w:tcPr>
            <w:tcW w:type="dxa" w:w="208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目标距离下降</w:t>
            </w:r>
          </w:p>
        </w:tc>
        <w:tc>
          <w:tcPr>
            <w:tcW w:type="dxa" w:w="1800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谱RMS改动</w:t>
            </w:r>
          </w:p>
        </w:tc>
        <w:tc>
          <w:tcPr>
            <w:tcW w:type="dxa" w:w="244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代理模型状态</w:t>
            </w:r>
          </w:p>
        </w:tc>
        <w:tc>
          <w:tcPr>
            <w:tcW w:type="dxa" w:w="2448"/>
            <w:shd w:fill="D9E7F2" w:val="clear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19"/>
              </w:rPr>
              <w:t>化学状态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Tripel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38.36%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0.4862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两模型预测不升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四项中仍有待核验状态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/>
                <w:b w:val="0"/>
                <w:sz w:val="19"/>
              </w:rPr>
              <w:t>Kriek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37.36%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0.5822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两模型预测不升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19"/>
              </w:rPr>
              <w:t>四项中仍有待核验状态</w:t>
            </w:r>
          </w:p>
        </w:tc>
      </w:tr>
    </w:tbl>
    <w:p>
      <w:pPr>
        <w:pStyle w:val="BodyText"/>
        <w:jc w:val="center"/>
      </w:pPr>
      <w:r>
        <w:drawing>
          <wp:inline>
            <wp:extent cx="5989320" cy="3351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迁移收益与审计状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5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宋体" w:hAnsi="宋体"/>
          <w:b/>
          <w:sz w:val="19"/>
        </w:rPr>
        <w:t>图3  跨风格迁移候选的目标接近程度与证据状态</w:t>
      </w:r>
    </w:p>
    <w:p>
      <w:pPr>
        <w:pStyle w:val="Heading2"/>
      </w:pPr>
      <w:r>
        <w:t>模型检验与结果讨论</w:t>
      </w:r>
    </w:p>
    <w:p>
      <w:pPr>
        <w:pStyle w:val="Heading3"/>
      </w:pPr>
      <w:r>
        <w:t>稳健性与边界</w:t>
      </w:r>
    </w:p>
    <w:p>
      <w:pPr>
        <w:pStyle w:val="BodyText"/>
      </w:pPr>
      <w:r>
        <w:t>生成模型的比较采用同一外层重复和折内计算，近训练复制率为0，完整谱重构误差处于10⁻¹²量级。局部混合提高覆盖率的同时增加离散误差，说明覆盖不能单独作为生成质量结论。地板感知边缘、共享低秩、神经残差和局部双锚点迁移均未提供足以替换收缩Copula的综合证据。</w:t>
      </w:r>
    </w:p>
    <w:p>
      <w:pPr>
        <w:pStyle w:val="BodyText"/>
      </w:pPr>
      <w:r>
        <w:t>迁移结果的“预测不升”只针对冻结的感官预测器；Stale hops的外层解释度约0.03、平均绝对误差约0.30 z，预测变化不能直接等同于真实感官改善。已有数据还缺少完整的配方、发酵工艺和新实测，因此两条候选应作为待补测的统计设计，不应写成可直接执行的酿造处方或物理安全结论。</w:t>
      </w:r>
    </w:p>
    <w:p>
      <w:pPr>
        <w:pStyle w:val="BodyText"/>
      </w:pPr>
      <w:r>
        <w:t>本问的模型适合在化学谱空间中生成风格条件样本、比较风格差异和提出约束迁移候选；若要给出生产层面的结论，需要补充直接浓度、检测限、工艺状态和感官评价，并重新进行端到端验证。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ns0:settings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ns0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image" Target="media/rId26.png"/><Relationship Id="rId19" Type="http://schemas.openxmlformats.org/officeDocument/2006/relationships/image" Target="media/rId19.png"/><Relationship Id="rId22" Type="http://schemas.openxmlformats.org/officeDocument/2006/relationships/image" Target="media/rId22.png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2026-10-24T16:36:20Z</dcterms:created>
  <dcterms:modified xsi:type="dcterms:W3CDTF">2026-10-24T16:36:20Z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