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问题三分析</w:t>
      </w:r>
    </w:p>
    <w:p>
      <w:pPr>
        <w:pStyle w:val="Heading2"/>
      </w:pPr>
      <w:r>
        <w:t>任务本质</w:t>
      </w:r>
    </w:p>
    <w:p>
      <w:pPr>
        <w:pStyle w:val="BodyText"/>
      </w:pPr>
      <w:r>
        <w:t>本问需要同时完成风格条件化合物谱生成、感官画像和跨风格迁移。生成模型要保持边缘分布与化合物间依赖，画像要沿用第一问的感官预测器，迁移则要在目标风格接近与缺陷不恶化之间取得可核验的折中。</w:t>
      </w:r>
    </w:p>
    <w:p>
      <w:pPr>
        <w:pStyle w:val="Heading2"/>
      </w:pPr>
      <w:r>
        <w:t>主要难点</w:t>
      </w:r>
    </w:p>
    <w:p>
      <w:pPr>
        <w:pStyle w:val="BodyText"/>
      </w:pPr>
      <w:r>
        <w:t>第一，化学字段维数为231，而Tripel、Kriek和Lambic样本数分别只有28、10、11，直接估计每种风格的完整协方差容易产生不稳定相关结构。第二，缺失、检测地板和参考冲突使部分缺陷浓度不可识别，不能把插补值或存储零当成安全上限。第三，感官画像和迁移收益依赖预测器，若候选离开训练支持域，均值下降可能掩盖模型不确定性。</w:t>
      </w:r>
    </w:p>
    <w:p>
      <w:pPr>
        <w:pStyle w:val="Heading2"/>
      </w:pPr>
      <w:r>
        <w:t>对策</w:t>
      </w:r>
    </w:p>
    <w:p>
      <w:pPr>
        <w:pStyle w:val="BodyText"/>
      </w:pPr>
      <w:r>
        <w:t>采用风格内经验边缘与收缩相关结构生成联合谱，以同一外层重复协议评价边缘距离、联合距离、覆盖和离散误差；用第一问最终感官模型生成50维画像，并将0–6仅作为训练折经验映射；在固定候选池中沿受约束路径搜索，先检查可核验化学状态，再用感官代理和支持域审计，未知项单列而不计入通过分母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ns0:settings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ns0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image" Target="media/rId26.png"/><Relationship Id="rId19" Type="http://schemas.openxmlformats.org/officeDocument/2006/relationships/image" Target="media/rId19.png"/><Relationship Id="rId22" Type="http://schemas.openxmlformats.org/officeDocument/2006/relationships/image" Target="media/rId2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2026-10-24T16:36:20Z</dcterms:created>
  <dcterms:modified xsi:type="dcterms:W3CDTF">2026-10-24T16:36:20Z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