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spacing w:before="480" w:after="480" w:line="300" w:lineRule="auto"/>
        <w:ind w:left="0" w:firstLine="0"/>
        <w:jc w:val="center"/>
      </w:pPr>
      <w:r>
        <w:rPr>
          <w:rFonts w:hint="eastAsia" w:ascii="黑体" w:hAnsi="黑体" w:eastAsia="黑体"/>
          <w:b/>
          <w:i w:val="0"/>
          <w:color w:val="000000"/>
          <w:sz w:val="32"/>
        </w:rPr>
        <w:t>问题二模型建立与求解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问题二分析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问题二要求对50个感官维度分别给出3个关键单体化合物，并同时论证结果的统计稳定性与化学合理性。附件1提供250款啤酒的231项化学及理化测量，附件2给出同一批字段的Spearman共表达矩阵，附件4提供50维标准化感官值。候选变量数与样本量接近，化合物又因共同代谢途径而高度共线，因此边际相关靠前并不等同于独立贡献，更不能直接解释为因果作用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本题的难点有三：一是共线字段会在重采样中相互替代；二是啤酒风格同时影响化学组成和感官评分，可能制造风格间伪关联；三是部分缺陷味与细分香气的折外可预测性较弱。为此，本文先冻结218个严格单体候选，在相同的10次重复、每次3折外层划分下比较边际相关、稀疏回归、图正则回归和非线性条件归因，再融合总关联、分层自助、风格内校正与留一风格四类证据。统计排名冻结后，才使用阈值、OAV、同名锚点和化学文献分级，不让已知机理反向改变数据排名。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问题二模型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数据口径与候选范围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附件1与附件4按beer字段一一对齐，形成250×231的输入矩阵和250×50的连续感官矩阵。问题二不使用beer_id连接，不把风格字段作为候选化合物，也不对附件1中已给出的log10字段重复取对数。73个缺失单元仅在相应训练子样本内用中位数填补，缺失位置在预测模型中保留指示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候选资格先于统计建模冻结。色度、pH、苦度、蛋白质、总糖、热量、总酯、总酸、总硫及其他聚合或理化指标共13项不属于严格单体化合物，只参与全因素敏感性检查，不进入题面要求的最终Top-3。严格候选因此为218项；化学名称由字段映射表与附件8逐项核对。表1概括数据和证据边界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表1 问题二数据契约与证据边界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984"/>
        <w:gridCol w:w="2381"/>
        <w:gridCol w:w="3061"/>
      </w:tblGrid>
      <w:tr>
        <w:trPr>
          <w:trHeight w:hRule="atLeast"/>
          <w:cantSplit/>
          <w:tblHeader/>
        </w:trPr>
        <w:tc>
          <w:tcPr>
            <w:tcW w:type="dxa" w:w="141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项目</w:t>
            </w:r>
          </w:p>
        </w:tc>
        <w:tc>
          <w:tcPr>
            <w:tcW w:type="dxa" w:w="198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审计结果</w:t>
            </w:r>
          </w:p>
        </w:tc>
        <w:tc>
          <w:tcPr>
            <w:tcW w:type="dxa" w:w="238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处理方式</w:t>
            </w:r>
          </w:p>
        </w:tc>
        <w:tc>
          <w:tcPr>
            <w:tcW w:type="dxa" w:w="306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解释边界</w:t>
            </w:r>
          </w:p>
        </w:tc>
      </w:tr>
      <w:tr>
        <w:trPr>
          <w:trHeight w:hRule="atLeast"/>
          <w:cantSplit/>
        </w:trPr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样本与目标</w:t>
            </w:r>
          </w:p>
        </w:tc>
        <w:tc>
          <w:tcPr>
            <w:tcW w:type="dxa" w:w="198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250款、50维</w:t>
            </w:r>
          </w:p>
        </w:tc>
        <w:tc>
          <w:tcPr>
            <w:tcW w:type="dxa" w:w="238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固定10×3外层划分</w:t>
            </w:r>
          </w:p>
        </w:tc>
        <w:tc>
          <w:tcPr>
            <w:tcW w:type="dxa" w:w="306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逐目标折外评价</w:t>
            </w:r>
          </w:p>
        </w:tc>
      </w:tr>
      <w:tr>
        <w:trPr>
          <w:trHeight w:hRule="atLeast"/>
          <w:cantSplit/>
        </w:trPr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输入字段</w:t>
            </w:r>
          </w:p>
        </w:tc>
        <w:tc>
          <w:tcPr>
            <w:tcW w:type="dxa" w:w="198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231项、73个缺失</w:t>
            </w:r>
          </w:p>
        </w:tc>
        <w:tc>
          <w:tcPr>
            <w:tcW w:type="dxa" w:w="238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训练子样本内填补</w:t>
            </w:r>
          </w:p>
        </w:tc>
        <w:tc>
          <w:tcPr>
            <w:tcW w:type="dxa" w:w="306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不删除含缺失样本</w:t>
            </w:r>
          </w:p>
        </w:tc>
      </w:tr>
      <w:tr>
        <w:trPr>
          <w:trHeight w:hRule="atLeast"/>
          <w:cantSplit/>
        </w:trPr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严格候选</w:t>
            </w:r>
          </w:p>
        </w:tc>
        <w:tc>
          <w:tcPr>
            <w:tcW w:type="dxa" w:w="198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218个单体</w:t>
            </w:r>
          </w:p>
        </w:tc>
        <w:tc>
          <w:tcPr>
            <w:tcW w:type="dxa" w:w="238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排除13个聚合/理化指标</w:t>
            </w:r>
          </w:p>
        </w:tc>
        <w:tc>
          <w:tcPr>
            <w:tcW w:type="dxa" w:w="306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全因素仅作敏感性</w:t>
            </w:r>
          </w:p>
        </w:tc>
      </w:tr>
      <w:tr>
        <w:trPr>
          <w:trHeight w:hRule="atLeast"/>
          <w:cantSplit/>
        </w:trPr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共表达矩阵</w:t>
            </w:r>
          </w:p>
        </w:tc>
        <w:tc>
          <w:tcPr>
            <w:tcW w:type="dxa" w:w="198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231×231 Spearman</w:t>
            </w:r>
          </w:p>
        </w:tc>
        <w:tc>
          <w:tcPr>
            <w:tcW w:type="dxa" w:w="238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描述图与折内图分开</w:t>
            </w:r>
          </w:p>
        </w:tc>
        <w:tc>
          <w:tcPr>
            <w:tcW w:type="dxa" w:w="306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验证时不复用全量图</w:t>
            </w:r>
          </w:p>
        </w:tc>
      </w:tr>
      <w:tr>
        <w:trPr>
          <w:trHeight w:hRule="atLeast"/>
          <w:cantSplit/>
        </w:trPr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感官值</w:t>
            </w:r>
          </w:p>
        </w:tc>
        <w:tc>
          <w:tcPr>
            <w:tcW w:type="dxa" w:w="198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标准化连续值</w:t>
            </w:r>
          </w:p>
        </w:tc>
        <w:tc>
          <w:tcPr>
            <w:tcW w:type="dxa" w:w="238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按附件尺度建模</w:t>
            </w:r>
          </w:p>
        </w:tc>
        <w:tc>
          <w:tcPr>
            <w:tcW w:type="dxa" w:w="306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不声称恢复原始0—6分</w:t>
            </w:r>
          </w:p>
        </w:tc>
      </w:tr>
      <w:tr>
        <w:trPr>
          <w:trHeight w:hRule="atLeast"/>
          <w:cantSplit/>
        </w:trPr>
        <w:tc>
          <w:tcPr>
            <w:tcW w:type="dxa" w:w="141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化学证据</w:t>
            </w:r>
          </w:p>
        </w:tc>
        <w:tc>
          <w:tcPr>
            <w:tcW w:type="dxa" w:w="198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阈值、来源、异味、文献</w:t>
            </w:r>
          </w:p>
        </w:tc>
        <w:tc>
          <w:tcPr>
            <w:tcW w:type="dxa" w:w="238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排名冻结后追加</w:t>
            </w:r>
          </w:p>
        </w:tc>
        <w:tc>
          <w:tcPr>
            <w:tcW w:type="dxa" w:w="306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不作因果解释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记第i款啤酒的化学向量为x_i，第j个标准化感官值为y_ij。关键化合物识别以式(1)所示预测关系为共同评价对象，但最终名次由相互独立的统计证据融合决定，而不是直接把某一模型的重要性当作因果效应。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ij</m:t>
                  </m:r>
                </m:sub>
              </m:sSub>
              <m:r>
                <m:t> = </m:t>
              </m:r>
              <m:sSub>
                <m:e>
                  <m:r>
                    <m:t>f</m:t>
                  </m:r>
                </m:e>
                <m:sub>
                  <m:r>
                    <m:t>j</m:t>
                  </m:r>
                </m:sub>
              </m:sSub>
              <m: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) + </m:t>
              </m:r>
              <m:sSub>
                <m:e>
                  <m:r>
                    <m:t>ε</m:t>
                  </m:r>
                </m:e>
                <m:sub>
                  <m:r>
                    <m:t>ij</m:t>
                  </m:r>
                </m:sub>
              </m:sSub>
              <m:r>
                <m:t>,    i=1,…,250,    j=1,…,50</m:t>
              </m:r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(1)</w:t>
            </w:r>
          </w:p>
        </w:tc>
      </w:tr>
    </w:tbl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边际关联、稀疏回归与折内图正则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第一类证据为逐目标Spearman边际关联。它保留单调非线性且对异常值较稳健，式(2)将化学字段和感官值的样本秩相关标准化。所有排名均先过滤为218个严格单体候选。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r>
                    <m:t>ρ</m:t>
                  </m:r>
                </m:e>
                <m:sub>
                  <m:r>
                    <m:t>kj</m:t>
                  </m:r>
                </m:sub>
              </m:sSub>
              <m:r>
                <m:t> = </m:t>
              </m:r>
              <m:f>
                <m:num>
                  <m:nary>
                    <m:naryPr>
                      <m:chr m:val="∑"/>
                      <m:limLoc m:val="undOvr"/>
                      <m:grow m:val="1"/>
                    </m:naryPr>
                    <m:sub>
                      <m:r>
                        <m:t>i=1</m:t>
                      </m:r>
                    </m:sub>
                    <m:sup>
                      <m:r>
                        <m:t>n</m:t>
                      </m:r>
                    </m:sup>
                    <m:e>
                      <m:d>
                        <m:dPr>
                          <m:begChr m:val="("/>
                          <m:endChr m:val=")"/>
                        </m:dPr>
                        <m:e>
                          <m:sSub>
                            <m:e>
                              <m:r>
                                <m:t>R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  <m:r>
                            <m:t>−</m:t>
                          </m:r>
                          <m:bar>
                            <m:barPr>
                              <m:pos m:val="top"/>
                            </m:barPr>
                            <m:e/>
                          </m:bar>
                        </m:e>
                      </m:d>
                      <m:d>
                        <m:dPr>
                          <m:begChr m:val="("/>
                          <m:endChr m:val=")"/>
                        </m:dPr>
                        <m:e>
                          <m:sSub>
                            <m:e>
                              <m:r>
                                <m:t>R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t>−</m:t>
                          </m:r>
                          <m:bar>
                            <m:barPr>
                              <m:pos m:val="top"/>
                            </m:barPr>
                            <m:e/>
                          </m:bar>
                        </m:e>
                      </m:d>
                    </m:e>
                  </m:nary>
                </m:num>
                <m:den>
                  <m:sSup>
                    <m:e>
                      <m:nary>
                        <m:naryPr>
                          <m:chr m:val="∑"/>
                          <m:limLoc m:val="undOvr"/>
                          <m:grow m:val="1"/>
                        </m:naryPr>
                        <m:sub>
                          <m:r>
                            <m:t>i=1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</m:dPr>
                                <m:e>
                                  <m:sSub>
                                    <m:e>
                                      <m:r>
                                        <m:t>R</m:t>
                                      </m:r>
                                    </m:e>
                                    <m:sub>
                                      <m:r>
                                        <m:t>k</m:t>
                                      </m:r>
                                    </m:sub>
                                  </m:sSub>
                                  <m:r>
                                    <m:t>−</m:t>
                                  </m:r>
                                  <m:bar>
                                    <m:barPr>
                                      <m:pos m:val="top"/>
                                    </m:barPr>
                                    <m:e>
                                      <m:sSub>
                                        <m:e>
                                          <m: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m:t>k</m:t>
                                          </m:r>
                                        </m:sub>
                                      </m:sSub>
                                    </m:e>
                                  </m:ba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  <m:sup>
                      <m:r>
                        <m:t>1/2</m:t>
                      </m:r>
                    </m:sup>
                  </m:sSup>
                  <m:sSup>
                    <m:e>
                      <m:nary>
                        <m:naryPr>
                          <m:chr m:val="∑"/>
                          <m:limLoc m:val="undOvr"/>
                          <m:grow m:val="1"/>
                        </m:naryPr>
                        <m:sub>
                          <m:r>
                            <m:t>i=1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</m:dPr>
                                <m:e>
                                  <m:sSub>
                                    <m:e>
                                      <m:r>
                                        <m:t>R</m:t>
                                      </m:r>
                                    </m:e>
                                    <m:sub>
                                      <m:r>
                                        <m:t>j</m:t>
                                      </m:r>
                                    </m:sub>
                                  </m:sSub>
                                  <m:r>
                                    <m:t>−</m:t>
                                  </m:r>
                                  <m:bar>
                                    <m:barPr>
                                      <m:pos m:val="top"/>
                                    </m:barPr>
                                    <m:e>
                                      <m:sSub>
                                        <m:e>
                                          <m: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m:t>j</m:t>
                                          </m:r>
                                        </m:sub>
                                      </m:sSub>
                                    </m:e>
                                  </m:ba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  <m:sup>
                      <m:r>
                        <m:t>1/2</m:t>
                      </m:r>
                    </m:sup>
                  </m:sSup>
                </m:den>
              </m:f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(2)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第二类证据为ElasticNet条件稀疏系数；第三类为加入有符号归一化图拉普拉斯的稀疏回归。图矩阵在每个外层训练折内重新估计，负边保留方向，缺失填补和标准化也只使用训练折。对目标j，图正则目标函数写为式(3)。其中L_s为有符号图拉普拉斯，λ_1控制稀疏度，λ_G控制共表达邻居的系数平滑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 = arg min </m:t>
              </m:r>
              <m:f>
                <m:num>
                  <m:r>
                    <m:t>1</m:t>
                  </m:r>
                </m:num>
                <m:den>
                  <m:r>
                    <m:t>2n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t>−X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 + </m:t>
              </m:r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  <m:r>
                <m:t>‖β‖₁ + </m:t>
              </m:r>
              <m:sSub>
                <m:e>
                  <m:r>
                    <m:t>λ</m:t>
                  </m:r>
                </m:e>
                <m:sub>
                  <m:r>
                    <m:t>G</m:t>
                  </m:r>
                </m:sub>
              </m:sSub>
              <m:sSup>
                <m:e>
                  <m:r>
                    <m:t>β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L</m:t>
                  </m:r>
                </m:e>
                <m:sub>
                  <m:r>
                    <m:t>s</m:t>
                  </m:r>
                </m:sub>
              </m:sSub>
              <m:r>
                <m:t>β</m:t>
              </m:r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(3)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图正则模型用于检验代谢共表达结构是否提高预测与排名稳定性。若折外误差没有改善，图结构仍可用于模块联合置换和解释，但不据此宣称预测增益。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非线性条件归因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为补充线性稀疏模型，本文使用ExtraTrees建立独立的非线性归因验证器。字段置换限制在最强折内Spearman邻居的分位组内，共表达模块则整组联合置换；这两种操作分别降低条件分布破坏和模块内替代造成的重要性错配。若置换字段k后目标j的验证MAE上升，则式(4)的条件误差增量为正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kj</m:t>
                      </m:r>
                    </m:sub>
                  </m:sSub>
                </m:e>
                <m:sup>
                  <m:r>
                    <m:t>cond</m:t>
                  </m:r>
                </m:sup>
              </m:sSup>
              <m:r>
                <m:t> = MAE(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,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t>(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−k</m:t>
                  </m:r>
                </m:sub>
              </m:sSub>
              <m:r>
                <m:t>,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)) − MAE(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,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t>(X)</m:t>
                  </m:r>
                </m:e>
                <m:sub>
                  <m:r>
                    <m:t>j</m:t>
                  </m:r>
                </m:sub>
              </m:sSub>
              <m:r>
                <m:t>)</m:t>
              </m:r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(4)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非线性验证器采用与问题一相同的外层划分，但独立拟合并独立评价。当前阶段不把问题一的折外数组当作已训练预测器，也不把线性系数、树置换量和边际相关的数值直接相加。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四路稳健秩融合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三类基础方法先形成总关联共识，随后与分层自助稳定排名、风格校正排名、留一风格保留排名共同组成四路证据。对每个目标和候选，先比较四路Top-10与Top-3支持数，再计算式(5)的倒数秩分数；r_ℓkj表示候选k在第ℓ类证据中对目标j的名次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kj</m:t>
                  </m:r>
                </m:sub>
              </m:sSub>
              <m:r>
                <m:t> = </m:t>
              </m:r>
              <m:nary>
                <m:naryPr>
                  <m:chr m:val="∑"/>
                  <m:limLoc m:val="undOvr"/>
                  <m:grow m:val="1"/>
                </m:naryPr>
                <m:sub>
                  <m:r>
                    <m:t>ℓ=1</m:t>
                  </m:r>
                </m:sub>
                <m:sup>
                  <m:r>
                    <m:t>4</m:t>
                  </m:r>
                </m:sup>
                <m:e>
                  <m:f>
                    <m:num>
                      <m:r>
                        <m:t>1</m:t>
                      </m:r>
                    </m:num>
                    <m:den>
                      <m:r>
                        <m:t>60+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ℓkj</m:t>
                          </m:r>
                        </m:sub>
                      </m:sSub>
                    </m:den>
                  </m:f>
                </m:e>
              </m:nary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(5)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稳定性检验在22种啤酒风格内保持样本数进行500次有放回抽样。每次重新完成预处理、候选排序和方法融合，候选的入选频率按式(6)计算。与此同时，逐一删除22种风格并重算排名，以检验某一风格是否主导关系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t/>
                  </m:r>
                </m:e>
                <m:sub>
                  <m:r>
                    <m:t>kj</m:t>
                  </m:r>
                </m:sub>
              </m:sSub>
              <m:r>
                <m:t> = </m:t>
              </m:r>
              <m:f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∑"/>
                  <m:limLoc m:val="undOvr"/>
                  <m:grow m:val="1"/>
                </m:naryPr>
                <m:sub>
                  <m:r>
                    <m:t>b=1</m:t>
                  </m:r>
                </m:sub>
                <m:sup>
                  <m:r>
                    <m:t>B</m:t>
                  </m:r>
                </m:sup>
                <m:e>
                  <m:r>
                    <m:t>I(</m:t>
                  </m:r>
                  <m:r>
                    <m:t>k∈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bj</m:t>
                      </m:r>
                    </m:sub>
                  </m:sSub>
                  <m:r>
                    <m:t>)</m:t>
                  </m:r>
                </m:e>
              </m:nary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(6)</w:t>
            </w:r>
          </w:p>
        </w:tc>
      </w:tr>
    </w:tbl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化学合理性与证据分级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统计Top-3冻结后，才依据同名锚点、描述词特异性、附件来源/老化/异味注释及同行评议文献进行化学核验。仅当附件8同时提供原始校准浓度c_k和同字段、同单位感知阈值τ_k时，才按式(7)计算气味活性值。附件1中的log10数值不直接除以阈值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r>
                    <m:t>OAV</m:t>
                  </m:r>
                </m:e>
                <m:sub>
                  <m:r>
                    <m:t>k</m:t>
                  </m:r>
                </m:sub>
              </m:sSub>
              <m:r>
                <m:t> = </m:t>
              </m:r>
              <m:f>
                <m:num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sSub>
                    <m:e>
                      <m:r>
                        <m:t>τ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  <m:r>
                <m:t>,    </m:t>
              </m:r>
              <m:sSub>
                <m:e>
                  <m:r>
                    <m:t>τ</m:t>
                  </m:r>
                </m:e>
                <m:sub>
                  <m:r>
                    <m:t>k</m:t>
                  </m:r>
                </m:sub>
              </m:sSub>
              <m:r>
                <m:t>&gt;0</m:t>
              </m:r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(7)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A级表示统计关系较稳健且有直接身份或特异描述词证据；B级表示统计与化学类别证据较完整；C级至少有一侧证据但特异性不足；D级为弱预测背景或缺少特异化学支持。OAV达到1仅说明单体浓度达到阈值量级，不排除混合物协同、掩蔽、基质与个体差异。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问题二求解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交叉验证与模型比较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所有监督模型复用问题一冻结的10次重复、每次3折外层划分；每个重复中250款啤酒各作为一次验证样本。参数、缺失填补、图结构、风格均值和条件分组均只由外层训练折估计。表2报告六种方法的重复宏平均结果，图1给出共表达描述图的阈值敏感性，图2同时展示预测性能和最终排名对四路证据的一致性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表2 相同外层划分下的候选模型性能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1871"/>
        <w:gridCol w:w="1871"/>
        <w:gridCol w:w="1417"/>
        <w:gridCol w:w="1531"/>
      </w:tblGrid>
      <w:tr>
        <w:trPr>
          <w:trHeight w:hRule="atLeast"/>
          <w:cantSplit/>
          <w:tblHeader/>
        </w:trPr>
        <w:tc>
          <w:tcPr>
            <w:tcW w:type="dxa" w:w="215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方法</w:t>
            </w:r>
          </w:p>
        </w:tc>
        <w:tc>
          <w:tcPr>
            <w:tcW w:type="dxa" w:w="187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R²（均值±SD）</w:t>
            </w:r>
          </w:p>
        </w:tc>
        <w:tc>
          <w:tcPr>
            <w:tcW w:type="dxa" w:w="187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MAE（均值±SD）</w:t>
            </w:r>
          </w:p>
        </w:tc>
        <w:tc>
          <w:tcPr>
            <w:tcW w:type="dxa" w:w="141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RMSE</w:t>
            </w:r>
          </w:p>
        </w:tc>
        <w:tc>
          <w:tcPr>
            <w:tcW w:type="dxa" w:w="153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Spearman</w:t>
            </w:r>
          </w:p>
        </w:tc>
      </w:tr>
      <w:tr>
        <w:trPr>
          <w:trHeight w:hRule="atLeast"/>
          <w:cantSplit/>
        </w:trPr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全局均值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-0.0081±0.0024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0.4173±0.0005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0.5690</w:t>
            </w:r>
          </w:p>
        </w:tc>
        <w:tc>
          <w:tcPr>
            <w:tcW w:type="dxa" w:w="153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-0.0576</w:t>
            </w:r>
          </w:p>
        </w:tc>
      </w:tr>
      <w:tr>
        <w:trPr>
          <w:trHeight w:hRule="atLeast"/>
          <w:cantSplit/>
        </w:trPr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Spearman Top-3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0.1064±0.0043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0.3843±0.0010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0.5273</w:t>
            </w:r>
          </w:p>
        </w:tc>
        <w:tc>
          <w:tcPr>
            <w:tcW w:type="dxa" w:w="153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0.2969</w:t>
            </w:r>
          </w:p>
        </w:tc>
      </w:tr>
      <w:tr>
        <w:trPr>
          <w:trHeight w:hRule="atLeast"/>
          <w:cantSplit/>
        </w:trPr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PLS/VIP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0.2089±0.0069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0.3556±0.0015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0.4890</w:t>
            </w:r>
          </w:p>
        </w:tc>
        <w:tc>
          <w:tcPr>
            <w:tcW w:type="dxa" w:w="153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0.4023</w:t>
            </w:r>
          </w:p>
        </w:tc>
      </w:tr>
      <w:tr>
        <w:trPr>
          <w:trHeight w:hRule="atLeast"/>
          <w:cantSplit/>
        </w:trPr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ElasticNet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0.2086±0.0046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0.3529±0.0012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0.4903</w:t>
            </w:r>
          </w:p>
        </w:tc>
        <w:tc>
          <w:tcPr>
            <w:tcW w:type="dxa" w:w="153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0.3917</w:t>
            </w:r>
          </w:p>
        </w:tc>
      </w:tr>
      <w:tr>
        <w:trPr>
          <w:trHeight w:hRule="atLeast"/>
          <w:cantSplit/>
        </w:trPr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有符号图ElasticNet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0.2084±0.0047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0.3530±0.0013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0.4905</w:t>
            </w:r>
          </w:p>
        </w:tc>
        <w:tc>
          <w:tcPr>
            <w:tcW w:type="dxa" w:w="153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0.3919</w:t>
            </w:r>
          </w:p>
        </w:tc>
      </w:tr>
      <w:tr>
        <w:trPr>
          <w:trHeight w:hRule="atLeast"/>
          <w:cantSplit/>
        </w:trPr>
        <w:tc>
          <w:tcPr>
            <w:tcW w:type="dxa" w:w="215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ExtraTrees条件归因</w:t>
            </w:r>
          </w:p>
        </w:tc>
        <w:tc>
          <w:tcPr>
            <w:tcW w:type="dxa" w:w="187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0.2359±0.0058</w:t>
            </w:r>
          </w:p>
        </w:tc>
        <w:tc>
          <w:tcPr>
            <w:tcW w:type="dxa" w:w="187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0.3422±0.0011</w:t>
            </w:r>
          </w:p>
        </w:tc>
        <w:tc>
          <w:tcPr>
            <w:tcW w:type="dxa" w:w="141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0.4794</w:t>
            </w:r>
          </w:p>
        </w:tc>
        <w:tc>
          <w:tcPr>
            <w:tcW w:type="dxa" w:w="153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0.4144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ExtraTrees条件归因的宏平均R²、MAE和Spearman分别为0.2359、0.3422和0.4144，10次重复的MAE均优于ElasticNet。图正则模型相对ElasticNet的MAE反而增加0.00011，Top-3虽总体接近，但不支持“加入图惩罚即可提高预测精度”的结论。因此，图结构保留为模块与敏感性证据，非线性条件置换作为预测归因验证，最终答案采用四路稳健秩融合。</w:t>
      </w:r>
    </w:p>
    <w:p>
      <w:pPr>
        <w:pStyle w:val="BodyText"/>
        <w:keepNext/>
        <w:spacing w:before="60" w:after="0"/>
        <w:ind w:firstLine="0"/>
        <w:jc w:val="center"/>
      </w:pPr>
      <w:r>
        <w:drawing>
          <wp:inline>
            <wp:extent cx="5616000" cy="2935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共表达图阈值敏感性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935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图1 化合物共表达图的阈值敏感性</w:t>
      </w:r>
    </w:p>
    <w:p>
      <w:pPr>
        <w:pStyle w:val="BodyText"/>
        <w:keepNext/>
        <w:spacing w:before="60" w:after="0"/>
        <w:ind w:firstLine="0"/>
        <w:jc w:val="center"/>
      </w:pPr>
      <w:r>
        <w:drawing>
          <wp:inline>
            <wp:extent cx="5616000" cy="3144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模型性能与四路一致性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4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图2 候选模型的折外性能与最终排名的一致性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稳定性与风格敏感性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500次分层自助中，150条聚合Top-3的入选频率范围为0.182—0.992，中位数为0.428；达到0.60、0.70和0.80的候选分别有43、31和23条。逐目标Top-3两两Jaccard均值为0.245，说明共线字段替代和样本扰动不可忽略。稳定共聚类得到170个模块，其中155个为单字段模块，最大模块含15个字段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相同参数下，未校正与风格校正Top-3的平均Jaccard为0.264，只有2/50个目标完全一致。逐一删除22种风格后，1,100个“风格—目标”组合的Top-3平均Jaccard为0.523；当前150条候选在22次删除中的平均保留率为0.641。图3将入选频率、留一风格保留率、预测层级与化学等级放在同一证据框架下。</w:t>
      </w:r>
    </w:p>
    <w:p>
      <w:pPr>
        <w:pStyle w:val="BodyText"/>
        <w:keepNext/>
        <w:spacing w:before="60" w:after="0"/>
        <w:ind w:firstLine="0"/>
        <w:jc w:val="center"/>
      </w:pPr>
      <w:r>
        <w:drawing>
          <wp:inline>
            <wp:extent cx="5616000" cy="31742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候选稳定性与证据等级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74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图3 最终候选的重采样稳定性、风格敏感性与证据等级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关键化合物与化学核验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四路融合的150条统计Top-3中，强稳健、中等稳健和探索性候选分别为38、52和60条；50个目标中，22个折外R²不低于0.20，12个介于0.10与0.20之间，16个低于0.10。题面要求每个维度输出3项，因此弱预测目标仍保留候选，但必须标明探索性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表3 化学证据较充分的代表性关键关系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37"/>
        <w:gridCol w:w="2154"/>
        <w:gridCol w:w="1474"/>
        <w:gridCol w:w="1474"/>
        <w:gridCol w:w="1247"/>
      </w:tblGrid>
      <w:tr>
        <w:trPr>
          <w:trHeight w:hRule="atLeast"/>
          <w:cantSplit/>
          <w:tblHeader/>
        </w:trPr>
        <w:tc>
          <w:tcPr>
            <w:tcW w:type="dxa" w:w="175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感官维度</w:t>
            </w:r>
          </w:p>
        </w:tc>
        <w:tc>
          <w:tcPr>
            <w:tcW w:type="dxa" w:w="73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名次</w:t>
            </w:r>
          </w:p>
        </w:tc>
        <w:tc>
          <w:tcPr>
            <w:tcW w:type="dxa" w:w="215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关键化合物</w:t>
            </w:r>
          </w:p>
        </w:tc>
        <w:tc>
          <w:tcPr>
            <w:tcW w:type="dxa" w:w="147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自助入选频率</w:t>
            </w:r>
          </w:p>
        </w:tc>
        <w:tc>
          <w:tcPr>
            <w:tcW w:type="dxa" w:w="147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留一风格保留率</w:t>
            </w:r>
          </w:p>
        </w:tc>
        <w:tc>
          <w:tcPr>
            <w:tcW w:type="dxa" w:w="124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中位OAV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指甲油样香气</w:t>
            </w:r>
          </w:p>
        </w:tc>
        <w:tc>
          <w:tcPr>
            <w:tcW w:type="dxa" w:w="73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乙酸乙酯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0.774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1.000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1.203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指甲油样风味</w:t>
            </w:r>
          </w:p>
        </w:tc>
        <w:tc>
          <w:tcPr>
            <w:tcW w:type="dxa" w:w="73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乙酸乙酯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0.878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1.000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1.203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4-乙烯基愈创木酚</w:t>
            </w:r>
          </w:p>
        </w:tc>
        <w:tc>
          <w:tcPr>
            <w:tcW w:type="dxa" w:w="73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4-乙烯基愈创木酚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0.992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1.000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0.000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酸度</w:t>
            </w:r>
          </w:p>
        </w:tc>
        <w:tc>
          <w:tcPr>
            <w:tcW w:type="dxa" w:w="73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乳酸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0.900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0.955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0.346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酒精感</w:t>
            </w:r>
          </w:p>
        </w:tc>
        <w:tc>
          <w:tcPr>
            <w:tcW w:type="dxa" w:w="73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乙醇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0.920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0.955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4.140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酒体</w:t>
            </w:r>
          </w:p>
        </w:tc>
        <w:tc>
          <w:tcPr>
            <w:tcW w:type="dxa" w:w="73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</w:t>
            </w:r>
          </w:p>
        </w:tc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乙醇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0.812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0.955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4.140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碳酸感</w:t>
            </w:r>
          </w:p>
        </w:tc>
        <w:tc>
          <w:tcPr>
            <w:tcW w:type="dxa" w:w="73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</w:t>
            </w:r>
          </w:p>
        </w:tc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二氧化碳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0.318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0.500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不可比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乳酸感</w:t>
            </w:r>
          </w:p>
        </w:tc>
        <w:tc>
          <w:tcPr>
            <w:tcW w:type="dxa" w:w="73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215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乳酸</w:t>
            </w:r>
          </w:p>
        </w:tc>
        <w:tc>
          <w:tcPr>
            <w:tcW w:type="dxa" w:w="147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0.992</w:t>
            </w:r>
          </w:p>
        </w:tc>
        <w:tc>
          <w:tcPr>
            <w:tcW w:type="dxa" w:w="147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1.000</w:t>
            </w:r>
          </w:p>
        </w:tc>
        <w:tc>
          <w:tcPr>
            <w:tcW w:type="dxa" w:w="124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0.346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150条候选的A/B/C/D级数量分别为8、16、78和48，其中73条具备可比的浓度与阈值，23条的中位OAV不低于1。表3列出的8条A级关系包括乙酸乙酯—指甲油样酯香、4-乙烯基愈创木酚—同名感官、乳酸—酸度/乳酸感、乙醇—酒精感/酒体以及二氧化碳—碳酸感。图4展示这些关系在四路证据中的名次和可计算的中位OAV。</w:t>
      </w:r>
    </w:p>
    <w:p>
      <w:pPr>
        <w:pStyle w:val="BodyText"/>
        <w:keepNext/>
        <w:spacing w:before="60" w:after="0"/>
        <w:ind w:firstLine="0"/>
        <w:jc w:val="center"/>
      </w:pPr>
      <w:r>
        <w:drawing>
          <wp:inline>
            <wp:extent cx="5616000" cy="315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A级关系四路排名与OAV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图4 A级化合物—感官关系的四路排名与气味活性值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模型检验与结果讨论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泄漏与稳健性检验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验证折不参与缺失填补、尺度估计、图构建、风格均值、条件分组或参数选择；全量附件2仅用于数据定义核验与描述图。分层自助、风格校正和留一风格三种扰动从不同方向检验名次稳定性，字段级结果同时报告所属稳定模块，避免把同模块替代误写为唯一关键成分。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模型对比与消融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边际相关的宏平均R²仅为0.1064，说明单变量排序不足以解释多维感官；PLS/VIP和ElasticNet提高到约0.209，反映共享低秩结构与条件稀疏效应。图正则未改善误差，故不作为预测主线；ExtraTrees条件归因将宏平均R²提高到0.2359。最终四路融合不追求单一重要性数值最大，而优先保留跨方法、重采样与风格扰动下重复出现的候选。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合理性与局限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4-乙烯基愈创木酚、乙醇、乳酸和二氧化碳等直接锚点进入最终Top-3，支持方法能够恢复部分已知关系。DMS、双乙酰和trans-2-nonenal的同名字段未进入前三，分别排在较后位置，因此相应目标的前三只能解释为当前样本中的预测关联，不能冒充已知缺陷化合物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本问仍受250个样本、22种不均衡风格、共线替代和标准化感官信号限制。16个弱预测目标的Top-3为题面要求下的探索性输出；OAV仅在单位可比时计算，且不代表混合物中的实际贡献。若增加独立批次、原始评委评分或加标实验，应首先复核弱目标、风格敏感关系与缺陷味候选，再讨论可干预的工艺变量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当前正文与图表冻结于已完成的稳健共识和化学核验结果；正在计算的最终感官模型归因完成后，将另存新版本复核非线性归因与四路融合，不覆盖本版本。</w:t>
      </w:r>
    </w:p>
    <w:sectPr>
      <w:footerReference w:type="default" r:id="rId9"/>
      <w:footnotePr>
        <w:numRestart w:val="eachSect"/>
      </w:footnotePr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1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宋体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问题二模型建立与求解</dc:title>
  <dc:creator/>
  <cp:keywords/>
  <dcterms:created xsi:type="dcterms:W3CDTF">2026-10-24T07:07:43Z</dcterms:created>
  <dcterms:modified xsi:type="dcterms:W3CDTF">2026-10-24T07:07:43Z</dcterms:modified>
  <dc:subject>啤酒关键化合物的稳健识别与化学核验</dc:subject>
  <cp:lastModifiedBy/>
  <dc:description/>
  <cp:category/>
  <dc:identifier/>
</cp:coreProperties>
</file>