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480" w:after="480" w:line="300" w:lineRule="auto"/>
        <w:ind w:left="0" w:firstLine="0"/>
        <w:jc w:val="center"/>
      </w:pPr>
      <w:r>
        <w:rPr>
          <w:rFonts w:hint="eastAsia" w:ascii="黑体" w:hAnsi="黑体" w:eastAsia="黑体"/>
          <w:b/>
          <w:i w:val="0"/>
          <w:color w:val="000000"/>
          <w:sz w:val="32"/>
        </w:rPr>
        <w:t>问题二模型建立与求解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摘要式结论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针对50个标准化感官维度的关键化合物识别，本文从250款啤酒的231项化学及理化测量中预先界定218个严格单体候选，在10次重复、每次3折的外层验证下比较边际关联、PLS/VIP、ElasticNet、图正则回归和非线性树模型，并对第一问最终感官模型开展模块与字段两级条件归因。最终答案采用总关联、500次分层自助、风格校正和22次留一风格删除的四路稳健秩融合，每个感官维度输出3项，共150条；自助入选频率中位数为0.428。第一问最终感官模型的宏平均R²、MAE和Spearman为0.2564、0.3361和0.4302，其归因仅作为独立预测依赖证据。化学核验得到A/B/C/D级关系8/16/78/48条；补充的三证据等权融合稳定性下降，故不替换正式Top-3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问题二分析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研究背景与任务界定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问题二要求对50个感官维度分别给出3个关键单体化合物，并同时论证结果的统计稳定性与化学合理性。附件1提供250款啤酒的231项化学及理化测量，附件2给出同一批字段的Spearman共表达矩阵，附件4提供50维标准化感官值。候选变量数与样本量接近，化合物又因共同代谢途径而高度共线，因此边际相关靠前并不等同于独立贡献，更不能直接解释为因果作用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难点与证据链设计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本题的难点有三：共线字段会在重采样中相互替代；啤酒风格同时影响化学组成和感官评分，容易形成风格间关联；部分缺陷味与细分香气的折外可预测性较弱。本文先冻结218个严格单体候选，在相同的10次重复、每次3折外层划分下比较边际相关、稀疏回归和图正则回归，并对第一问最终感官模型做模块与字段两级条件归因。最终排序仍采用经分层自助、风格内校正和留一风格检验的稳健秩融合；统计排名冻结后，再用阈值、OAV、同名锚点和化学文献分级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问题二模型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数据口径与候选范围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附件1与附件4按beer字段一一对齐，形成250×231的输入矩阵和250×50的连续感官矩阵。问题二不使用beer_id连接，不把风格字段作为候选化合物，也不对附件1中已给出的log10字段重复取对数。73个缺失单元仅在相应训练子样本内用中位数填补，缺失位置在预测模型中保留指示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候选资格先于统计建模冻结。色度、pH、苦度、蛋白质、总糖、热量、总酯、总酸、总硫及其他聚合或理化指标共13项不属于严格单体化合物，只参与全因素敏感性检查，不进入题面要求的最终Top-3。严格候选因此为218项；化学名称由字段映射表与附件8逐项核对。表1概括数据和证据边界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表1 问题二数据契约与证据边界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984"/>
        <w:gridCol w:w="2381"/>
        <w:gridCol w:w="3061"/>
      </w:tblGrid>
      <w:tr>
        <w:trPr>
          <w:trHeight w:hRule="atLeast"/>
          <w:cantSplit/>
          <w:tblHeader/>
        </w:trPr>
        <w:tc>
          <w:tcPr>
            <w:tcW w:type="dxa" w:w="141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项目</w:t>
            </w:r>
          </w:p>
        </w:tc>
        <w:tc>
          <w:tcPr>
            <w:tcW w:type="dxa" w:w="198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审计结果</w:t>
            </w:r>
          </w:p>
        </w:tc>
        <w:tc>
          <w:tcPr>
            <w:tcW w:type="dxa" w:w="238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处理方式</w:t>
            </w:r>
          </w:p>
        </w:tc>
        <w:tc>
          <w:tcPr>
            <w:tcW w:type="dxa" w:w="306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解释边界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样本与目标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250款、50维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固定10×3外层划分</w:t>
            </w:r>
          </w:p>
        </w:tc>
        <w:tc>
          <w:tcPr>
            <w:tcW w:type="dxa" w:w="30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逐目标折外评价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输入字段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231项、73个缺失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训练子样本内填补</w:t>
            </w:r>
          </w:p>
        </w:tc>
        <w:tc>
          <w:tcPr>
            <w:tcW w:type="dxa" w:w="30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不删除含缺失样本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严格候选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218个单体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排除13个聚合/理化指标</w:t>
            </w:r>
          </w:p>
        </w:tc>
        <w:tc>
          <w:tcPr>
            <w:tcW w:type="dxa" w:w="30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全因素仅作敏感性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共表达矩阵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231×231 Spearman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描述图与折内图分开</w:t>
            </w:r>
          </w:p>
        </w:tc>
        <w:tc>
          <w:tcPr>
            <w:tcW w:type="dxa" w:w="30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验证时不复用全量图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感官值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标准化连续值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按附件尺度建模</w:t>
            </w:r>
          </w:p>
        </w:tc>
        <w:tc>
          <w:tcPr>
            <w:tcW w:type="dxa" w:w="30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不声称恢复原始0—6分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化学证据</w:t>
            </w:r>
          </w:p>
        </w:tc>
        <w:tc>
          <w:tcPr>
            <w:tcW w:type="dxa" w:w="198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阈值、来源、异味、文献</w:t>
            </w:r>
          </w:p>
        </w:tc>
        <w:tc>
          <w:tcPr>
            <w:tcW w:type="dxa" w:w="238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排名冻结后追加</w:t>
            </w:r>
          </w:p>
        </w:tc>
        <w:tc>
          <w:tcPr>
            <w:tcW w:type="dxa" w:w="306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不作因果解释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记第i款啤酒的化学向量为x_i，第j个标准化感官值为y_ij。关键化合物识别以式(1)所示预测关系为共同评价对象，但最终名次由相互独立的统计证据融合决定，而不是直接把某一模型的重要性当作因果效应。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j</m:t>
                  </m:r>
                </m:sub>
              </m:sSub>
              <m:d>
                <m:dPr>
                  <m:begChr m:val="("/>
                  <m:endChr m:val=")"/>
                </m:dPr>
                <m:e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+ 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ε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,   </m:t>
              </m:r>
              <m:r>
                <m:rPr>
                  <m:sty m:val="i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1,…,250,   </m:t>
              </m:r>
              <m:r>
                <m:rPr>
                  <m:sty m:val="i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1,…,50</m:t>
              </m:r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(1)</w:t>
            </w:r>
          </w:p>
        </w:tc>
      </w:tr>
    </w:tbl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边际关联、稀疏回归与折内图正则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第一类证据为逐目标Spearman边际关联。它保留单调非线性且对异常值较稳健，式(2)将化学字段和感官值的样本秩相关标准化。所有排名均先过滤为218个严格单体候选。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ρ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kj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</m:t>
              </m:r>
              <m:f>
                <m:num>
                  <m:nary>
                    <m:naryPr>
                      <m:chr m:val="∑"/>
                      <m:limLoc m:val="undOvr"/>
                      <m:grow m:val="1"/>
                    </m:naryPr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 = 1</m:t>
                      </m:r>
                    </m:sub>
                    <m:sup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n</m:t>
                      </m:r>
                    </m:sup>
                    <m:e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ik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 − </m:t>
                          </m:r>
                          <m:sSub>
                            <m:e>
                              <m:bar>
                                <m:barPr>
                                  <m:pos m:val="top"/>
                                </m:barPr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21"/>
                                      <w:szCs w:val="21"/>
                                    </w:rPr>
                                    <m:t>R</m:t>
                                  </m:r>
                                </m:e>
                              </m:bar>
                            </m:e>
                            <m:sub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ij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 − </m:t>
                          </m:r>
                          <m:sSub>
                            <m:e>
                              <m:bar>
                                <m:barPr>
                                  <m:pos m:val="top"/>
                                </m:barPr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21"/>
                                      <w:szCs w:val="21"/>
                                    </w:rPr>
                                    <m:t>R</m:t>
                                  </m:r>
                                </m:e>
                              </m:bar>
                            </m:e>
                            <m:sub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nary>
                </m:num>
                <m:den>
                  <m:sSup>
                    <m:e>
                      <m:nary>
                        <m:naryPr>
                          <m:chr m:val="∑"/>
                          <m:limLoc m:val="undOvr"/>
                          <m:grow m:val="1"/>
                        </m:naryPr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 = 1</m:t>
                          </m:r>
                        </m:sub>
                        <m:sup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n</m:t>
                          </m:r>
                        </m:sup>
                        <m:e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 w:eastAsia="Cambria Math" w:cs="Cambria Math"/>
                                          <w:sz w:val="21"/>
                                          <w:szCs w:val="21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 w:eastAsia="Cambria Math" w:cs="Cambria Math"/>
                                          <w:sz w:val="21"/>
                                          <w:szCs w:val="21"/>
                                        </w:rPr>
                                        <m:t>ik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21"/>
                                      <w:szCs w:val="21"/>
                                    </w:rPr>
                                    <m:t> − </m:t>
                                  </m:r>
                                  <m:sSub>
                                    <m:e>
                                      <m:bar>
                                        <m:barPr>
                                          <m:pos m:val="top"/>
                                        </m:barPr>
                                        <m:e>
                                          <m:r>
                                            <m:rPr>
                                              <m:sty m:val="i"/>
                                            </m:rPr>
                                            <w:rPr>
                                              <w:rFonts w:ascii="Cambria Math" w:hAnsi="Cambria Math" w:eastAsia="Cambria Math" w:cs="Cambria Math"/>
                                              <w:sz w:val="21"/>
                                              <w:szCs w:val="21"/>
                                            </w:rPr>
                                            <m:t>R</m:t>
                                          </m:r>
                                        </m:e>
                                      </m:bar>
                                    </m:e>
                                    <m:sub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 w:eastAsia="Cambria Math" w:cs="Cambria Math"/>
                                          <w:sz w:val="21"/>
                                          <w:szCs w:val="21"/>
                                        </w:rPr>
                                        <m:t>k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  <m:sup>
                      <m:f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2</m:t>
                          </m:r>
                        </m:den>
                      </m:f>
                    </m:sup>
                  </m:sSup>
                  <m:sSup>
                    <m:e>
                      <m:nary>
                        <m:naryPr>
                          <m:chr m:val="∑"/>
                          <m:limLoc m:val="undOvr"/>
                          <m:grow m:val="1"/>
                        </m:naryPr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 = 1</m:t>
                          </m:r>
                        </m:sub>
                        <m:sup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n</m:t>
                          </m:r>
                        </m:sup>
                        <m:e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 w:eastAsia="Cambria Math" w:cs="Cambria Math"/>
                                          <w:sz w:val="21"/>
                                          <w:szCs w:val="21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 w:eastAsia="Cambria Math" w:cs="Cambria Math"/>
                                          <w:sz w:val="21"/>
                                          <w:szCs w:val="21"/>
                                        </w:rPr>
                                        <m:t>ij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21"/>
                                      <w:szCs w:val="21"/>
                                    </w:rPr>
                                    <m:t> − </m:t>
                                  </m:r>
                                  <m:sSub>
                                    <m:e>
                                      <m:bar>
                                        <m:barPr>
                                          <m:pos m:val="top"/>
                                        </m:barPr>
                                        <m:e>
                                          <m:r>
                                            <m:rPr>
                                              <m:sty m:val="i"/>
                                            </m:rPr>
                                            <w:rPr>
                                              <w:rFonts w:ascii="Cambria Math" w:hAnsi="Cambria Math" w:eastAsia="Cambria Math" w:cs="Cambria Math"/>
                                              <w:sz w:val="21"/>
                                              <w:szCs w:val="21"/>
                                            </w:rPr>
                                            <m:t>R</m:t>
                                          </m:r>
                                        </m:e>
                                      </m:bar>
                                    </m:e>
                                    <m:sub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 w:eastAsia="Cambria Math" w:cs="Cambria Math"/>
                                          <w:sz w:val="21"/>
                                          <w:szCs w:val="21"/>
                                        </w:rPr>
                                        <m:t>j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  <m:sup>
                      <m:f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(2)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第二类证据为ElasticNet条件稀疏系数；第三类为加入有符号归一化图拉普拉斯的稀疏回归。图矩阵在每个外层训练折内重新估计，负边保留方向，缺失填补和标准化也只使用训练折。对目标j，图正则目标函数写为式(3)。其中L_s为有符号图拉普拉斯，λ_1控制稀疏度，λ_G控制共表达邻居的系数平滑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β</m:t>
                      </m:r>
                    </m:e>
                  </m:acc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arg min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β</m:t>
                  </m:r>
                </m:sub>
              </m:sSub>
              <m:d>
                <m:dPr>
                  <m:begChr m:val="{"/>
                  <m:endChr m:val="}"/>
                </m:dPr>
                <m:e>
                  <m:f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2</m:t>
                      </m:r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n</m:t>
                      </m:r>
                    </m:den>
                  </m:f>
                  <m:sSup>
                    <m:e>
                      <m:sSub>
                        <m:e>
                          <m:d>
                            <m:dPr>
                              <m:begChr m:val="‖"/>
                              <m:endChr m:val="‖"/>
                            </m:dPr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21"/>
                                      <w:szCs w:val="21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21"/>
                                      <w:szCs w:val="21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 − </m:t>
                              </m:r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X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21"/>
                                      <w:szCs w:val="21"/>
                                    </w:rPr>
                                    <m:t>β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21"/>
                                      <w:szCs w:val="21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 + </m:t>
                  </m:r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λ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sSub>
                    <m:e>
                      <m:d>
                        <m:dPr>
                          <m:begChr m:val="‖"/>
                          <m:endChr m:val="‖"/>
                        </m:dPr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β</m:t>
                          </m:r>
                        </m:e>
                      </m:d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 + </m:t>
                  </m:r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λ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G</m:t>
                      </m:r>
                    </m:sub>
                  </m:sSub>
                  <m:sSup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T</m:t>
                      </m:r>
                    </m:sup>
                  </m:sSup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L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s</m:t>
                      </m:r>
                    </m:sub>
                  </m:s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β</m:t>
                  </m:r>
                </m:e>
              </m:d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(3)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图正则模型用于检验代谢共表达结构是否提高预测与排名稳定性。若折外误差没有改善，图结构仍可用于模块联合置换和解释，但不据此宣称预测增益。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最终感官模型的分层条件归因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第一问最终模型由ExtraTrees、直方图梯度提升、秩高斯Ridge和秩高斯PLS2组成，并用带自由截距的非负最小二乘在香气、风味和味觉/口感/总体三个感官组内估计融合权重，再向共享权重收缩0.5。问题二沿用第一问的10×3外层划分，在每个外层训练折中固定基学习器参数和融合权重，重建同一折预测器；归因阶段不重新选参，也不重新估计非负融合权重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归因分两级进行。先将折内共表达模块整组置换，测量模块对50维感官预测的联合影响；再在模块内逐字段条件置换，只打乱观测值并保留原缺失掩码，以减弱模块内替代造成的重要性错配。若置换字段k后目标j的验证MAE上升，则式(4)的条件误差增量为正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p>
                <m:e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Δ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kj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cond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</m:t>
              </m:r>
              <m:func>
                <m:fNam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MAE</m:t>
                  </m:r>
                </m:fName>
                <m:e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, 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f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j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−</m:t>
                              </m:r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, </m:t>
                          </m:r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21"/>
                                      <w:szCs w:val="21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− </m:t>
              </m:r>
              <m:func>
                <m:fNam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MAE</m:t>
                  </m:r>
                </m:fName>
                <m:e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, 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f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j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</m:d>
                    </m:e>
                  </m:d>
                </m:e>
              </m:func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(4)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30个外层折的预测重建最大绝对误差为1.998×10⁻¹⁵。模块置换和模块内条件置换分别形成13,900条与327,000条折级汇总记录。两类误差增量只刻画冻结预测器对字段或模块的依赖，不直接等同于感官机理或因果效应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四路稳健秩融合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三类基础方法先形成总关联共识，随后与分层自助稳定排名、风格校正排名、留一风格保留排名共同组成四路证据。对每个目标和候选，先比较四路Top-10与Top-3支持数，再计算式(5)的倒数秩分数；r_ℓkj表示候选k在第ℓ类证据中对目标j的名次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S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kj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</m:t>
              </m:r>
              <m:nary>
                <m:naryPr>
                  <m:chr m:val="∑"/>
                  <m:limLoc m:val="undOvr"/>
                  <m:grow m:val="1"/>
                </m:naryPr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ℓ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 = 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4</m:t>
                  </m:r>
                </m:sup>
                <m:e>
                  <m:f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60 + 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ℓkj</m:t>
                          </m:r>
                        </m:sub>
                      </m:sSub>
                    </m:den>
                  </m:f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(5)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稳定性检验在22种啤酒风格内保持样本数进行500次有放回抽样。每次重新完成预处理、候选排序和方法融合，候选的入选频率按式(6)计算。与此同时，逐一删除22种风格并重算排名，以检验某一风格是否主导关系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π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kj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B</m:t>
                  </m:r>
                </m:den>
              </m:f>
              <m:nary>
                <m:naryPr>
                  <m:chr m:val="∑"/>
                  <m:limLoc m:val="undOvr"/>
                  <m:grow m:val="1"/>
                </m:naryPr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 = 1</m:t>
                  </m:r>
                </m:sub>
                <m:sup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B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I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 ∈ </m:t>
                      </m:r>
                      <m:sSubSup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b</m:t>
                          </m:r>
                        </m:sub>
                        <m:sup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j</m:t>
                          </m:r>
                        </m:sup>
                      </m:sSubSup>
                    </m:e>
                  </m:d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(6)</w:t>
            </w:r>
          </w:p>
        </w:tc>
      </w:tr>
    </w:tbl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化学合理性与证据分级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统计Top-3冻结后，才依据同名锚点、描述词特异性、附件来源/老化/异味注释及同行评议文献进行化学核验。仅当附件8同时提供原始校准浓度c_k和同字段、同单位感知阈值τ_k时，才按式(7)计算气味活性值。附件1中的log10数值不直接除以阈值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OAV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</m:t>
              </m:r>
              <m:f>
                <m:num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τ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k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,   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τ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&gt; 0</m:t>
              </m:r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(7)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A级表示统计关系较稳健且有直接身份或特异描述词证据；B级表示统计与化学类别证据较完整；C级至少有一侧证据但特异性不足；D级为弱预测背景或缺少特异化学支持。OAV达到1仅说明单体浓度达到阈值量级，不排除混合物协同、掩蔽、基质与个体差异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问题二求解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交叉验证与模型比较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所有监督模型复用问题一冻结的10次重复、每次3折外层划分；每个重复中250款啤酒各作为一次验证样本。参数、缺失填补、图结构、风格均值和条件分组均只由外层训练折估计。表2报告六种候选方法及最终感官模型的重复宏平均结果。图1突出相关阈值变化对正负边和网络连通结构的影响；图2分开呈现候选模型性能与正式Top-3对四路证据的一致性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表2 相同外层划分下的候选模型与最终感官模型性能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1871"/>
        <w:gridCol w:w="1871"/>
        <w:gridCol w:w="1417"/>
        <w:gridCol w:w="1531"/>
      </w:tblGrid>
      <w:tr>
        <w:trPr>
          <w:trHeight w:hRule="atLeast"/>
          <w:cantSplit/>
          <w:tblHeader/>
        </w:trPr>
        <w:tc>
          <w:tcPr>
            <w:tcW w:type="dxa" w:w="215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方法</w:t>
            </w:r>
          </w:p>
        </w:tc>
        <w:tc>
          <w:tcPr>
            <w:tcW w:type="dxa" w:w="187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R²（均值±SD）</w:t>
            </w:r>
          </w:p>
        </w:tc>
        <w:tc>
          <w:tcPr>
            <w:tcW w:type="dxa" w:w="187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MAE（均值±SD）</w:t>
            </w:r>
          </w:p>
        </w:tc>
        <w:tc>
          <w:tcPr>
            <w:tcW w:type="dxa" w:w="141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RMSE</w:t>
            </w:r>
          </w:p>
        </w:tc>
        <w:tc>
          <w:tcPr>
            <w:tcW w:type="dxa" w:w="153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Spearman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全局均值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-0.0081±0.0024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0.4173±0.0005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0.5690</w:t>
            </w:r>
          </w:p>
        </w:tc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-0.0576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Spearman Top-3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0.1064±0.0043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0.3843±0.0010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0.5273</w:t>
            </w:r>
          </w:p>
        </w:tc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0.2969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PLS/VIP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0.2089±0.0069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0.3556±0.0015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0.4890</w:t>
            </w:r>
          </w:p>
        </w:tc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0.4023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ElasticNet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0.2086±0.0046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0.3529±0.0012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0.4903</w:t>
            </w:r>
          </w:p>
        </w:tc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0.3917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有符号图ElasticNet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0.2084±0.0047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0.3530±0.0013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0.4905</w:t>
            </w:r>
          </w:p>
        </w:tc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0.3919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ExtraTrees条件归因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0.2359±0.0058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0.3422±0.0011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0.4794</w:t>
            </w:r>
          </w:p>
        </w:tc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0.4144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感官组收缩NNLS</w:t>
            </w:r>
          </w:p>
        </w:tc>
        <w:tc>
          <w:tcPr>
            <w:tcW w:type="dxa" w:w="187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0.2564±0.0070</w:t>
            </w:r>
          </w:p>
        </w:tc>
        <w:tc>
          <w:tcPr>
            <w:tcW w:type="dxa" w:w="187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0.3361±0.0016</w:t>
            </w:r>
          </w:p>
        </w:tc>
        <w:tc>
          <w:tcPr>
            <w:tcW w:type="dxa" w:w="141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0.4714</w:t>
            </w:r>
          </w:p>
        </w:tc>
        <w:tc>
          <w:tcPr>
            <w:tcW w:type="dxa" w:w="153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0.4302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最终感官模型的宏平均R²、MAE和Spearman分别为0.2564、0.3361和0.4302，优于独立ExtraTrees验证器的0.2359、0.3422和0.4144。图正则模型相对ElasticNet的MAE增加0.00011，因此图结构只用于模块与敏感性分析。最终感官模型承担预测归因，关键化合物答案仍由跨方法、重采样和风格扰动下更稳定的四路秩融合给出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37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共表达图阈值敏感性_v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图1 化合物共表达网络的阈值选择与结构敏感性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374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模型性能与四路一致性_v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图2 候选模型的折外性能与稳健排序的四路一致性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稳定性与风格敏感性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500次分层自助中，150条聚合Top-3的入选频率范围为0.182—0.992，中位数为0.428；达到0.60、0.70和0.80的候选分别有43、31和23条。逐目标Top-3两两Jaccard均值为0.245，说明共线字段替代和样本扰动不可忽略。稳定共聚类得到170个模块，其中155个为单字段模块，最大模块含15个字段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相同参数下，未校正与风格校正Top-3的平均Jaccard为0.264，只有2/50个目标完全一致。逐一删除22种风格后，1,100个“风格—目标”组合的Top-3平均Jaccard为0.523；当前150条候选在22次删除中的平均保留率为0.641。图3将入选频率、留一风格保留率、预测层级与化学等级放在同一证据框架下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补充的互补半样本检验按风格分层构造100对互补子样本，每个子样本重新填补、风格中心化并排序。入选频率不低于0.60的关系有24条；在0.60—0.90四个预设阈值下，风格内目标置换均未产生入选关系。互补Top-3的平均Jaccard仅为0.085，说明排名尾部仍有明显替代性。因此，论文同时报告确认关系与探索性关系，不把强制输出的150条关系写成同等可靠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374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候选稳定性与证据等级_v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图3 最终候选的重采样稳定性、跨风格保留率与证据等级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关键化合物与化学核验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四路融合的150条统计Top-3中，强稳健、中等稳健和探索性候选分别为38、52和60条；50个目标中，22个折外R²不低于0.20，12个介于0.10与0.20之间，16个低于0.10。题面要求每个维度输出3项，因此弱预测目标仍保留候选，但必须标明探索性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表3 化学证据较充分的代表性关键关系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37"/>
        <w:gridCol w:w="2154"/>
        <w:gridCol w:w="1474"/>
        <w:gridCol w:w="1474"/>
        <w:gridCol w:w="1247"/>
      </w:tblGrid>
      <w:tr>
        <w:trPr>
          <w:trHeight w:hRule="atLeast"/>
          <w:cantSplit/>
          <w:tblHeader/>
        </w:trPr>
        <w:tc>
          <w:tcPr>
            <w:tcW w:type="dxa" w:w="175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感官维度</w:t>
            </w:r>
          </w:p>
        </w:tc>
        <w:tc>
          <w:tcPr>
            <w:tcW w:type="dxa" w:w="73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名次</w:t>
            </w:r>
          </w:p>
        </w:tc>
        <w:tc>
          <w:tcPr>
            <w:tcW w:type="dxa" w:w="215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关键化合物</w:t>
            </w:r>
          </w:p>
        </w:tc>
        <w:tc>
          <w:tcPr>
            <w:tcW w:type="dxa" w:w="147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自助入选频率</w:t>
            </w:r>
          </w:p>
        </w:tc>
        <w:tc>
          <w:tcPr>
            <w:tcW w:type="dxa" w:w="147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留一风格保留率</w:t>
            </w:r>
          </w:p>
        </w:tc>
        <w:tc>
          <w:tcPr>
            <w:tcW w:type="dxa" w:w="124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中位OAV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指甲油样香气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乙酸乙酯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0.774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1.000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1.203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指甲油样风味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乙酸乙酯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0.878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1.000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1.203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4-乙烯基愈创木酚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4-乙烯基愈创木酚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0.992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1.000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0.000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酸度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乳酸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0.900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0.955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0.346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酒精感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乙醇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0.920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0.955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4.140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酒体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乙醇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0.812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0.955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4.140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碳酸感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二氧化碳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0.318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0.500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不可比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乳酸感</w:t>
            </w:r>
          </w:p>
        </w:tc>
        <w:tc>
          <w:tcPr>
            <w:tcW w:type="dxa" w:w="73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215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乳酸</w:t>
            </w:r>
          </w:p>
        </w:tc>
        <w:tc>
          <w:tcPr>
            <w:tcW w:type="dxa" w:w="147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0.992</w:t>
            </w:r>
          </w:p>
        </w:tc>
        <w:tc>
          <w:tcPr>
            <w:tcW w:type="dxa" w:w="147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1.000</w:t>
            </w:r>
          </w:p>
        </w:tc>
        <w:tc>
          <w:tcPr>
            <w:tcW w:type="dxa" w:w="124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0.346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150条候选的A/B/C/D级数量分别为8、16、78和48，其中73条具备可比的浓度与阈值，23条的中位OAV不低于1。表3列出的8条A级关系包括乙酸乙酯—指甲油样酯香、4-乙烯基愈创木酚—同名感官、乳酸—酸度/乳酸感、乙醇—酒精感/酒体以及二氧化碳—碳酸感。图4展示这些关系在四路证据中的名次和可计算的中位OAV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374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A级关系四路排名与OAV_v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图4 A级化合物—感官关系的四路名次与气味活性值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模型检验与结果讨论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泄漏与稳健性检验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验证折不参与缺失填补、尺度估计、图构建、风格均值、条件分组或参数选择；全量附件2仅用于数据定义核验与描述图。分层自助、风格校正和留一风格三种扰动从不同方向检验名次稳定性，字段级结果同时报告所属稳定模块，避免把同模块替代误写为唯一关键成分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模型对比与消融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边际相关的宏平均R²为0.1064，说明单变量排序不足以概括多维感官信号；PLS/VIP与ElasticNet提高到约0.209，而加入有符号图惩罚后R²为0.2084、MAE为0.3530，未获得额外预测收益。独立ExtraTrees验证器达到0.2359，最终感官模型提高到0.2564。图结构因此只承担模块、条件依赖和敏感性解释，不被写成预测增益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将最终模型条件归因、折内偏相关和稳定模块三类证据等权融合后，候选Top-3的CPSS频率中位数、互补半样本Jaccard和留一风格生存率分别由0.1425、0.1669、0.6591降至0.0750、0.1151、0.4091，并遗漏碳酸感的直接锚点。该方案作为失败消融保留，不进入正式排序；后续自动化化学分级也不生成正式答案。问题二最终结论仍是四路稳健统计Top-3，最终感官模型归因只作为独立预测依赖证据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表4把本文各方法家族与公开文献中的相应技术目的并列。文献数据的研究对象、样本尺度和评价任务与本题不同，因此文献指标不可直接横比；本表只比较方法能回答的问题、本文中的证据角色及采用边界。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表4 公开方法与本文方法链的功能对照及消融结论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814"/>
        <w:gridCol w:w="2494"/>
        <w:gridCol w:w="2835"/>
      </w:tblGrid>
      <w:tr>
        <w:trPr>
          <w:trHeight w:hRule="atLeast"/>
          <w:cantSplit/>
          <w:tblHeader/>
        </w:trPr>
        <w:tc>
          <w:tcPr>
            <w:tcW w:type="dxa" w:w="204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方法家族</w:t>
            </w:r>
          </w:p>
        </w:tc>
        <w:tc>
          <w:tcPr>
            <w:tcW w:type="dxa" w:w="181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回答的问题</w:t>
            </w:r>
          </w:p>
        </w:tc>
        <w:tc>
          <w:tcPr>
            <w:tcW w:type="dxa" w:w="249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本文对应结果</w:t>
            </w:r>
          </w:p>
        </w:tc>
        <w:tc>
          <w:tcPr>
            <w:tcW w:type="dxa" w:w="2835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差异与采用判断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Spearman/加权相关网络</w:t>
              <w:br/>
              <w:t>Zhang与Horvath（2005）</w:t>
            </w:r>
          </w:p>
        </w:tc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描述成对共变及模块结构</w:t>
            </w:r>
          </w:p>
        </w:tc>
        <w:tc>
          <w:tcPr>
            <w:tcW w:type="dxa" w:w="249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边际基线R²=0.1064；|ρ|=0.60时保留266条描述性边</w:t>
            </w:r>
          </w:p>
        </w:tc>
        <w:tc>
          <w:tcPr>
            <w:tcW w:type="dxa" w:w="283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相关网络不区分直接与间接联系；全量图只作描述，监督验证中的图均由训练折估计。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稀疏回归与graphical lasso</w:t>
              <w:br/>
              <w:t>Friedman等（2008）</w:t>
            </w:r>
          </w:p>
        </w:tc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估计条件线性效应和稀疏条件依赖</w:t>
            </w:r>
          </w:p>
        </w:tc>
        <w:tc>
          <w:tcPr>
            <w:tcW w:type="dxa" w:w="249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ElasticNet R²=0.2086；图正则R²=0.2084，折内偏相关模块用于结构审计</w:t>
            </w:r>
          </w:p>
        </w:tc>
        <w:tc>
          <w:tcPr>
            <w:tcW w:type="dxa" w:w="283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稀疏精度矩阵有助于排除部分间接边，但未改善正式排名的综合稳定性，故不替换四路排序。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树模型条件置换与SHAP</w:t>
              <w:br/>
              <w:t>Strobl等（2008）；Lundberg与Lee（2017）</w:t>
            </w:r>
          </w:p>
        </w:tc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解释非线性预测器依赖哪些变量</w:t>
            </w:r>
          </w:p>
        </w:tc>
        <w:tc>
          <w:tcPr>
            <w:tcW w:type="dxa" w:w="249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ExtraTrees R²=0.2359；最终感官模型R²=0.2564，并完成模块—字段两级条件归因</w:t>
            </w:r>
          </w:p>
        </w:tc>
        <w:tc>
          <w:tcPr>
            <w:tcW w:type="dxa" w:w="283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SHAP回答加性预测归因；本文共线性较强，采用模块联合与条件置换，归因只作预测依赖证据。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稳定选择与互补半样本</w:t>
              <w:br/>
              <w:t>Meinshausen与Bühlmann（2010）；Shah与Samworth（2013）</w:t>
            </w:r>
          </w:p>
        </w:tc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评价变量选择在重采样下的可重复性与误选风险</w:t>
            </w:r>
          </w:p>
        </w:tc>
        <w:tc>
          <w:tcPr>
            <w:tcW w:type="dxa" w:w="249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500次分层自助入选频率中位数0.428；互补半样本与风格内置换用于补充检验</w:t>
            </w:r>
          </w:p>
        </w:tc>
        <w:tc>
          <w:tcPr>
            <w:tcW w:type="dxa" w:w="283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理论误选界依赖相应假设；本文将稳定频率用于分层和不确定性说明，不单独决定强制Top-3。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四路稳健秩融合（本文）</w:t>
            </w:r>
          </w:p>
        </w:tc>
        <w:tc>
          <w:tcPr>
            <w:tcW w:type="dxa" w:w="181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综合总关联、样本扰动、风格内关系与跨风格生存性</w:t>
            </w:r>
          </w:p>
        </w:tc>
        <w:tc>
          <w:tcPr>
            <w:tcW w:type="dxa" w:w="249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输出50×3完整答案；R1/R2/R3为38/52/60条，A/B/C/D为8/16/78/48条</w:t>
            </w:r>
          </w:p>
        </w:tc>
        <w:tc>
          <w:tcPr>
            <w:tcW w:type="dxa" w:w="2835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各路径只融合名次，不直接相加异质量纲的重要性；三证据等权方案稳定性下降，未被采用。</w:t>
            </w:r>
          </w:p>
        </w:tc>
      </w:tr>
    </w:tbl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合理性与局限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4-乙烯基愈创木酚、乙醇、乳酸和二氧化碳等直接锚点进入最终Top-3，支持方法能够恢复部分已知关系。DMS、双乙酰和trans-2-nonenal的同名字段未进入前三，分别排在较后位置，因此相应目标的前三只能解释为当前样本中的预测关联，不能冒充已知缺陷化合物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本问仍受250个样本、22种不均衡风格、共线替代和标准化感官信号限制。16个弱预测目标的Top-3为题面要求下的探索性输出；OAV仅在单位可比时计算，且不代表混合物中的实际贡献。若增加独立批次、原始评委评分或加标实验，应首先复核弱目标、风格敏感关系与缺陷味候选，再讨论可干预的工艺变量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最终感官模型的模块与字段两级归因已完成30折复核。归因结果支持把预测依赖与统计稳健性分开报告：前者回答冻结模型依赖哪些化学信息，后者决定每个感官维度的Top-3。两类证据结论不一致时，以重采样和风格扰动下更稳定的排序作为题面答案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问题二方法参考文献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[1] Zhang B, Horvath S. A general framework for weighted gene co-expression network analysis[J]. Statistical Applications in Genetics and Molecular Biology, 2005, 4: Article 17. DOI: 10.2202/1544-6115.1128.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[2] Friedman J, Hastie T, Tibshirani R. Sparse inverse covariance estimation with the graphical lasso[J]. Biostatistics, 2008, 9(3): 432-441. DOI: 10.1093/biostatistics/kxm045.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[3] Strobl C, Boulesteix A L, Kneib T, et al. Conditional variable importance for random forests[J]. BMC Bioinformatics, 2008, 9: 307. DOI: 10.1186/1471-2105-9-307.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[4] Meinshausen N, Bühlmann P. Stability selection[J]. Journal of the Royal Statistical Society: Series B, 2010, 72(4): 417-473. DOI: 10.1111/j.1467-9868.2010.00740.x.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[5] Shah R D, Samworth R J. Variable selection with error control: another look at stability selection[J]. Journal of the Royal Statistical Society: Series B, 2013, 75(1): 55-80. DOI: 10.1111/j.1467-9868.2011.01034.x.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[6] Lundberg S M, Lee S I. A unified approach to interpreting model predictions[C]//Advances in Neural Information Processing Systems 30. 2017: 4765-4774.</w:t>
      </w:r>
    </w:p>
    <w:sectPr>
      <w:footerReference w:type="default" r:id="rId9"/>
      <w:footnotePr>
        <w:numRestart w:val="eachSect"/>
      </w:footnotePr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问题二模型建立与求解</dc:title>
  <dc:creator/>
  <cp:keywords/>
  <dcterms:created xsi:type="dcterms:W3CDTF">2026-10-24T07:07:43Z</dcterms:created>
  <dcterms:modified xsi:type="dcterms:W3CDTF">2026-10-24T07:07:43Z</dcterms:modified>
  <dc:subject>啤酒关键化合物的稳健识别与化学核验</dc:subject>
  <cp:lastModifiedBy/>
  <dc:description/>
  <cp:category/>
  <dc:identifier/>
</cp:coreProperties>
</file>