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共线字段会在重采样中相互替代；啤酒风格同时影响化学组成和感官评分，容易形成风格间关联；部分缺陷味与细分香气的折外可预测性较弱。本文先冻结218个严格单体候选，在相同的10次重复、每次3折外层划分下比较边际相关、稀疏回归和图正则回归，并对第一问最终感官模型做模块与字段两级条件归因。最终排序仍采用经分层自助、风格内校正和留一风格检验的稳健秩融合；统计排名冻结后，再用阈值、OAV、同名锚点和化学文献分级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问题二分析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