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问题一模型建立与求解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问题一分析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问题一要求由化学组成预测多维感官强度。本题可用样本为250款啤酒，输入包含231项化学与理化特征，监督信号为50个标准化连续感官属性。其困难在于输入维数接近样本量、化合物之间相关性较强，各感官家族的可预测性又不相同；附件中的标准化值还不能唯一还原为评委原始0—6分。风格分布不均，单一平均误差也可能掩盖缺陷味及小样本风格的失败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文按beer字段对齐附件，在训练折内完成填补与特征变换；以ExtraTrees为非线性基线，将HGB、秩高斯Ridge和PLS2的互补预测纳入非负最小二乘堆叠，并通过感官组向共享权重收缩控制方差。采用10次重复、每次3折的外层验证，基学习器选择与堆叠权重估计均限制在外层训练数据内。评价同时覆盖解释度、绝对误差、排序一致性及弱目标、风格误差，0—6仅按训练折经验分布给出相对强度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问题一模型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数据口径与缺失值插补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主键使用beer，beer_id存在精度问题，不参与连接或建模；风格字段仅用于分层验证及分组误差报告，不作为最终模型输入。表1给出预处理步骤与维度变化。所有需估计的填补、变换及映射参数只由相应训练折计算。附件1的给定尺度保持不变，已确认的log10字段不重复取对数；其中负值表示原浓度小于1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数据预处理步骤与维度变化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2268"/>
        <w:gridCol w:w="3175"/>
      </w:tblGrid>
      <w:tr>
        <w:trPr>
          <w:trHeight w:hRule="atLeast"/>
          <w:cantSplit/>
          <w:tblHeader/>
        </w:trPr>
        <w:tc>
          <w:tcPr>
            <w:tcW w:type="dxa" w:w="113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步骤</w:t>
            </w:r>
          </w:p>
        </w:tc>
        <w:tc>
          <w:tcPr>
            <w:tcW w:type="dxa" w:w="2268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处理与范围</w:t>
            </w:r>
          </w:p>
        </w:tc>
        <w:tc>
          <w:tcPr>
            <w:tcW w:type="dxa" w:w="2268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维度变化</w:t>
            </w:r>
          </w:p>
        </w:tc>
        <w:tc>
          <w:tcPr>
            <w:tcW w:type="dxa" w:w="3175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理由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读取核对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附件1与附件4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250×234；250×53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核对主键、目标与字段类型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样本对齐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按beer一一连接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250+250→250行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避免标识精度导致错配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字段拆分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剔除三列元数据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X：250×231；Y：250×50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排除身份与风格标签入模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尺度保留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不重复取log10、不全局截尾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250行、231输入不变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保留实际差异与极端观测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折内插补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训练中位数与缺失指示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231→231+k，0≤k≤9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73单元、63行、9列缺失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分支变换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线性分支折内秩高斯变换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样本及目标数不变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减轻偏态、共线与量纲影响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相对映射</w:t>
            </w:r>
          </w:p>
        </w:tc>
        <w:tc>
          <w:tcPr>
            <w:tcW w:type="dxa" w:w="2268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仅用训练折经验分布</w:t>
            </w:r>
          </w:p>
        </w:tc>
        <w:tc>
          <w:tcPr>
            <w:tcW w:type="dxa" w:w="2268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50维连续值＋50维相对等级</w:t>
            </w:r>
          </w:p>
        </w:tc>
        <w:tc>
          <w:tcPr>
            <w:tcW w:type="dxa" w:w="3175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不声称恢复原始评委均分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全部250行均保留，不按全数据分位数删除异常样本。37个log10字段及33个原尺度字段可由附件8识别，但这不意味着两附件所有对应单元格一致；发现冲突时保留输入原值并单列核验，不静默替换。缺失机制及跨批次可比性属于模型假设，需由后续外部样本检验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连续监督信号与相对标签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以标准化感官向量作为监督信号，多输出关系定义为式(1)。每款啤酒的化学特征向量记为x，感官向量记为y；误差项包含未测化合物、评委差异及随机扰动。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 = F(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) +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,    F: </m:t>
              </m:r>
              <m:sSup>
                <m:e>
                  <m:r>
                    <m:t>ℝ</m:t>
                  </m:r>
                </m:e>
                <m:sup>
                  <m:r>
                    <m:t>231</m:t>
                  </m:r>
                </m:sup>
              </m:sSup>
              <m:r>
                <m:t> → </m:t>
              </m:r>
              <m:sSup>
                <m:e>
                  <m:r>
                    <m:t>ℝ</m:t>
                  </m:r>
                </m:e>
                <m:sup>
                  <m:r>
                    <m:t>50</m:t>
                  </m:r>
                </m:sup>
              </m:sSup>
              <m:r>
                <m:t>,    i = 1,…,250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(1)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附件4包含标准化后汇总值，缺少完整的评委中心与尺度参数，因此从它到原始0—6均分并非唯一。连续尺度承担模型训练与误差评价，相对等级仅承担展示；两者分开报告。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基学习器与特征构造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基学习器由ExtraTrees、直方图梯度提升HGB、秩高斯Ridge和秩高斯PLS2组成。ExtraTrees刻画随机化非线性与交互[2]，HGB补充局部阈值响应，Ridge缓和共线，PLS2提供多输出共享的低秩表示。树分支保留附件尺度；线性分支在各训练折中填补后进行秩高斯变换，并将缺失指示单独并入。表2列出完整候选范围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基学习器与折内候选参数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5216"/>
        <w:gridCol w:w="2324"/>
      </w:tblGrid>
      <w:tr>
        <w:trPr>
          <w:trHeight w:hRule="atLeast"/>
          <w:cantSplit/>
          <w:tblHeader/>
        </w:trPr>
        <w:tc>
          <w:tcPr>
            <w:tcW w:type="dxa" w:w="130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学习器</w:t>
            </w:r>
          </w:p>
        </w:tc>
        <w:tc>
          <w:tcPr>
            <w:tcW w:type="dxa" w:w="5216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候选范围</w:t>
            </w:r>
          </w:p>
        </w:tc>
        <w:tc>
          <w:tcPr>
            <w:tcW w:type="dxa" w:w="232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数据处理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ExtraTrees</w:t>
            </w:r>
          </w:p>
        </w:tc>
        <w:tc>
          <w:tcPr>
            <w:tcW w:type="dxa" w:w="5216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300棵；特征比例0.33/0.60/1.00；叶节点1/2/4/8；不限深度</w:t>
            </w:r>
          </w:p>
        </w:tc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中位数填补＋缺失指示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HGB</w:t>
            </w:r>
          </w:p>
        </w:tc>
        <w:tc>
          <w:tcPr>
            <w:tcW w:type="dxa" w:w="5216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叶节点上限7/15；最小叶样本20；学习率0.05；100轮；L2=1</w:t>
            </w:r>
          </w:p>
        </w:tc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中位数填补＋缺失指示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Ridge</w:t>
            </w:r>
          </w:p>
        </w:tc>
        <w:tc>
          <w:tcPr>
            <w:tcW w:type="dxa" w:w="5216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正则强度0.1/1/10/100/1000</w:t>
            </w:r>
          </w:p>
        </w:tc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折内秩高斯变换与缩放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PLS2</w:t>
            </w:r>
          </w:p>
        </w:tc>
        <w:tc>
          <w:tcPr>
            <w:tcW w:type="dxa" w:w="5216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潜变量数2/5/10/15/20</w:t>
            </w:r>
          </w:p>
        </w:tc>
        <w:tc>
          <w:tcPr>
            <w:tcW w:type="dxa" w:w="232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折内秩高斯变换与多输出拟合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内层以宏平均MAE最小选择每个学习器的参数；相同时依次比较R²、Spearman和两项七档代理指标。候选范围固定，外层验证数据不参与参数、权重或截距估计。HGB候选也可能得到相同预测，本文保留固定候选范围，不据此扩大搜索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感官组收缩非负堆叠模型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堆叠利用训练数据内部的交叉验证预测估计组合系数，其非负约束可减少相关预测器之间的相互抵消[1]。设T为当前外层训练样本，z为各基学习器在T上经内层3折得到的折外预测，m为四个基学习器的索引。对目标集合G，分别求解式(2)；G可取全部目标或某一感官家族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G</m:t>
                      </m:r>
                    </m:sub>
                  </m:sSub>
                </m:e>
                <m:sup>
                  <m:r>
                    <m:t>*</m:t>
                  </m:r>
                </m:sup>
              </m:sSup>
              <m:r>
                <m:t> = </m:t>
              </m:r>
              <m:sSub>
                <m:e>
                  <m:r>
                    <m:t>arg min</m:t>
                  </m:r>
                </m:e>
                <m:sub>
                  <m:r>
                    <m:t>w≥0</m:t>
                  </m:r>
                </m:sub>
              </m:sSub>
              <m:nary>
                <m:naryPr>
                  <m:chr m:val="∑"/>
                  <m:limLoc m:val="undOvr"/>
                  <m:grow m:val="1"/>
                  <m:supHide m:val="1"/>
                </m:naryPr>
                <m:sub>
                  <m:r>
                    <m:t>j∈G</m:t>
                  </m:r>
                </m:sub>
                <m:sup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</m:naryPr>
                    <m:sub>
                      <m:r>
                        <m:t>i∈T</m:t>
                      </m:r>
                    </m:sub>
                    <m:sup/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f>
                                <m:num>
                                  <m:sSub>
                                    <m:e>
                                      <m:r>
                                        <m:t>y</m:t>
                                      </m:r>
                                    </m:e>
                                    <m:sub>
                                      <m:r>
                                        <m:t>ij</m:t>
                                      </m:r>
                                    </m:sub>
                                  </m:sSub>
                                  <m:r>
                                    <m:t> − </m:t>
                                  </m:r>
                                  <m:sSub>
                                    <m:e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</m:bar>
                                    </m:e>
                                    <m:sub>
                                      <m:r>
                                        <m:t>j</m:t>
                                      </m:r>
                                    </m:sub>
                                  </m:sSub>
                                  <m:r>
                                    <m:t> − </m:t>
                                  </m:r>
                                  <m:nary>
                                    <m:naryPr>
                                      <m:chr m:val="∑"/>
                                      <m:limLoc m:val="undOvr"/>
                                      <m:grow m:val="1"/>
                                    </m:naryPr>
                                    <m:sub>
                                      <m:r>
                                        <m:t>m=1</m:t>
                                      </m:r>
                                    </m:sub>
                                    <m:sup>
                                      <m:r>
                                        <m:t>4</m:t>
                                      </m:r>
                                    </m:sup>
                                    <m:e>
                                      <m:sSub>
                                        <m:e>
                                          <m: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m:t>m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begChr m:val="("/>
                                          <m:endChr m:val=")"/>
                                        </m:dPr>
                                        <m:e>
                                          <m:sSub>
                                            <m:e>
                                              <m: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m:t>ijm</m:t>
                                              </m:r>
                                            </m:sub>
                                          </m:sSub>
                                          <m:r>
                                            <m:t> − </m:t>
                                          </m:r>
                                          <m:sSub>
                                            <m:e>
                                              <m:bar>
                                                <m:barPr>
                                                  <m:pos m:val="top"/>
                                                </m:barPr>
                                                <m:e>
                                                  <m:r>
                                                    <m:t>z</m:t>
                                                  </m:r>
                                                </m:e>
                                              </m:bar>
                                            </m:e>
                                            <m:sub>
                                              <m:r>
                                                <m:t>jm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</m:nary>
                                </m:num>
                                <m:den>
                                  <m:sSub>
                                    <m:e>
                                      <m:r>
                                        <m:t>s</m:t>
                                      </m:r>
                                    </m:e>
                                    <m:sub>
                                      <m:r>
                                        <m:t>j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(2)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式中，y的横线为训练目标均值，z的横线为对应内层折外预测均值，s为训练目标的标准差；零方差时取1。标准差归一化使高波动目标不独占权重拟合。按香气15维、风味15维、其他味觉15维、口感4维、总体喜好1维分组；组别由字段定义预先确定，与啤酒风格不同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为降低小感官组的权重方差，将组内解向全目标共享解收缩，定义式(3)。固定λ=0.5，不使用外层指标选择收缩强度。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  <m:r>
                <m:t> = (1−λ)</m:t>
              </m:r>
              <m:s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g</m:t>
                      </m:r>
                    </m:sub>
                  </m:sSub>
                </m:e>
                <m:sup>
                  <m:r>
                    <m:t>*</m:t>
                  </m:r>
                </m:sup>
              </m:sSup>
              <m:r>
                <m:t> + λ</m:t>
              </m:r>
              <m:s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全部</m:t>
                      </m:r>
                    </m:sub>
                  </m:sSub>
                </m:e>
                <m:sup>
                  <m:r>
                    <m:t>*</m:t>
                  </m:r>
                </m:sup>
              </m:sSup>
              <m:r>
                <m:t>,    λ = 0.5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(3)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非负约束只要求各权重不小于0，不要求权重之和为1。每个目标保留自由截距，按训练均值恢复为式(4)，因此截距可为负值，不能与权重一同约束为非负。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t> = 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y</m:t>
                      </m:r>
                    </m:e>
                  </m:bar>
                </m:e>
                <m:sub>
                  <m:r>
                    <m:t>j</m:t>
                  </m:r>
                </m:sub>
              </m:sSub>
              <m:r>
                <m:t> −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t>m=1</m:t>
                  </m:r>
                </m:sub>
                <m:sup>
                  <m:r>
                    <m:t>4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t>g(j),m</m:t>
                      </m:r>
                    </m:sub>
                  </m:sSub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z</m:t>
                          </m:r>
                        </m:e>
                      </m:bar>
                    </m:e>
                    <m:sub>
                      <m:r>
                        <m:t>jm</m:t>
                      </m:r>
                    </m:sub>
                  </m:sSub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(4)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式中g(j)为目标j所属感官家族。各基学习器随后在完整外层训练集T上重拟合，对验证样本的最终连续预测由式(5)给出。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 = 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t> +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t>m=1</m:t>
                  </m:r>
                </m:sub>
                <m:sup>
                  <m:r>
                    <m:t>4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t>g(j),m</m:t>
                      </m:r>
                    </m:sub>
                  </m:sSub>
                  <m:s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  <m:sup>
                      <m:r>
                        <m:t>(T)</m:t>
                      </m:r>
                    </m:sup>
                  </m:sSup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(5)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表3汇总30个外层训练折的权重，表示不同预测器在本数据中的组合方式，不作因果贡献比例解释。权重总和允许超过1，自由截距同时校正中心偏移。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感官组收缩堆叠的平均非负权重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701"/>
        <w:gridCol w:w="1701"/>
        <w:gridCol w:w="1701"/>
        <w:gridCol w:w="1701"/>
      </w:tblGrid>
      <w:tr>
        <w:trPr>
          <w:trHeight w:hRule="atLeast"/>
          <w:cantSplit/>
          <w:tblHeader/>
        </w:trPr>
        <w:tc>
          <w:tcPr>
            <w:tcW w:type="dxa" w:w="204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感官家族</w:t>
            </w:r>
          </w:p>
        </w:tc>
        <w:tc>
          <w:tcPr>
            <w:tcW w:type="dxa" w:w="170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ExtraTrees</w:t>
            </w:r>
          </w:p>
        </w:tc>
        <w:tc>
          <w:tcPr>
            <w:tcW w:type="dxa" w:w="170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HGB</w:t>
            </w:r>
          </w:p>
        </w:tc>
        <w:tc>
          <w:tcPr>
            <w:tcW w:type="dxa" w:w="170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Ridge</w:t>
            </w:r>
          </w:p>
        </w:tc>
        <w:tc>
          <w:tcPr>
            <w:tcW w:type="dxa" w:w="170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PLS2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香气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0.713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0.142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0.040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0.231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风味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0.784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0.146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0.033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0.202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其他味觉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0.648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0.250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0.100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0.178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口感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0.643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0.207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0.172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0.219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总体喜好</w:t>
            </w:r>
          </w:p>
        </w:tc>
        <w:tc>
          <w:tcPr>
            <w:tcW w:type="dxa" w:w="170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0.642</w:t>
            </w:r>
          </w:p>
        </w:tc>
        <w:tc>
          <w:tcPr>
            <w:tcW w:type="dxa" w:w="170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0.180</w:t>
            </w:r>
          </w:p>
        </w:tc>
        <w:tc>
          <w:tcPr>
            <w:tcW w:type="dxa" w:w="170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0.046</w:t>
            </w:r>
          </w:p>
        </w:tc>
        <w:tc>
          <w:tcPr>
            <w:tcW w:type="dxa" w:w="170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0.192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0—6相对强度映射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仅利用当前外层训练集中目标j的经验分布，将验证预测单调映射至0—6区间，定义为式(6)。其中F为训练目标的经验分布函数，指示函数统计不大于给定预测值的训练观测比例。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 = 6·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j,tr</m:t>
                  </m:r>
                </m:sub>
              </m:sSub>
              <m: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)</m:t>
              </m:r>
              <m:r>
                <m:t>,    0 ≤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 ≤ 6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(6)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先逐折映射，再对10次重复的等级取平均，不能先汇总预测再用全体目标拟合映射。该等级保持维度内部的相对强弱次序，不能等同于原始评委平均分。附图S1(b)展示固定训练折的映射曲线。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问题一求解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求解步骤与交叉验证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使用固定的10次重复、每次3折外层划分，尽量平衡细分风格；极小风格不强求每折均出现。每次重复中，每款啤酒恰好进入一个验证折。对每个外层训练集，依次进行内层3折参数选择、内层折外预测构造、共享及组内NNLS拟合、0.5权重收缩与自由截距恢复，最后重拟合基学习器并预测外层验证集。随机种子以20261023为起点，并由重复、折及学习器索引确定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对每个感官目标先单独计算指标，再对50个目标等权平均。式(7)、式(8)给出宏平均R²与MAE；n为本次评价样本数，J=50，评价均值仅用于指标定义，不用于训练。RMSE同样先按目标计算再平均。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sub>
                  <m:r>
                    <m:t>宏</m:t>
                  </m:r>
                </m:sub>
              </m:sSub>
              <m:r>
                <m:t> = </m:t>
              </m:r>
              <m:f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  <m:nary>
                <m:naryPr>
                  <m:chr m:val="∑"/>
                  <m:limLoc m:val="undOvr"/>
                  <m:grow m:val="1"/>
                </m:naryPr>
                <m:sub>
                  <m:r>
                    <m:t>j=1</m:t>
                  </m:r>
                </m:sub>
                <m:sup>
                  <m:r>
                    <m:t>J</m:t>
                  </m:r>
                </m:sup>
                <m:e>
                  <m:d>
                    <m:dPr>
                      <m:begChr m:val="["/>
                      <m:endChr m:val="]"/>
                    </m:dPr>
                    <m:e>
                      <m:r>
                        <m:t>1−</m:t>
                      </m:r>
                      <m:f>
                        <m:num>
                          <m:nary>
                            <m:naryPr>
                              <m:chr m:val="∑"/>
                              <m:limLoc m:val="undOvr"/>
                              <m:grow m:val="1"/>
                            </m:naryPr>
                            <m:sub>
                              <m:r>
                                <m:t>i=1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</m:dPr>
                                    <m:e>
                                      <m:sSub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m:t>ij</m:t>
                                          </m:r>
                                        </m:sub>
                                      </m:sSub>
                                      <m:r>
                                        <m:t>−</m:t>
                                      </m:r>
                                      <m:sSub>
                                        <m:e>
                                          <m:acc>
                                            <m:accPr>
                                              <m:chr m:val="̂"/>
                                            </m:accPr>
                                            <m:e>
                                              <m:r>
                                                <m:t>y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m:t>ij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nary>
                        </m:num>
                        <m:den>
                          <m:nary>
                            <m:naryPr>
                              <m:chr m:val="∑"/>
                              <m:limLoc m:val="undOvr"/>
                              <m:grow m:val="1"/>
                            </m:naryPr>
                            <m:sub>
                              <m:r>
                                <m:t>i=1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</m:dPr>
                                    <m:e>
                                      <m:sSub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m:t>ij</m:t>
                                          </m:r>
                                        </m:sub>
                                      </m:sSub>
                                      <m:r>
                                        <m:t>−</m:t>
                                      </m:r>
                                      <m:sSub>
                                        <m:e>
                                          <m:bar>
                                            <m:barPr>
                                              <m:pos m:val="top"/>
                                            </m:barPr>
                                            <m:e>
                                              <m:r>
                                                <m:t>y</m:t>
                                              </m:r>
                                            </m:e>
                                          </m:bar>
                                        </m:e>
                                        <m:sub>
                                          <m: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nary>
                        </m:den>
                      </m:f>
                    </m:e>
                  </m:d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(7)</w:t>
            </w:r>
          </w:p>
        </w:tc>
      </w:tr>
    </w:tbl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MAE</m:t>
                  </m:r>
                </m:e>
                <m:sub>
                  <m:r>
                    <m:t>宏</m:t>
                  </m:r>
                </m:sub>
              </m:sSub>
              <m:r>
                <m:t> = </m:t>
              </m:r>
              <m:f>
                <m:num>
                  <m:r>
                    <m:t>1</m:t>
                  </m:r>
                </m:num>
                <m:den>
                  <m:r>
                    <m:t>nJ</m:t>
                  </m:r>
                </m:den>
              </m:f>
              <m:nary>
                <m:naryPr>
                  <m:chr m:val="∑"/>
                  <m:limLoc m:val="undOvr"/>
                  <m:grow m:val="1"/>
                </m:naryPr>
                <m:sub>
                  <m:r>
                    <m:t>j=1</m:t>
                  </m:r>
                </m:sub>
                <m:sup>
                  <m:r>
                    <m:t>J</m:t>
                  </m:r>
                </m:sup>
                <m:e>
                  <m:nary>
                    <m:naryPr>
                      <m:chr m:val="∑"/>
                      <m:limLoc m:val="undOvr"/>
                      <m:grow m:val="1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d>
                        <m:dPr>
                          <m:begChr m:val="|"/>
                          <m:endChr m:val="|"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ij</m:t>
                              </m:r>
                            </m:sub>
                          </m:sSub>
                          <m: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(8)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Spearman衡量连续值排序关系。七档分位代理QWK与相邻等级一致率分别将观测、预测按各自样本分位数分为七档，再计算一致性；它们是固定的事后排序诊断，不进入相对等级推断，也不是原始0—6评分准确率。以下主比较使用10个完整重复指标的均值与标准差；平均折外预测则先对每款啤酒的10次预测取平均，二者单列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结果分析与模型对比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表4比较非线性基线及三种融合方法与最终模型，各模型使用相同外层划分，图1进一步展示重复间波动。最终模型提高解释度与连续预测精度，但在部分排序指标上没有取得最高值。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表4 相同外层划分下的五项预测指标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71"/>
        <w:gridCol w:w="1871"/>
        <w:gridCol w:w="1134"/>
        <w:gridCol w:w="1020"/>
        <w:gridCol w:w="1191"/>
      </w:tblGrid>
      <w:tr>
        <w:trPr>
          <w:trHeight w:hRule="atLeast"/>
          <w:cantSplit/>
          <w:tblHeader/>
        </w:trPr>
        <w:tc>
          <w:tcPr>
            <w:tcW w:type="dxa" w:w="175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R²（均值±SD）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MAE（均值±SD）</w:t>
            </w:r>
          </w:p>
        </w:tc>
        <w:tc>
          <w:tcPr>
            <w:tcW w:type="dxa" w:w="113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Spearman</w:t>
            </w:r>
          </w:p>
        </w:tc>
        <w:tc>
          <w:tcPr>
            <w:tcW w:type="dxa" w:w="102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代理QWK</w:t>
            </w:r>
          </w:p>
        </w:tc>
        <w:tc>
          <w:tcPr>
            <w:tcW w:type="dxa" w:w="119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相邻等级一致率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ExtraTrees基线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0.2359±0.0058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0.3422±0.0011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0.4144</w:t>
            </w:r>
          </w:p>
        </w:tc>
        <w:tc>
          <w:tcPr>
            <w:tcW w:type="dxa" w:w="102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0.4026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54.76%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连续凸融合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0.2482±0.0065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0.3397±0.0013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0.4273</w:t>
            </w:r>
          </w:p>
        </w:tc>
        <w:tc>
          <w:tcPr>
            <w:tcW w:type="dxa" w:w="102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0.4150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55.23%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连续—有序融合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0.2480±0.0060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0.3356±0.0014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0.4314</w:t>
            </w:r>
          </w:p>
        </w:tc>
        <w:tc>
          <w:tcPr>
            <w:tcW w:type="dxa" w:w="102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0.4194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55.52%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逐目标收缩融合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0.2472±0.0059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0.3360±0.0012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0.4295</w:t>
            </w:r>
          </w:p>
        </w:tc>
        <w:tc>
          <w:tcPr>
            <w:tcW w:type="dxa" w:w="102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0.4172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55.25%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感官组收缩NNLS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0.2564±0.0070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0.3361±0.0016</w:t>
            </w:r>
          </w:p>
        </w:tc>
        <w:tc>
          <w:tcPr>
            <w:tcW w:type="dxa" w:w="113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0.4302</w:t>
            </w:r>
          </w:p>
        </w:tc>
        <w:tc>
          <w:tcPr>
            <w:tcW w:type="dxa" w:w="1020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0.4183</w:t>
            </w:r>
          </w:p>
        </w:tc>
        <w:tc>
          <w:tcPr>
            <w:tcW w:type="dxa" w:w="119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55.42%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感官组收缩NNLS的重复均值R²为0.2564，MAE为0.3361，Spearman为0.4302，代理QWK为0.4183，相邻等级一致率为55.42%；五项均在10次重复中优于ExtraTrees基线。重复均值RMSE为0.4714。连续—有序融合的MAE为0.3356、Spearman为0.4314、代理QWK为0.4194、相邻等级一致率为55.52%，均略好于最终模型。选择最终模型依据连续解释度、平均折外精度及稳健性综合权衡，不将其表述为所有指标同时最优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2979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模型对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79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图1 基线、融合与最终模型的重复折外性能比较（纵轴为局部范围）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平均折外预测的宏平均R²为0.2742、MAE为0.3315、RMSE为0.4655、Spearman为0.4487，代理QWK为0.4368、相邻等级一致率为56.42%。ExtraTrees基线对应R²为0.2502、MAE为0.3389。平均预测降低了随机划分造成的波动，但这些指标不替代上文10次重复的均值；逐目标收缩融合的平均折外Spearman为0.4511，仍高于最终模型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图2按感官家族完整展示50个目标，避免只挑高分目标。目前50个目标的平均折外R²为正。酸度、酒精感等信号较强，花香酯、陈旧酒花味及部分总体感受信号较弱。每个目标的解释度与秩相关不能互相替代，尤其在预测幅度收缩时，排序尚可仍可能伴随较低R²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5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逐目标预测性能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图2 最终模型50个感官目标的平均折外R²与Spearman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图3沿用事先固定的酸度、4VG和陈旧酒花味三个代表目标，分别检视较强、中等及较弱信号。虚线为理想预测，实线与阴影为观测—预测OLS拟合及均值置信带，不是单个新样本的预测区间。弱目标的预测仍向均值收缩，说明共享建模不能补足未测化学信息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2680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OOF观测预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8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图3 固定代表感官目标的平均折外观测—预测关系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模型检验与稳健性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输入中排除标识与风格标签，填补、秩变换、基学习器选择、堆叠与映射均在相应训练范围内进行。附件2、5、6的全量相关矩阵不用于本问筛选或调参。数据附带的标准化监督信号沿用官方定义；没有原始评委记录时，不能审计或消除其上游标准化过程可能带来的依赖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为检验弱目标，以基线重复平均R²预先固定最低的13个目标，另固定10个难目标，不能按最终模型重新挑选。尾部13目标的平均R²从0.0411增至0.0639，MAE从0.3277降至0.3227；10个难目标平均ΔR²为+0.0081、ΔMAE为−0.0032。相较逐目标收缩融合，尾部MAE仍略高，因此不声称弱目标普遍最优。图4同时展示风格误差和难目标的正负变化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556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风格与难目标稳健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图4 平均折外风格误差与预登记难目标的重复平均R²变化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22个风格中，20个的重复平均MAE低于基线；最差风格Brut由0.5512降至0.5348。佛兰德老棕艾尔与Tripel分别增加0.0019和0.0011。总体喜好和反式-2-壬烯醛的R²分别下降0.0144和0.0101，MAE分别增加0.0042和0.0010；香气、风味的热带酒花维度也有小幅下降。风格内样本量较小，这些描述不构成未见风格的外推保证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进一步在固定平均折外预测上，以啤酒为配对单位进行20,000次自助重采样。每款啤酒先对50个目标取绝对误差平均；秩误差则对各目标的观测和预测分别排名，以样本数减1归一化，再求绝对差。表5中的差值均为最终模型减基线，负值表示误差较低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表5 最终模型相对基线的配对自助重采样结果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417"/>
        <w:gridCol w:w="1417"/>
        <w:gridCol w:w="2778"/>
      </w:tblGrid>
      <w:tr>
        <w:trPr>
          <w:trHeight w:hRule="atLeast"/>
          <w:cantSplit/>
          <w:tblHeader/>
        </w:trPr>
        <w:tc>
          <w:tcPr>
            <w:tcW w:type="dxa" w:w="181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指标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基线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最终模型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差值</w:t>
            </w:r>
          </w:p>
        </w:tc>
        <w:tc>
          <w:tcPr>
            <w:tcW w:type="dxa" w:w="2778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95%百分位区间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MAE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0.338879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0.331498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-0.007381</w:t>
            </w:r>
          </w:p>
        </w:tc>
        <w:tc>
          <w:tcPr>
            <w:tcW w:type="dxa" w:w="277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[-0.009467, -0.005331]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归一化绝对秩误差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0.237023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0.233291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-0.003732</w:t>
            </w:r>
          </w:p>
        </w:tc>
        <w:tc>
          <w:tcPr>
            <w:tcW w:type="dxa" w:w="2778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[-0.006055, -0.001502]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两个区间均位于0以下，支持当前固定预测下的平均改善。该自助区间不包含重训或模型选择的不确定性，10次划分也共享样本，不作为10个独立研究处理。附图S1(a)继续检查残差的极端区间偏差与方差变化。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表6比较预先设置的三种权重共享结构；共享权重反映全局共性，逐目标权重提供更细自由度，感官组结构处于二者之间。三种模型均固定0.5收缩，表内比较仅解释权重结构差异，不是对收缩系数的敏感性曲线。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表6 权重共享结构消融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247"/>
        <w:gridCol w:w="1247"/>
        <w:gridCol w:w="1361"/>
        <w:gridCol w:w="1247"/>
        <w:gridCol w:w="1417"/>
      </w:tblGrid>
      <w:tr>
        <w:trPr>
          <w:trHeight w:hRule="atLeast"/>
          <w:cantSplit/>
          <w:tblHeader/>
        </w:trPr>
        <w:tc>
          <w:tcPr>
            <w:tcW w:type="dxa" w:w="232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结构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R²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MAE</w:t>
            </w:r>
          </w:p>
        </w:tc>
        <w:tc>
          <w:tcPr>
            <w:tcW w:type="dxa" w:w="136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Spearman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代理QWK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相邻等级一致率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共享权重NNLS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0.2551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0.3365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0.4298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0.4175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55.34%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感官组收缩NNLS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0.2564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0.3361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0.4302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0.4183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55.42%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逐目标收缩NNLS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0.2551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0.3364</w:t>
            </w:r>
          </w:p>
        </w:tc>
        <w:tc>
          <w:tcPr>
            <w:tcW w:type="dxa" w:w="136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0.4274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0.4157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55.43%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感官组收缩在此比较中取得较高解释度与较低MAE；逐目标收缩的相邻等级一致率为55.432%，略高于感官组的55.423%，说明更细的权重并未带来各项指标一致改善。现有结果只支持固定结构下的比较；其他收缩强度、跨批次数据和原始0—6标签的检验仍待补充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结果解释与模型评价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最终模型利用树模型、线性收缩与低秩多输出的误差互补，在严格外层验证中提高整体连续解释度，固定尾部和最差风格也优于基线。NNLS权重保留可解释的非负组合，自由截距与组间收缩控制幅度和小组方差，适合作为后续感官画像的预测接口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其限制有三点：少数难目标的化学信号仍不足，整体改善不能替代逐维可靠性；七档排序代理及相对强度映射均不能当作原始评委评分；重复验证、自助区间和标准化数据只支持当前商业啤酒样本范围，不能证明未见风格或合成化学谱上的真实感官安全。问题二的关联证据与问题三的候选设计仍须分别验证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参考文献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[1] Breiman L. Stacked regressions. Machine Learning, 1996, 24: 49–64. DOI: 10.1023/A:1018046112532.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[2] Geurts P, Ernst D, Wehenkel L. Extremely randomized trees. Machine Learning, 2006, 63: 3–42. DOI: 10.1007/s10994-006-6226-1.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附图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附图S1合并残差诊断与训练折经验分布映射。残差图使用与图3相同的固定目标；映射示例仅使用首个重复的首个外层训练折，不使用验证观测拟合经验分布。程序及完整逐维表另附。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41381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附图S1_残差诊断与量表映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13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附图S1 固定目标残差与训练折经验分布的相对量表映射</w:t>
      </w:r>
    </w:p>
    <w:sectPr>
      <w:footerReference w:type="default" r:id="rId10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问题一模型建立与求解</dc:title>
  <dc:creator/>
  <cp:keywords/>
  <dcterms:created xsi:type="dcterms:W3CDTF">2026-10-24T06:41:11Z</dcterms:created>
  <dcterms:modified xsi:type="dcterms:W3CDTF">2026-10-24T06:41:11Z</dcterms:modified>
  <dc:subject>啤酒化学组成与多维感官预测</dc:subject>
  <cp:lastModifiedBy/>
  <dc:description/>
  <cp:category/>
  <dc:identifier/>
</cp:coreProperties>
</file>