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480" w:after="480" w:line="300" w:lineRule="auto"/>
        <w:ind w:left="0" w:firstLine="0"/>
        <w:jc w:val="center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问题一分析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问题一要求由化学组成预测多维感官强度。本题可用样本为250款啤酒，输入包含231项化学与理化特征，监督信号为50个标准化连续感官属性。其困难在于输入维数接近样本量、化合物之间相关性较强，各感官家族的可预测性又不相同；附件中的标准化值还不能唯一还原为评委原始0—6分。风格分布不均，单一平均误差也可能掩盖缺陷味及小样本风格的失败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本文按beer字段对齐附件，在训练折内完成填补与特征变换；以ExtraTrees为非线性基线，将HGB、秩高斯Ridge和PLS2的互补预测纳入非负最小二乘堆叠，并通过感官组向共享权重收缩控制方差。采用10次重复、每次3折的外层验证，基学习器选择与堆叠权重估计均限制在外层训练数据内。评价同时覆盖解释度、绝对误差、排序一致性及弱目标、风格误差，0—6仅按训练折经验分布给出相对强度。</w:t>
      </w:r>
    </w:p>
    <w:sectPr>
      <w:footerReference w:type="default" r:id="rId10"/>
      <w:footnotePr>
        <w:numRestart w:val="eachSect"/>
      </w:footnotePr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问题一分析</dc:title>
  <dc:creator/>
  <cp:keywords/>
  <dcterms:created xsi:type="dcterms:W3CDTF">2026-10-24T06:41:11Z</dcterms:created>
  <dcterms:modified xsi:type="dcterms:W3CDTF">2026-10-24T06:41:11Z</dcterms:modified>
  <dc:subject>啤酒化学组成与多维感官预测</dc:subject>
  <cp:lastModifiedBy/>
  <dc:description/>
  <cp:category/>
  <dc:identifier/>
</cp:coreProperties>
</file>