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keepNext/>
      </w:pPr>
      <w:r>
        <w:t>问题一模型建立与求解</w:t>
      </w:r>
    </w:p>
    <w:p>
      <w:pPr>
        <w:pStyle w:val="Heading2"/>
        <w:keepNext/>
      </w:pPr>
      <w:r>
        <w:t>问题一分析</w:t>
      </w:r>
    </w:p>
    <w:p>
      <w:pPr>
        <w:pStyle w:val="BodyText"/>
        <w:widowControl/>
        <w:jc w:val="both"/>
      </w:pPr>
      <w:r>
        <w:t>问题一要求由化学组成预测多维感官强度。本题可用样本为250款啤酒，输入包含231项化学与理化特征，监督信号为50个标准化连续感官属性。其困难在于输入维数接近样本量、化合物之间相关性较强，各感官家族的可预测性又不相同；附件中的标准化值还不能唯一还原为评委原始0—6分。风格分布不均，单一平均误差也可能掩盖缺陷味及小样本风格的失败。</w:t>
      </w:r>
    </w:p>
    <w:p>
      <w:pPr>
        <w:pStyle w:val="BodyText"/>
        <w:widowControl/>
        <w:jc w:val="both"/>
      </w:pPr>
      <w:r>
        <w:t>本文按beer字段对齐附件，在训练折内完成填补与特征变换；以ExtraTrees为非线性基线，将HGB、秩高斯Ridge和PLS2的互补预测纳入非负最小二乘堆叠，并通过感官组向共享权重收缩控制方差。采用10次重复、每次3折的外层验证，基学习器选择与堆叠权重估计均限制在外层训练数据内。评价同时覆盖解释度、绝对误差、排序一致性及弱目标、风格误差，0—6仅按训练折经验分布给出相对强度。</w:t>
      </w:r>
    </w:p>
    <w:p>
      <w:pPr>
        <w:pStyle w:val="Heading2"/>
        <w:keepNext/>
      </w:pPr>
      <w:r>
        <w:t>问题一模型</w:t>
      </w:r>
    </w:p>
    <w:p>
      <w:pPr>
        <w:pStyle w:val="Heading3"/>
        <w:keepNext/>
      </w:pPr>
      <w:r>
        <w:t>数据口径与缺失值插补</w:t>
      </w:r>
    </w:p>
    <w:p>
      <w:pPr>
        <w:pStyle w:val="BodyText"/>
        <w:widowControl/>
        <w:jc w:val="both"/>
      </w:pPr>
      <w:r>
        <w:t>主键使用beer，beer_id存在精度问题，不参与连接或建模；风格字段仅用于分层验证及分组误差报告，不作为最终模型输入。表1给出预处理步骤与维度变化。所有需估计的填补、变换及映射参数只由相应训练折计算。附件1的给定尺度保持不变，已确认的log10字段不重复取对数；其中负值表示原浓度小于1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表1 数据预处理步骤与维度变化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2268"/>
        <w:gridCol w:w="3175"/>
      </w:tblGrid>
      <w:tr>
        <w:trPr>
          <w:trHeight w:hRule="atLeast"/>
          <w:cantSplit/>
          <w:tblHeader/>
        </w:trPr>
        <w:tc>
          <w:tcPr>
            <w:tcW w:type="dxa" w:w="113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步骤</w:t>
            </w:r>
          </w:p>
        </w:tc>
        <w:tc>
          <w:tcPr>
            <w:tcW w:type="dxa" w:w="2268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处理与范围</w:t>
            </w:r>
          </w:p>
        </w:tc>
        <w:tc>
          <w:tcPr>
            <w:tcW w:type="dxa" w:w="2268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维度变化</w:t>
            </w:r>
          </w:p>
        </w:tc>
        <w:tc>
          <w:tcPr>
            <w:tcW w:type="dxa" w:w="3175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理由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读取核对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附件1与附件4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250×234；250×53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核对主键、目标与字段类型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样本对齐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按beer一一连接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250+250→250行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避免标识精度导致错配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字段拆分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剔除三列元数据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X：250×231；Y：250×50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排除身份与风格标签入模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尺度保留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不重复取log10、不全局截尾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250行、231输入不变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保留实际差异与极端观测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折内插补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训练中位数与缺失指示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231→231+k，0≤k≤9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73单元、63行、9列缺失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分支变换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线性分支折内秩高斯变换</w:t>
            </w:r>
          </w:p>
        </w:tc>
        <w:tc>
          <w:tcPr>
            <w:tcW w:type="dxa" w:w="226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样本及目标数不变</w:t>
            </w:r>
          </w:p>
        </w:tc>
        <w:tc>
          <w:tcPr>
            <w:tcW w:type="dxa" w:w="3175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减轻偏态、共线与量纲影响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相对映射</w:t>
            </w:r>
          </w:p>
        </w:tc>
        <w:tc>
          <w:tcPr>
            <w:tcW w:type="dxa" w:w="2268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仅用训练折经验分布</w:t>
            </w:r>
          </w:p>
        </w:tc>
        <w:tc>
          <w:tcPr>
            <w:tcW w:type="dxa" w:w="2268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50维连续值＋50维相对等级</w:t>
            </w:r>
          </w:p>
        </w:tc>
        <w:tc>
          <w:tcPr>
            <w:tcW w:type="dxa" w:w="3175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不声称恢复原始评委均分</w:t>
            </w:r>
          </w:p>
        </w:tc>
      </w:tr>
    </w:tbl>
    <w:p>
      <w:pPr>
        <w:pStyle w:val="BodyText"/>
        <w:widowControl/>
        <w:jc w:val="both"/>
      </w:pPr>
      <w:r>
        <w:t>全部250行均保留，不按全数据分位数删除异常样本。37个log10字段及33个原尺度字段可由附件8识别，但这不意味着两附件所有对应单元格一致；发现冲突时保留输入原值并单列核验，不静默替换。缺失机制及跨批次可比性属于模型假设，需由后续外部样本检验。</w:t>
      </w:r>
    </w:p>
    <w:p>
      <w:pPr>
        <w:pStyle w:val="Heading3"/>
        <w:keepNext/>
      </w:pPr>
      <w:r>
        <w:t>连续监督信号与相对标签</w:t>
      </w:r>
    </w:p>
    <w:p>
      <w:pPr>
        <w:pStyle w:val="BodyText"/>
        <w:widowControl/>
        <w:jc w:val="both"/>
      </w:pPr>
      <w:r>
        <w:t>以标准化感官向量作为监督信号，多输出关系定义为式(1)。每款啤酒的化学特征向量记为x，感官向量记为y；误差项包含未测化合物、评委差异及随机扰动。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 = F(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) +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,    F: </m:t>
              </m:r>
              <m:sSup>
                <m:e>
                  <m:r>
                    <m:t>ℝ</m:t>
                  </m:r>
                </m:e>
                <m:sup>
                  <m:r>
                    <m:t>231</m:t>
                  </m:r>
                </m:sup>
              </m:sSup>
              <m:r>
                <m:t> → </m:t>
              </m:r>
              <m:sSup>
                <m:e>
                  <m:r>
                    <m:t>ℝ</m:t>
                  </m:r>
                </m:e>
                <m:sup>
                  <m:r>
                    <m:t>50</m:t>
                  </m:r>
                </m:sup>
              </m:sSup>
              <m:r>
                <m:t>,    i = 1,…,250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(1)</w:t>
            </w:r>
          </w:p>
        </w:tc>
      </w:tr>
    </w:tbl>
    <w:p>
      <w:pPr>
        <w:pStyle w:val="BodyText"/>
        <w:widowControl/>
        <w:jc w:val="both"/>
      </w:pPr>
      <w:r>
        <w:t>附件4包含标准化后汇总值，缺少完整的评委中心与尺度参数，因此从它到原始0—6均分并非唯一。连续尺度承担模型训练与误差评价，相对等级仅承担展示；两者分开报告。</w:t>
      </w:r>
    </w:p>
    <w:p>
      <w:pPr>
        <w:pStyle w:val="Heading3"/>
        <w:keepNext/>
      </w:pPr>
      <w:r>
        <w:t>基学习器与特征构造</w:t>
      </w:r>
    </w:p>
    <w:p>
      <w:pPr>
        <w:pStyle w:val="BodyText"/>
        <w:widowControl/>
        <w:jc w:val="both"/>
      </w:pPr>
      <w:r>
        <w:t>基学习器由ExtraTrees、直方图梯度提升HGB、秩高斯Ridge和秩高斯PLS2组成。ExtraTrees刻画随机化非线性与交互[2]，HGB补充局部阈值响应，Ridge缓和共线，PLS2提供多输出共享的低秩表示。树分支保留附件尺度；线性分支在各训练折中填补后进行秩高斯变换，并将缺失指示单独并入。表2列出完整候选范围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表2 基学习器与折内候选参数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5216"/>
        <w:gridCol w:w="2324"/>
      </w:tblGrid>
      <w:tr>
        <w:trPr>
          <w:trHeight w:hRule="atLeast"/>
          <w:cantSplit/>
          <w:tblHeader/>
        </w:trPr>
        <w:tc>
          <w:tcPr>
            <w:tcW w:type="dxa" w:w="130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学习器</w:t>
            </w:r>
          </w:p>
        </w:tc>
        <w:tc>
          <w:tcPr>
            <w:tcW w:type="dxa" w:w="5216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候选范围</w:t>
            </w:r>
          </w:p>
        </w:tc>
        <w:tc>
          <w:tcPr>
            <w:tcW w:type="dxa" w:w="232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数据处理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ExtraTrees</w:t>
            </w:r>
          </w:p>
        </w:tc>
        <w:tc>
          <w:tcPr>
            <w:tcW w:type="dxa" w:w="5216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300棵；特征比例0.33/0.60/1.00；叶节点1/2/4/8；不限深度</w:t>
            </w:r>
          </w:p>
        </w:tc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中位数填补＋缺失指示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HGB</w:t>
            </w:r>
          </w:p>
        </w:tc>
        <w:tc>
          <w:tcPr>
            <w:tcW w:type="dxa" w:w="5216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叶节点上限7/15；最小叶样本20；学习率0.05；100轮；L2=1</w:t>
            </w:r>
          </w:p>
        </w:tc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中位数填补＋缺失指示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Ridge</w:t>
            </w:r>
          </w:p>
        </w:tc>
        <w:tc>
          <w:tcPr>
            <w:tcW w:type="dxa" w:w="5216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正则强度0.1/1/10/100/1000</w:t>
            </w:r>
          </w:p>
        </w:tc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折内秩高斯变换与缩放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PLS2</w:t>
            </w:r>
          </w:p>
        </w:tc>
        <w:tc>
          <w:tcPr>
            <w:tcW w:type="dxa" w:w="5216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潜变量数2/5/10/15/20</w:t>
            </w:r>
          </w:p>
        </w:tc>
        <w:tc>
          <w:tcPr>
            <w:tcW w:type="dxa" w:w="232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折内秩高斯变换与多输出拟合</w:t>
            </w:r>
          </w:p>
        </w:tc>
      </w:tr>
    </w:tbl>
    <w:p>
      <w:pPr>
        <w:pStyle w:val="BodyText"/>
        <w:widowControl/>
        <w:jc w:val="both"/>
      </w:pPr>
      <w:r>
        <w:t>内层以宏平均MAE最小选择每个学习器的参数；相同时依次比较R²、Spearman和两项七档代理指标。候选范围固定，外层验证数据不参与参数、权重或截距估计。HGB候选也可能得到相同预测，本文保留固定候选范围，不据此扩大搜索。</w:t>
      </w:r>
    </w:p>
    <w:p>
      <w:pPr>
        <w:pStyle w:val="Heading3"/>
        <w:keepNext/>
      </w:pPr>
      <w:r>
        <w:t>感官组收缩非负堆叠模型</w:t>
      </w:r>
    </w:p>
    <w:p>
      <w:pPr>
        <w:pStyle w:val="BodyText"/>
        <w:widowControl/>
        <w:jc w:val="both"/>
      </w:pPr>
      <w:r>
        <w:t>堆叠利用训练数据内部的交叉验证预测估计组合系数，其非负约束可减少相关预测器之间的相互抵消[1]。设T为当前外层训练样本，z为各基学习器在T上经内层3折得到的折外预测，m为四个基学习器的索引。对目标集合G，分别求解式(2)；G可取全部目标或某一感官家族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G</m:t>
                      </m:r>
                    </m:sub>
                  </m:sSub>
                </m:e>
                <m:sup>
                  <m:r>
                    <m:t>*</m:t>
                  </m:r>
                </m:sup>
              </m:sSup>
              <m:r>
                <m:t> = </m:t>
              </m:r>
              <m:sSub>
                <m:e>
                  <m:r>
                    <m:t>arg min</m:t>
                  </m:r>
                </m:e>
                <m:sub>
                  <m:r>
                    <m:t>w≥0</m:t>
                  </m:r>
                </m:sub>
              </m:sSub>
              <m:nary>
                <m:naryPr>
                  <m:chr m:val="∑"/>
                  <m:limLoc m:val="undOvr"/>
                  <m:grow m:val="1"/>
                  <m:supHide m:val="1"/>
                </m:naryPr>
                <m:sub>
                  <m:r>
                    <m:t>j∈G</m:t>
                  </m:r>
                </m:sub>
                <m:sup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</m:naryPr>
                    <m:sub>
                      <m:r>
                        <m:t>i∈T</m:t>
                      </m:r>
                    </m:sub>
                    <m:sup/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f>
                                <m:num>
                                  <m:sSub>
                                    <m:e>
                                      <m:r>
                                        <m:t>y</m:t>
                                      </m:r>
                                    </m:e>
                                    <m:sub>
                                      <m:r>
                                        <m:t>ij</m:t>
                                      </m:r>
                                    </m:sub>
                                  </m:sSub>
                                  <m:r>
                                    <m:t> − </m:t>
                                  </m:r>
                                  <m:sSub>
                                    <m:e>
                                      <m:bar>
                                        <m:barPr>
                                          <m:pos m:val="top"/>
                                        </m:barPr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</m:bar>
                                    </m:e>
                                    <m:sub>
                                      <m:r>
                                        <m:t>j</m:t>
                                      </m:r>
                                    </m:sub>
                                  </m:sSub>
                                  <m:r>
                                    <m:t> − </m:t>
                                  </m:r>
                                  <m:nary>
                                    <m:naryPr>
                                      <m:chr m:val="∑"/>
                                      <m:limLoc m:val="undOvr"/>
                                      <m:grow m:val="1"/>
                                    </m:naryPr>
                                    <m:sub>
                                      <m:r>
                                        <m:t>m=1</m:t>
                                      </m:r>
                                    </m:sub>
                                    <m:sup>
                                      <m:r>
                                        <m:t>4</m:t>
                                      </m:r>
                                    </m:sup>
                                    <m:e>
                                      <m:sSub>
                                        <m:e>
                                          <m: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m:t>m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begChr m:val="("/>
                                          <m:endChr m:val=")"/>
                                        </m:dPr>
                                        <m:e>
                                          <m:sSub>
                                            <m:e>
                                              <m: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m:t>ijm</m:t>
                                              </m:r>
                                            </m:sub>
                                          </m:sSub>
                                          <m:r>
                                            <m:t> − </m:t>
                                          </m:r>
                                          <m:sSub>
                                            <m:e>
                                              <m:bar>
                                                <m:barPr>
                                                  <m:pos m:val="top"/>
                                                </m:barPr>
                                                <m:e>
                                                  <m:r>
                                                    <m:t>z</m:t>
                                                  </m:r>
                                                </m:e>
                                              </m:bar>
                                            </m:e>
                                            <m:sub>
                                              <m:r>
                                                <m:t>jm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</m:nary>
                                </m:num>
                                <m:den>
                                  <m:sSub>
                                    <m:e>
                                      <m:r>
                                        <m:t>s</m:t>
                                      </m:r>
                                    </m:e>
                                    <m:sub>
                                      <m:r>
                                        <m:t>j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(2)</w:t>
            </w:r>
          </w:p>
        </w:tc>
      </w:tr>
    </w:tbl>
    <w:p>
      <w:pPr>
        <w:pStyle w:val="BodyText"/>
        <w:widowControl/>
        <w:jc w:val="both"/>
      </w:pPr>
      <w:r>
        <w:t>式中，y的横线为训练目标均值，z的横线为对应内层折外预测均值，s为训练目标的标准差；零方差时取1。标准差归一化使高波动目标不独占权重拟合。按香气15维、风味15维、其他味觉15维、口感4维、总体喜好1维分组；组别由字段定义预先确定，与啤酒风格不同。</w:t>
      </w:r>
    </w:p>
    <w:p>
      <w:pPr>
        <w:pStyle w:val="BodyText"/>
        <w:widowControl/>
        <w:jc w:val="both"/>
      </w:pPr>
      <w:r>
        <w:t>为降低小感官组的权重方差，将组内解向全目标共享解收缩，定义式(3)。固定λ=0.5，不使用外层指标选择收缩强度。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  <m:r>
                <m:t> = (1−λ)</m:t>
              </m:r>
              <m:s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g</m:t>
                      </m:r>
                    </m:sub>
                  </m:sSub>
                </m:e>
                <m:sup>
                  <m:r>
                    <m:t>*</m:t>
                  </m:r>
                </m:sup>
              </m:sSup>
              <m:r>
                <m:t> + λ</m:t>
              </m:r>
              <m:s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全部</m:t>
                      </m:r>
                    </m:sub>
                  </m:sSub>
                </m:e>
                <m:sup>
                  <m:r>
                    <m:t>*</m:t>
                  </m:r>
                </m:sup>
              </m:sSup>
              <m:r>
                <m:t>,    λ = 0.5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(3)</w:t>
            </w:r>
          </w:p>
        </w:tc>
      </w:tr>
    </w:tbl>
    <w:p>
      <w:pPr>
        <w:pStyle w:val="BodyText"/>
        <w:widowControl/>
        <w:jc w:val="both"/>
      </w:pPr>
      <w:r>
        <w:t>非负约束只要求各权重不小于0，不要求权重之和为1。每个目标保留自由截距，按训练均值恢复为式(4)，因此截距可为负值，不能与权重一同约束为非负。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t> = 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y</m:t>
                      </m:r>
                    </m:e>
                  </m:bar>
                </m:e>
                <m:sub>
                  <m:r>
                    <m:t>j</m:t>
                  </m:r>
                </m:sub>
              </m:sSub>
              <m:r>
                <m:t> −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t>m=1</m:t>
                  </m:r>
                </m:sub>
                <m:sup>
                  <m:r>
                    <m:t>4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w</m:t>
                          </m:r>
                        </m:e>
                      </m:acc>
                    </m:e>
                    <m:sub>
                      <m:r>
                        <m:t>g(j),m</m:t>
                      </m:r>
                    </m:sub>
                  </m:sSub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z</m:t>
                          </m:r>
                        </m:e>
                      </m:bar>
                    </m:e>
                    <m:sub>
                      <m:r>
                        <m:t>jm</m:t>
                      </m:r>
                    </m:sub>
                  </m:sSub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(4)</w:t>
            </w:r>
          </w:p>
        </w:tc>
      </w:tr>
    </w:tbl>
    <w:p>
      <w:pPr>
        <w:pStyle w:val="BodyText"/>
        <w:widowControl/>
        <w:jc w:val="both"/>
      </w:pPr>
      <w:r>
        <w:t>式中g(j)为目标j所属感官家族。各基学习器随后在完整外层训练集T上重拟合，对验证样本的最终连续预测由式(5)给出。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 = 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t> + </m:t>
              </m:r>
              <m:nary>
                <m:naryPr>
                  <m:chr m:val="∑"/>
                  <m:limLoc m:val="undOvr"/>
                  <m:grow m:val="1"/>
                </m:naryPr>
                <m:sub>
                  <m:r>
                    <m:t>m=1</m:t>
                  </m:r>
                </m:sub>
                <m:sup>
                  <m:r>
                    <m:t>4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w</m:t>
                          </m:r>
                        </m:e>
                      </m:acc>
                    </m:e>
                    <m:sub>
                      <m:r>
                        <m:t>g(j),m</m:t>
                      </m:r>
                    </m:sub>
                  </m:sSub>
                  <m:s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  <m:sup>
                      <m:r>
                        <m:t>(T)</m:t>
                      </m:r>
                    </m:sup>
                  </m:sSup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(5)</w:t>
            </w:r>
          </w:p>
        </w:tc>
      </w:tr>
    </w:tbl>
    <w:p>
      <w:pPr>
        <w:pStyle w:val="BodyText"/>
        <w:widowControl/>
        <w:jc w:val="both"/>
      </w:pPr>
      <w:r>
        <w:t>表3汇总30个外层训练折的权重，表示不同预测器在本数据中的组合方式，不作因果贡献比例解释。权重总和允许超过1，自由截距同时校正中心偏移。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表3 感官组收缩堆叠的平均非负权重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701"/>
        <w:gridCol w:w="1701"/>
        <w:gridCol w:w="1701"/>
        <w:gridCol w:w="1701"/>
      </w:tblGrid>
      <w:tr>
        <w:trPr>
          <w:trHeight w:hRule="atLeast"/>
          <w:cantSplit/>
          <w:tblHeader/>
        </w:trPr>
        <w:tc>
          <w:tcPr>
            <w:tcW w:type="dxa" w:w="204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感官家族</w:t>
            </w:r>
          </w:p>
        </w:tc>
        <w:tc>
          <w:tcPr>
            <w:tcW w:type="dxa" w:w="170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ExtraTrees</w:t>
            </w:r>
          </w:p>
        </w:tc>
        <w:tc>
          <w:tcPr>
            <w:tcW w:type="dxa" w:w="170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HGB</w:t>
            </w:r>
          </w:p>
        </w:tc>
        <w:tc>
          <w:tcPr>
            <w:tcW w:type="dxa" w:w="170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Ridge</w:t>
            </w:r>
          </w:p>
        </w:tc>
        <w:tc>
          <w:tcPr>
            <w:tcW w:type="dxa" w:w="170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PLS2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香气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0.713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0.142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0.040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0.231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风味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0.784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0.146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0.033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0.202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其他味觉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0.648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0.250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0.100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0.178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口感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0.643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0.207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0.172</w:t>
            </w:r>
          </w:p>
        </w:tc>
        <w:tc>
          <w:tcPr>
            <w:tcW w:type="dxa" w:w="170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0.219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总体喜好</w:t>
            </w:r>
          </w:p>
        </w:tc>
        <w:tc>
          <w:tcPr>
            <w:tcW w:type="dxa" w:w="170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0.642</w:t>
            </w:r>
          </w:p>
        </w:tc>
        <w:tc>
          <w:tcPr>
            <w:tcW w:type="dxa" w:w="170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0.180</w:t>
            </w:r>
          </w:p>
        </w:tc>
        <w:tc>
          <w:tcPr>
            <w:tcW w:type="dxa" w:w="170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0.046</w:t>
            </w:r>
          </w:p>
        </w:tc>
        <w:tc>
          <w:tcPr>
            <w:tcW w:type="dxa" w:w="170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0.192</w:t>
            </w:r>
          </w:p>
        </w:tc>
      </w:tr>
    </w:tbl>
    <w:p>
      <w:pPr>
        <w:pStyle w:val="Heading3"/>
        <w:keepNext/>
      </w:pPr>
      <w:r>
        <w:t>0—6相对强度映射</w:t>
      </w:r>
    </w:p>
    <w:p>
      <w:pPr>
        <w:pStyle w:val="BodyText"/>
        <w:widowControl/>
        <w:jc w:val="both"/>
      </w:pPr>
      <w:r>
        <w:t>仅利用当前外层训练集中目标j的经验分布，将验证预测单调映射至0—6区间，定义为式(6)。其中F为训练目标的经验分布函数，指示函数统计不大于给定预测值的训练观测比例。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 = 6·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j,tr</m:t>
                  </m:r>
                </m:sub>
              </m:sSub>
              <m: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)</m:t>
              </m:r>
              <m:r>
                <m:t>,    0 ≤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ij</m:t>
                  </m:r>
                </m:sub>
              </m:sSub>
              <m:r>
                <m:t> ≤ 6</m:t>
              </m:r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(6)</w:t>
            </w:r>
          </w:p>
        </w:tc>
      </w:tr>
    </w:tbl>
    <w:p>
      <w:pPr>
        <w:pStyle w:val="BodyText"/>
        <w:widowControl/>
        <w:jc w:val="both"/>
      </w:pPr>
      <w:r>
        <w:t>先逐折映射，再对10次重复的等级取平均，不能先汇总预测再用全体目标拟合映射。该等级保持维度内部的相对强弱次序，不能等同于原始评委平均分。附图S1(b)展示固定训练折的映射曲线。</w:t>
      </w:r>
    </w:p>
    <w:p>
      <w:pPr>
        <w:pStyle w:val="Heading2"/>
        <w:keepNext/>
      </w:pPr>
      <w:r>
        <w:t>问题一求解</w:t>
      </w:r>
    </w:p>
    <w:p>
      <w:pPr>
        <w:pStyle w:val="Heading3"/>
        <w:keepNext/>
      </w:pPr>
      <w:r>
        <w:t>求解步骤与交叉验证</w:t>
      </w:r>
    </w:p>
    <w:p>
      <w:pPr>
        <w:pStyle w:val="BodyText"/>
        <w:widowControl/>
        <w:jc w:val="both"/>
      </w:pPr>
      <w:r>
        <w:t>使用固定的10次重复、每次3折外层划分，尽量平衡细分风格；极小风格不强求每折均出现。每次重复中，每款啤酒恰好进入一个验证折。对每个外层训练集，依次进行内层3折参数选择、内层折外预测构造、共享及组内NNLS拟合、0.5权重收缩与自由截距恢复，最后重拟合基学习器并预测外层验证集。随机种子以20261023为起点，并由重复、折及学习器索引确定。</w:t>
      </w:r>
    </w:p>
    <w:p>
      <w:pPr>
        <w:pStyle w:val="BodyText"/>
        <w:widowControl/>
        <w:jc w:val="both"/>
      </w:pPr>
      <w:r>
        <w:t>对每个感官目标先单独计算指标，再对50个目标等权平均。式(7)、式(8)给出宏平均R²与MAE；n为本次评价样本数，J=50，评价均值仅用于指标定义，不用于训练。RMSE同样先按目标计算再平均。</w:t>
      </w:r>
    </w:p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sub>
                  <m:r>
                    <m:t>宏</m:t>
                  </m:r>
                </m:sub>
              </m:sSub>
              <m:r>
                <m:t> = </m:t>
              </m:r>
              <m:f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  <m:nary>
                <m:naryPr>
                  <m:chr m:val="∑"/>
                  <m:limLoc m:val="undOvr"/>
                  <m:grow m:val="1"/>
                </m:naryPr>
                <m:sub>
                  <m:r>
                    <m:t>j=1</m:t>
                  </m:r>
                </m:sub>
                <m:sup>
                  <m:r>
                    <m:t>J</m:t>
                  </m:r>
                </m:sup>
                <m:e>
                  <m:d>
                    <m:dPr>
                      <m:begChr m:val="["/>
                      <m:endChr m:val="]"/>
                    </m:dPr>
                    <m:e>
                      <m:r>
                        <m:t>1−</m:t>
                      </m:r>
                      <m:f>
                        <m:num>
                          <m:nary>
                            <m:naryPr>
                              <m:chr m:val="∑"/>
                              <m:limLoc m:val="undOvr"/>
                              <m:grow m:val="1"/>
                            </m:naryPr>
                            <m:sub>
                              <m:r>
                                <m:t>i=1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</m:dPr>
                                    <m:e>
                                      <m:sSub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m:t>ij</m:t>
                                          </m:r>
                                        </m:sub>
                                      </m:sSub>
                                      <m:r>
                                        <m:t>−</m:t>
                                      </m:r>
                                      <m:sSub>
                                        <m:e>
                                          <m:acc>
                                            <m:accPr>
                                              <m:chr m:val="̂"/>
                                            </m:accPr>
                                            <m:e>
                                              <m:r>
                                                <m:t>y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m:t>ij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nary>
                        </m:num>
                        <m:den>
                          <m:nary>
                            <m:naryPr>
                              <m:chr m:val="∑"/>
                              <m:limLoc m:val="undOvr"/>
                              <m:grow m:val="1"/>
                            </m:naryPr>
                            <m:sub>
                              <m:r>
                                <m:t>i=1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</m:dPr>
                                    <m:e>
                                      <m:sSub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m:t>ij</m:t>
                                          </m:r>
                                        </m:sub>
                                      </m:sSub>
                                      <m:r>
                                        <m:t>−</m:t>
                                      </m:r>
                                      <m:sSub>
                                        <m:e>
                                          <m:bar>
                                            <m:barPr>
                                              <m:pos m:val="top"/>
                                            </m:barPr>
                                            <m:e>
                                              <m:r>
                                                <m:t>y</m:t>
                                              </m:r>
                                            </m:e>
                                          </m:bar>
                                        </m:e>
                                        <m:sub>
                                          <m: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nary>
                        </m:den>
                      </m:f>
                    </m:e>
                  </m:d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(7)</w:t>
            </w:r>
          </w:p>
        </w:tc>
      </w:tr>
    </w:tbl>
    <w:tbl>
      <w:tblPr>
        <w:tblW w:type="pct" w:w="5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578"/>
        <w:gridCol w:w="7483"/>
        <w:gridCol w:w="578"/>
      </w:tblGrid>
      <w:tr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</w:pPr>
          </w:p>
        </w:tc>
        <w:tc>
          <w:tcPr>
            <w:tcW w:type="dxa" w:w="7483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center"/>
            </w:pPr>
            <m:oMath>
              <m:sSub>
                <m:e>
                  <m:r>
                    <m:t>MAE</m:t>
                  </m:r>
                </m:e>
                <m:sub>
                  <m:r>
                    <m:t>宏</m:t>
                  </m:r>
                </m:sub>
              </m:sSub>
              <m:r>
                <m:t> = </m:t>
              </m:r>
              <m:f>
                <m:num>
                  <m:r>
                    <m:t>1</m:t>
                  </m:r>
                </m:num>
                <m:den>
                  <m:r>
                    <m:t>nJ</m:t>
                  </m:r>
                </m:den>
              </m:f>
              <m:nary>
                <m:naryPr>
                  <m:chr m:val="∑"/>
                  <m:limLoc m:val="undOvr"/>
                  <m:grow m:val="1"/>
                </m:naryPr>
                <m:sub>
                  <m:r>
                    <m:t>j=1</m:t>
                  </m:r>
                </m:sub>
                <m:sup>
                  <m:r>
                    <m:t>J</m:t>
                  </m:r>
                </m:sup>
                <m:e>
                  <m:nary>
                    <m:naryPr>
                      <m:chr m:val="∑"/>
                      <m:limLoc m:val="undOvr"/>
                      <m:grow m:val="1"/>
                    </m:naryPr>
                    <m:sub>
                      <m:r>
                        <m:t>i=1</m:t>
                      </m:r>
                    </m:sub>
                    <m:sup>
                      <m:r>
                        <m:t>n</m:t>
                      </m:r>
                    </m:sup>
                    <m:e>
                      <m:d>
                        <m:dPr>
                          <m:begChr m:val="|"/>
                          <m:endChr m:val="|"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ij</m:t>
                              </m:r>
                            </m:sub>
                          </m:sSub>
                          <m: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</w:p>
        </w:tc>
        <w:tc>
          <w:tcPr>
            <w:tcW w:type="dxa" w:w="578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spacing w:before="40" w:after="40"/>
              <w:ind w:firstLine="0"/>
              <w:jc w:val="right"/>
            </w:pPr>
            <w:r>
              <w:rPr>
                <w:rFonts w:ascii="Times New Roman" w:hAnsi="Times New Roman" w:eastAsia="宋体"/>
                <w:sz w:val="21"/>
              </w:rPr>
              <w:t>(8)</w:t>
            </w:r>
          </w:p>
        </w:tc>
      </w:tr>
    </w:tbl>
    <w:p>
      <w:pPr>
        <w:pStyle w:val="BodyText"/>
        <w:widowControl/>
        <w:jc w:val="both"/>
      </w:pPr>
      <w:r>
        <w:t>Spearman衡量连续值排序关系。七档分位代理QWK与相邻等级一致率分别将观测、预测按各自样本分位数分为七档，再计算一致性；它们是固定的事后排序诊断，不进入相对等级推断，也不是原始0—6评分准确率。以下主比较使用10个完整重复指标的均值与标准差；平均折外预测则先对每款啤酒的10次预测取平均，二者单列。</w:t>
      </w:r>
    </w:p>
    <w:p>
      <w:pPr>
        <w:pStyle w:val="Heading3"/>
        <w:keepNext/>
      </w:pPr>
      <w:r>
        <w:t>结果分析与模型对比</w:t>
      </w:r>
    </w:p>
    <w:p>
      <w:pPr>
        <w:pStyle w:val="BodyText"/>
        <w:widowControl/>
        <w:jc w:val="both"/>
      </w:pPr>
      <w:r>
        <w:t>表4比较非线性基线及三种融合方法与最终模型，各模型使用相同外层划分，图1进一步展示重复间波动。最终模型提高解释度与连续预测精度，但在部分排序指标上没有取得最高值。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表4 相同外层划分下的五项预测指标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71"/>
        <w:gridCol w:w="1871"/>
        <w:gridCol w:w="1134"/>
        <w:gridCol w:w="1020"/>
        <w:gridCol w:w="1191"/>
      </w:tblGrid>
      <w:tr>
        <w:trPr>
          <w:trHeight w:hRule="atLeast"/>
          <w:cantSplit/>
          <w:tblHeader/>
        </w:trPr>
        <w:tc>
          <w:tcPr>
            <w:tcW w:type="dxa" w:w="175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方法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R²（均值±SD）</w:t>
            </w:r>
          </w:p>
        </w:tc>
        <w:tc>
          <w:tcPr>
            <w:tcW w:type="dxa" w:w="187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MAE（均值±SD）</w:t>
            </w:r>
          </w:p>
        </w:tc>
        <w:tc>
          <w:tcPr>
            <w:tcW w:type="dxa" w:w="113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Spearman</w:t>
            </w:r>
          </w:p>
        </w:tc>
        <w:tc>
          <w:tcPr>
            <w:tcW w:type="dxa" w:w="1020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代理QWK</w:t>
            </w:r>
          </w:p>
        </w:tc>
        <w:tc>
          <w:tcPr>
            <w:tcW w:type="dxa" w:w="119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相邻等级一致率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ExtraTrees基线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0.2359±0.0058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0.3422±0.0011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0.4144</w:t>
            </w:r>
          </w:p>
        </w:tc>
        <w:tc>
          <w:tcPr>
            <w:tcW w:type="dxa" w:w="102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0.4026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54.76%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连续凸融合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0.2482±0.0065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0.3397±0.0013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0.4273</w:t>
            </w:r>
          </w:p>
        </w:tc>
        <w:tc>
          <w:tcPr>
            <w:tcW w:type="dxa" w:w="102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0.4150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55.23%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连续—有序融合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0.2480±0.0060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0.3356±0.0014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0.4314</w:t>
            </w:r>
          </w:p>
        </w:tc>
        <w:tc>
          <w:tcPr>
            <w:tcW w:type="dxa" w:w="102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0.4194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55.52%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逐目标收缩融合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0.2472±0.0059</w:t>
            </w:r>
          </w:p>
        </w:tc>
        <w:tc>
          <w:tcPr>
            <w:tcW w:type="dxa" w:w="187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0.3360±0.0012</w:t>
            </w:r>
          </w:p>
        </w:tc>
        <w:tc>
          <w:tcPr>
            <w:tcW w:type="dxa" w:w="113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0.4295</w:t>
            </w:r>
          </w:p>
        </w:tc>
        <w:tc>
          <w:tcPr>
            <w:tcW w:type="dxa" w:w="1020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0.4172</w:t>
            </w:r>
          </w:p>
        </w:tc>
        <w:tc>
          <w:tcPr>
            <w:tcW w:type="dxa" w:w="119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55.25%</w:t>
            </w:r>
          </w:p>
        </w:tc>
      </w:tr>
      <w:tr>
        <w:trPr>
          <w:trHeight w:hRule="atLeast"/>
          <w:cantSplit/>
        </w:trPr>
        <w:tc>
          <w:tcPr>
            <w:tcW w:type="dxa" w:w="175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感官组收缩NNLS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0.2564±0.0070</w:t>
            </w:r>
          </w:p>
        </w:tc>
        <w:tc>
          <w:tcPr>
            <w:tcW w:type="dxa" w:w="187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0.3361±0.0016</w:t>
            </w:r>
          </w:p>
        </w:tc>
        <w:tc>
          <w:tcPr>
            <w:tcW w:type="dxa" w:w="113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0.4302</w:t>
            </w:r>
          </w:p>
        </w:tc>
        <w:tc>
          <w:tcPr>
            <w:tcW w:type="dxa" w:w="1020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0.4183</w:t>
            </w:r>
          </w:p>
        </w:tc>
        <w:tc>
          <w:tcPr>
            <w:tcW w:type="dxa" w:w="119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55.42%</w:t>
            </w:r>
          </w:p>
        </w:tc>
      </w:tr>
    </w:tbl>
    <w:p>
      <w:pPr>
        <w:pStyle w:val="BodyText"/>
        <w:widowControl/>
        <w:jc w:val="both"/>
      </w:pPr>
      <w:r>
        <w:t>感官组收缩NNLS的重复均值R²为0.2564，MAE为0.3361，Spearman为0.4302，代理QWK为0.4183，相邻等级一致率为55.42%；五项均在10次重复中优于ExtraTrees基线。重复均值RMSE为0.4714。连续—有序融合的MAE为0.3356、Spearman为0.4314、代理QWK为0.4194、相邻等级一致率为55.52%，均略好于最终模型。选择最终模型依据连续解释度、平均折外精度及稳健性综合权衡，不将其表述为所有指标同时最优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2979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模型对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79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图1 基线、融合与最终模型的重复折外性能比较（纵轴为局部范围）</w:t>
      </w:r>
    </w:p>
    <w:p>
      <w:pPr>
        <w:pStyle w:val="BodyText"/>
        <w:widowControl/>
        <w:jc w:val="both"/>
      </w:pPr>
      <w:r>
        <w:t>平均折外预测的宏平均R²为0.2742、MAE为0.3315、RMSE为0.4655、Spearman为0.4487，代理QWK为0.4368、相邻等级一致率为56.42%。ExtraTrees基线对应R²为0.2502、MAE为0.3389。平均预测降低了随机划分造成的波动，但这些指标不替代上文10次重复的均值；逐目标收缩融合的平均折外Spearman为0.4511，仍高于最终模型。</w:t>
      </w:r>
    </w:p>
    <w:p>
      <w:pPr>
        <w:pStyle w:val="BodyText"/>
        <w:widowControl/>
        <w:jc w:val="both"/>
      </w:pPr>
      <w:r>
        <w:t>图2按感官家族完整展示50个目标，避免只挑高分目标。目前50个目标的平均折外R²为正。酸度、酒精感等信号较强，花香酯、陈旧酒花味及部分总体感受信号较弱。每个目标的解释度与秩相关不能互相替代，尤其在预测幅度收缩时，排序尚可仍可能伴随较低R²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5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逐目标预测性能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图2 最终模型50个感官目标的平均折外R²与Spearman</w:t>
      </w:r>
    </w:p>
    <w:p>
      <w:pPr>
        <w:pStyle w:val="BodyText"/>
        <w:widowControl/>
        <w:jc w:val="both"/>
      </w:pPr>
      <w:r>
        <w:t>图3沿用事先固定的酸度、4VG和陈旧酒花味三个代表目标，分别检视较强、中等及较弱信号。虚线为理想预测，实线与阴影为观测—预测OLS拟合及均值置信带，不是单个新样本的预测区间。弱目标的预测仍向均值收缩，说明共享建模不能补足未测化学信息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2680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OOF观测预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8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图3 固定代表感官目标的平均折外观测—预测关系</w:t>
      </w:r>
    </w:p>
    <w:p>
      <w:pPr>
        <w:pStyle w:val="Heading3"/>
        <w:keepNext/>
      </w:pPr>
      <w:r>
        <w:t>模型检验与稳健性</w:t>
      </w:r>
    </w:p>
    <w:p>
      <w:pPr>
        <w:pStyle w:val="BodyText"/>
        <w:widowControl/>
        <w:jc w:val="both"/>
      </w:pPr>
      <w:r>
        <w:t>输入中排除标识与风格标签，填补、秩变换、基学习器选择、堆叠与映射均在相应训练范围内进行。附件2、5、6的全量相关矩阵不用于本问筛选或调参。数据附带的标准化监督信号沿用官方定义；没有原始评委记录时，不能审计或消除其上游标准化过程可能带来的依赖。</w:t>
      </w:r>
    </w:p>
    <w:p>
      <w:pPr>
        <w:pStyle w:val="BodyText"/>
        <w:widowControl/>
        <w:jc w:val="both"/>
      </w:pPr>
      <w:r>
        <w:t>为检验弱目标，以基线重复平均R²预先固定最低的13个目标，另固定10个难目标，不能按最终模型重新挑选。尾部13目标的平均R²从0.0411增至0.0639，MAE从0.3277降至0.3227；10个难目标平均ΔR²为+0.0081、ΔMAE为−0.0032。相较逐目标收缩融合，尾部MAE仍略高，因此不声称弱目标普遍最优。图4同时展示风格误差和难目标的正负变化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31556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风格与难目标稳健性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图4 平均折外风格误差与预登记难目标的重复平均R²变化</w:t>
      </w:r>
    </w:p>
    <w:p>
      <w:pPr>
        <w:pStyle w:val="BodyText"/>
        <w:widowControl/>
        <w:jc w:val="both"/>
      </w:pPr>
      <w:r>
        <w:t>22个风格中，20个的重复平均MAE低于基线；最差风格Brut由0.5512降至0.5348。佛兰德老棕艾尔与Tripel分别增加0.0019和0.0011。总体喜好和反式-2-壬烯醛的R²分别下降0.0144和0.0101，MAE分别增加0.0042和0.0010；香气、风味的热带酒花维度也有小幅下降。风格内样本量较小，这些描述不构成未见风格的外推保证。</w:t>
      </w:r>
    </w:p>
    <w:p>
      <w:pPr>
        <w:pStyle w:val="BodyText"/>
        <w:widowControl/>
        <w:jc w:val="both"/>
      </w:pPr>
      <w:r>
        <w:t>进一步在固定平均折外预测上，以啤酒为配对单位进行20,000次自助重采样。每款啤酒先对50个目标取绝对误差平均；秩误差则对各目标的观测和预测分别排名，以样本数减1归一化，再求绝对差。表5中的差值均为最终模型减基线，负值表示误差较低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表5 最终模型相对基线的配对自助重采样结果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417"/>
        <w:gridCol w:w="1417"/>
        <w:gridCol w:w="2778"/>
      </w:tblGrid>
      <w:tr>
        <w:trPr>
          <w:trHeight w:hRule="atLeast"/>
          <w:cantSplit/>
          <w:tblHeader/>
        </w:trPr>
        <w:tc>
          <w:tcPr>
            <w:tcW w:type="dxa" w:w="181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指标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基线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最终模型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差值</w:t>
            </w:r>
          </w:p>
        </w:tc>
        <w:tc>
          <w:tcPr>
            <w:tcW w:type="dxa" w:w="2778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95%百分位区间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MAE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0.338879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0.331498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-0.007381</w:t>
            </w:r>
          </w:p>
        </w:tc>
        <w:tc>
          <w:tcPr>
            <w:tcW w:type="dxa" w:w="2778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[-0.009467, -0.005331]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归一化绝对秩误差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0.237023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0.233291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-0.003732</w:t>
            </w:r>
          </w:p>
        </w:tc>
        <w:tc>
          <w:tcPr>
            <w:tcW w:type="dxa" w:w="2778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[-0.006055, -0.001502]</w:t>
            </w:r>
          </w:p>
        </w:tc>
      </w:tr>
    </w:tbl>
    <w:p>
      <w:pPr>
        <w:pStyle w:val="BodyText"/>
        <w:widowControl/>
        <w:jc w:val="both"/>
      </w:pPr>
      <w:r>
        <w:t>两个区间均位于0以下，支持当前固定预测下的平均改善。该自助区间不包含重训或模型选择的不确定性，10次划分也共享样本，不作为10个独立研究处理。附图S1(a)继续检查残差的极端区间偏差与方差变化。</w:t>
      </w:r>
    </w:p>
    <w:p>
      <w:pPr>
        <w:pStyle w:val="BodyText"/>
        <w:widowControl/>
        <w:jc w:val="both"/>
      </w:pPr>
      <w:r>
        <w:t>表6比较预先设置的三种权重共享结构；共享权重反映全局共性，逐目标权重提供更细自由度，感官组结构处于二者之间。三种模型均固定0.5收缩，表内比较仅解释权重结构差异，不是对收缩系数的敏感性曲线。</w:t>
      </w:r>
    </w:p>
    <w:p>
      <w:pPr>
        <w:pStyle w:val="BodyText"/>
        <w:keepNext/>
        <w:spacing w:before="60" w:after="40"/>
        <w:ind w:firstLine="0"/>
        <w:jc w:val="center"/>
      </w:pPr>
      <w:r>
        <w:rPr>
          <w:rFonts w:ascii="Times New Roman" w:hAnsi="Times New Roman" w:eastAsia="宋体"/>
          <w:sz w:val="21"/>
        </w:rPr>
        <w:t>表6 权重共享结构消融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247"/>
        <w:gridCol w:w="1247"/>
        <w:gridCol w:w="1361"/>
        <w:gridCol w:w="1247"/>
        <w:gridCol w:w="1417"/>
      </w:tblGrid>
      <w:tr>
        <w:trPr>
          <w:trHeight w:hRule="atLeast"/>
          <w:cantSplit/>
          <w:tblHeader/>
        </w:trPr>
        <w:tc>
          <w:tcPr>
            <w:tcW w:type="dxa" w:w="2324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结构</w:t>
            </w:r>
          </w:p>
        </w:tc>
        <w:tc>
          <w:tcPr>
            <w:tcW w:type="dxa" w:w="124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R²</w:t>
            </w:r>
          </w:p>
        </w:tc>
        <w:tc>
          <w:tcPr>
            <w:tcW w:type="dxa" w:w="124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MAE</w:t>
            </w:r>
          </w:p>
        </w:tc>
        <w:tc>
          <w:tcPr>
            <w:tcW w:type="dxa" w:w="1361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Spearman</w:t>
            </w:r>
          </w:p>
        </w:tc>
        <w:tc>
          <w:tcPr>
            <w:tcW w:type="dxa" w:w="124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代理QWK</w:t>
            </w:r>
          </w:p>
        </w:tc>
        <w:tc>
          <w:tcPr>
            <w:tcW w:type="dxa" w:w="1417"/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相邻等级一致率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共享权重NNLS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0.2551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0.3365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0.4298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0.4175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55.34%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感官组收缩NNLS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0.2564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0.3361</w:t>
            </w:r>
          </w:p>
        </w:tc>
        <w:tc>
          <w:tcPr>
            <w:tcW w:type="dxa" w:w="1361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0.4302</w:t>
            </w:r>
          </w:p>
        </w:tc>
        <w:tc>
          <w:tcPr>
            <w:tcW w:type="dxa" w:w="124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0.4183</w:t>
            </w:r>
          </w:p>
        </w:tc>
        <w:tc>
          <w:tcPr>
            <w:tcW w:type="dxa" w:w="1417"/>
            <w:tcBorders>
              <w:left w:val="nil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55.42%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逐目标收缩NNLS</w:t>
            </w:r>
          </w:p>
        </w:tc>
        <w:tc>
          <w:tcPr>
            <w:tcW w:type="dxa" w:w="124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0.2551</w:t>
            </w:r>
          </w:p>
        </w:tc>
        <w:tc>
          <w:tcPr>
            <w:tcW w:type="dxa" w:w="124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0.3364</w:t>
            </w:r>
          </w:p>
        </w:tc>
        <w:tc>
          <w:tcPr>
            <w:tcW w:type="dxa" w:w="1361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0.4274</w:t>
            </w:r>
          </w:p>
        </w:tc>
        <w:tc>
          <w:tcPr>
            <w:tcW w:type="dxa" w:w="124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0.4157</w:t>
            </w:r>
          </w:p>
        </w:tc>
        <w:tc>
          <w:tcPr>
            <w:tcW w:type="dxa" w:w="1417"/>
            <w:tcBorders>
              <w:left w:val="nil"/>
              <w:bottom w:val="single" w:sz="10" w:color="000000"/>
              <w:right w:val="nil"/>
              <w:insideH w:val="nil"/>
              <w:insideV w:val="nil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pStyle w:val="BodyText"/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55.43%</w:t>
            </w:r>
          </w:p>
        </w:tc>
      </w:tr>
    </w:tbl>
    <w:p>
      <w:pPr>
        <w:pStyle w:val="BodyText"/>
        <w:widowControl/>
        <w:jc w:val="both"/>
      </w:pPr>
      <w:r>
        <w:t>感官组收缩在此比较中取得较高解释度与较低MAE；逐目标收缩的相邻等级一致率为55.432%，略高于感官组的55.423%，说明更细的权重并未带来各项指标一致改善。现有结果只支持固定结构下的比较；其他收缩强度、跨批次数据和原始0—6标签的检验仍待补充。</w:t>
      </w:r>
    </w:p>
    <w:p>
      <w:pPr>
        <w:pStyle w:val="Heading3"/>
        <w:keepNext/>
      </w:pPr>
      <w:r>
        <w:t>结果解释与模型评价</w:t>
      </w:r>
    </w:p>
    <w:p>
      <w:pPr>
        <w:pStyle w:val="BodyText"/>
        <w:widowControl/>
        <w:jc w:val="both"/>
      </w:pPr>
      <w:r>
        <w:t>最终模型利用树模型、线性收缩与低秩多输出的误差互补，在严格外层验证中提高整体连续解释度，固定尾部和最差风格也优于基线。NNLS权重保留可解释的非负组合，自由截距与组间收缩控制幅度和小组方差，适合作为后续感官画像的预测接口。</w:t>
      </w:r>
    </w:p>
    <w:p>
      <w:pPr>
        <w:pStyle w:val="BodyText"/>
        <w:widowControl/>
        <w:jc w:val="both"/>
      </w:pPr>
      <w:r>
        <w:t>其限制有三点：少数难目标的化学信号仍不足，整体改善不能替代逐维可靠性；七档排序代理及相对强度映射均不能当作原始评委评分；重复验证、自助区间和标准化数据只支持当前商业啤酒样本范围，不能证明未见风格或合成化学谱上的真实感官安全。问题二的关联证据与问题三的候选设计仍须分别验证。</w:t>
      </w:r>
    </w:p>
    <w:p>
      <w:pPr>
        <w:pStyle w:val="Heading2"/>
        <w:keepNext/>
      </w:pPr>
      <w:r>
        <w:t>参考文献</w:t>
      </w:r>
    </w:p>
    <w:p>
      <w:pPr>
        <w:pStyle w:val="BodyText"/>
        <w:widowControl/>
        <w:jc w:val="both"/>
      </w:pPr>
      <w:r>
        <w:t>[1] Breiman L. Stacked regressions. Machine Learning, 1996, 24: 49–64. DOI: 10.1023/A:1018046112532.</w:t>
      </w:r>
    </w:p>
    <w:p>
      <w:pPr>
        <w:pStyle w:val="BodyText"/>
        <w:widowControl/>
        <w:jc w:val="both"/>
      </w:pPr>
      <w:r>
        <w:t>[2] Geurts P, Ernst D, Wehenkel L. Extremely randomized trees. Machine Learning, 2006, 63: 3–42. DOI: 10.1007/s10994-006-6226-1.</w:t>
      </w:r>
    </w:p>
    <w:p>
      <w:pPr>
        <w:pStyle w:val="Heading2"/>
        <w:keepNext/>
      </w:pPr>
      <w:r>
        <w:t>附图</w:t>
      </w:r>
    </w:p>
    <w:p>
      <w:pPr>
        <w:pStyle w:val="BodyText"/>
        <w:widowControl/>
        <w:jc w:val="both"/>
      </w:pPr>
      <w:r>
        <w:t>附图S1合并残差诊断与训练折经验分布映射。残差图使用与图3相同的固定目标；映射示例仅使用首个重复的首个外层训练折，不使用验证观测拟合经验分布。程序及完整逐维表另附。</w:t>
      </w:r>
    </w:p>
    <w:p>
      <w:pPr>
        <w:pStyle w:val="BodyText"/>
        <w:keepNext/>
        <w:spacing w:before="60" w:after="0"/>
        <w:ind w:firstLine="0"/>
        <w:jc w:val="center"/>
      </w:pPr>
      <w:r>
        <w:drawing>
          <wp:inline>
            <wp:extent cx="5616000" cy="41381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附图S1_残差诊断与量表映射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13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before="40" w:after="100"/>
        <w:ind w:firstLine="0"/>
        <w:jc w:val="center"/>
      </w:pPr>
      <w:r>
        <w:rPr>
          <w:rFonts w:ascii="Times New Roman" w:hAnsi="Times New Roman" w:eastAsia="宋体"/>
          <w:sz w:val="21"/>
        </w:rPr>
        <w:t>附图S1 固定目标残差与训练折经验分布的相对量表映射</w:t>
      </w:r>
    </w:p>
    <w:sectPr>
      <w:footerReference w:type="default" r:id="rId10"/>
      <w:headerReference w:type="default" r:id="rId11"/>
      <w:headerReference w:type="first" r:id="rId12"/>
      <w:headerReference w:type="even" r:id="rId13"/>
      <w:footnotePr>
        <w:numRestart w:val="eachSect"/>
      </w:footnotePr>
      <w:pgSz w:w="11906" w:h="16838"/>
      <w:pgMar w:top="1247" w:bottom="1247" w:left="1417" w:right="1417" w:gutter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问题一模型建立与求解</dc:title>
  <dc:creator/>
  <cp:keywords/>
  <dcterms:created xsi:type="dcterms:W3CDTF">2026-10-24T06:41:11Z</dcterms:created>
  <dcterms:modified xsi:type="dcterms:W3CDTF">2026-10-24T06:41:11Z</dcterms:modified>
  <dc:subject>啤酒化学组成与多维感官预测</dc:subject>
  <cp:lastModifiedBy/>
  <dc:description/>
  <cp:category/>
  <dc:identifier/>
</cp:coreProperties>
</file>