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keepNext/>
      </w:pPr>
      <w:r>
        <w:t>问题一分析</w:t>
      </w:r>
    </w:p>
    <w:p>
      <w:pPr>
        <w:pStyle w:val="BodyText"/>
        <w:widowControl/>
        <w:jc w:val="both"/>
      </w:pPr>
      <w:r>
        <w:t>问题一要求由化学组成预测多维感官强度。本题可用样本为250款啤酒，输入包含231项化学与理化特征，监督信号为50个标准化连续感官属性。其困难在于输入维数接近样本量、化合物之间相关性较强，各感官家族的可预测性又不相同；附件中的标准化值还不能唯一还原为评委原始0—6分。风格分布不均，单一平均误差也可能掩盖缺陷味及小样本风格的失败。</w:t>
      </w:r>
    </w:p>
    <w:p>
      <w:pPr>
        <w:pStyle w:val="BodyText"/>
        <w:widowControl/>
        <w:jc w:val="both"/>
      </w:pPr>
      <w:r>
        <w:t>本文按beer字段对齐附件，在训练折内完成填补与特征变换；以ExtraTrees为非线性基线，将HGB、秩高斯Ridge和PLS2的互补预测纳入非负最小二乘堆叠，并通过感官组向共享权重收缩控制方差。采用10次重复、每次3折的外层验证，基学习器选择与堆叠权重估计均限制在外层训练数据内。评价同时覆盖解释度、绝对误差、排序一致性及弱目标、风格误差，0—6仅按训练折经验分布给出相对强度。</w:t>
      </w:r>
    </w:p>
    <w:sectPr>
      <w:footerReference w:type="default" r:id="rId10"/>
      <w:headerReference w:type="default" r:id="rId11"/>
      <w:headerReference w:type="first" r:id="rId12"/>
      <w:headerReference w:type="even" r:id="rId13"/>
      <w:footnotePr>
        <w:numRestart w:val="eachSect"/>
      </w:footnotePr>
      <w:pgSz w:w="11906" w:h="16838"/>
      <w:pgMar w:top="1247" w:bottom="1247" w:left="1417" w:right="1417" w:gutter="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问题一分析</dc:title>
  <dc:creator/>
  <cp:keywords/>
  <dcterms:created xsi:type="dcterms:W3CDTF">2026-10-24T06:41:11Z</dcterms:created>
  <dcterms:modified xsi:type="dcterms:W3CDTF">2026-10-24T06:41:11Z</dcterms:modified>
  <dc:subject>啤酒化学组成与多维感官预测</dc:subject>
  <cp:lastModifiedBy/>
  <dc:description/>
  <cp:category/>
  <dc:identifier/>
</cp:coreProperties>
</file>