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模型假设</w:t>
      </w:r>
    </w:p>
    <w:p>
      <w:pPr>
        <w:pStyle w:val="BodyText"/>
        <w:widowControl/>
        <w:jc w:val="both"/>
      </w:pPr>
      <w:r>
        <w:t>为简化问题，本文做出以下假设：</w:t>
      </w:r>
    </w:p>
    <w:p>
      <w:pPr>
        <w:pStyle w:val="BodyText"/>
        <w:widowControl/>
        <w:jc w:val="both"/>
      </w:pPr>
      <w:r>
        <w:rPr>
          <w:b/>
        </w:rPr>
        <w:t>假设1：</w:t>
      </w:r>
      <w:r>
        <w:t>同一化学字段在各啤酒样本中具有可比的单位和测量口径。数据依据是附件1按统一字段给出全部样本，且附件8可逐值核验的70个字段中，37个满足log10变换关系、33个保持原尺度。若发现跨批次量纲漂移，则先利用质控样本完成批次校准，再重新训练和验证模型。</w:t>
      </w:r>
    </w:p>
    <w:p>
      <w:pPr>
        <w:pStyle w:val="BodyText"/>
        <w:widowControl/>
        <w:jc w:val="both"/>
      </w:pPr>
      <w:r>
        <w:rPr>
          <w:b/>
        </w:rPr>
        <w:t>假设2：</w:t>
      </w:r>
      <w:r>
        <w:t>在现有信息下，将每款啤酒视为相互独立的观测。数据依据是beer字段在附件1和附件4中均完整且唯一，而附件未提供酒厂、生产批次或重复配方标识。若后续获得同厂或同批信息，则改用分组交叉验证或层次模型，重新估计泛化误差。</w:t>
      </w:r>
    </w:p>
    <w:p>
      <w:pPr>
        <w:pStyle w:val="BodyText"/>
        <w:widowControl/>
        <w:jc w:val="both"/>
      </w:pPr>
      <w:r>
        <w:rPr>
          <w:b/>
        </w:rPr>
        <w:t>假设3：</w:t>
      </w:r>
      <w:r>
        <w:t>少量缺失不会使整款啤酒失去建模价值，且缺失位置可能携带测量流程信息。数据依据是231个输入字段中仅9列出现缺失，共73个缺失单元、涉及63行，其余化学特征仍可观测。因此在训练折内采用中位数填补并保留缺失指示；若缺失由系统性测量故障主导，则补做多重或迭代填补敏感性分析，并降低相关预测的可信度。</w:t>
      </w:r>
    </w:p>
    <w:p>
      <w:pPr>
        <w:pStyle w:val="BodyText"/>
        <w:widowControl/>
        <w:jc w:val="both"/>
      </w:pPr>
      <w:r>
        <w:rPr>
          <w:b/>
        </w:rPr>
        <w:t>假设4：</w:t>
      </w:r>
      <w:r>
        <w:t>附件4的标准化连续感官值保留各感官维度的相对强弱顺序，可作为多输出回归的监督信号。数据依据是附件3给出0—6等级定义，附件4给出250款啤酒的50个同名标准化感官属性，但未提供完整的评委均值和标准差。若该顺序关系不成立或获得原始评分，则改在原始0—6尺度上建模并废止经验分布映射。</w:t>
      </w:r>
    </w:p>
    <w:p>
      <w:pPr>
        <w:pStyle w:val="BodyText"/>
        <w:widowControl/>
        <w:jc w:val="both"/>
      </w:pPr>
      <w:r>
        <w:rPr>
          <w:b/>
        </w:rPr>
        <w:t>假设5：</w:t>
      </w:r>
      <w:r>
        <w:t>化学组成与感官强度之间的映射在当前商业啤酒样本总体内近似稳定。数据依据是250款样本覆盖22种细分风格，可用于已见风格内的重复分层验证，但没有独立产区或测量平台的外部样本。若应用到完全未见风格、新产区或新平台，则先进行外部验证和校准；若误差明显增大，应重新训练模型。</w:t>
      </w:r>
    </w:p>
    <w:sectPr w:rsidR="00FC693F" w:rsidRPr="0006063C" w:rsidSect="00034616">
      <w:pgSz w:w="11906" w:h="16838"/>
      <w:pgMar w:top="1440" w:right="1587" w:bottom="1440"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jc w:val="center"/>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20"/>
      <w:jc w:val="lef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before="0"/>
      <w:ind w:firstLine="420"/>
      <w:jc w:val="both"/>
    </w:pPr>
    <w:rPr>
      <w:rFonts w:ascii="Times New Roman" w:hAnsi="Times New Roman" w:eastAsia="宋体"/>
      <w:b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问题一模型假设</dc:title>
  <dc:subject/>
  <dc:creator/>
  <cp:keywords/>
  <dc:description/>
  <cp:lastModifiedBy/>
  <cp:revision>1</cp:revision>
  <dcterms:created xsi:type="dcterms:W3CDTF">2013-12-23T23:15:00Z</dcterms:created>
  <dcterms:modified xsi:type="dcterms:W3CDTF">2013-12-23T23:15:00Z</dcterms:modified>
  <cp:category/>
</cp:coreProperties>
</file>