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2.1 问题一分析</w:t>
      </w:r>
    </w:p>
    <w:p>
      <w:pPr>
        <w:pStyle w:val="BodyText"/>
        <w:widowControl/>
        <w:jc w:val="both"/>
      </w:pPr>
      <w:r>
        <w:t>问题一的本质是利用250款啤酒的231项化学与理化特征，建立面向50个Aroma与Flavour感官属性的多输出回归模型，并将标准化连续预测转换为0—6相对强度等级。建模难点主要有三点：一是样本量与输入维数接近，化合物间又存在较强共线性，模型容易过拟合；二是输入包含少量缺失和混合量纲，若在全数据上填补或变换会造成验证信息泄漏；三是附件4给出的是标准化连续值，无法唯一还原原始评委平均分，同时22种细分风格的样本量不均，宏平均指标可能掩盖弱目标和小样本风格的预测失败。</w:t>
      </w:r>
    </w:p>
    <w:p>
      <w:pPr>
        <w:pStyle w:val="BodyText"/>
        <w:widowControl/>
        <w:jc w:val="both"/>
      </w:pPr>
      <w:r>
        <w:t>针对上述困难，本文先按beer字段对齐样本，在每个训练折内完成中位数填补、缺失指示和必要的特征变换；随后以全局均值、风格收缩均值、PLS2和Ridge构成递进基线，并使用ExtraTrees刻画非线性与特征交互。模型选择采用内层交叉验证，性能评价采用10×3重复风格分层外层交叉验证产生的OOF预测，同时报告逐目标、逐风格误差及配对bootstrap区间。最终保留标准化感官预测，并仅利用训练折经验分布映射到0—6相对强度等级，以保证量表转换不使用验证信息。</w:t>
      </w:r>
    </w:p>
    <w:sectPr w:rsidR="00FC693F" w:rsidRPr="0006063C" w:rsidSect="00034616">
      <w:pgSz w:w="11906" w:h="16838"/>
      <w:pgMar w:top="1440" w:right="1587" w:bottom="1440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 w:before="0"/>
      <w:ind w:firstLine="420"/>
      <w:jc w:val="both"/>
    </w:pPr>
    <w:rPr>
      <w:rFonts w:ascii="Times New Roman" w:hAnsi="Times New Roman" w:eastAsia="宋体"/>
      <w:b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 问题一分析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