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/>
      </w:pPr>
      <w:r>
        <w:t>问题一模型建立与求解</w:t>
      </w:r>
    </w:p>
    <w:p>
      <w:pPr>
        <w:pStyle w:val="Heading2"/>
        <w:keepNext/>
      </w:pPr>
      <w:r>
        <w:t>问题一分析</w:t>
      </w:r>
    </w:p>
    <w:p>
      <w:pPr>
        <w:pStyle w:val="BodyText"/>
        <w:widowControl/>
        <w:jc w:val="both"/>
      </w:pPr>
      <w:r>
        <w:t>附件1与附件4按 beer 字段对齐后，共得到 250 款啤酒、231 项化学与理化特征以及 50 个连续感官目标。输入维数与样本数接近，不同化合物存在共线性，多个感官目标又共享香气、风味与口感结构，因此该问题属于小样本、高维、强共线的多输出回归问题。</w:t>
      </w:r>
    </w:p>
    <w:p>
      <w:pPr>
        <w:pStyle w:val="BodyText"/>
        <w:widowControl/>
        <w:jc w:val="both"/>
      </w:pPr>
      <w:r>
        <w:t>根据附件3确认 Aroma 与 Flavour 的评分定义和 0—6 等级含义，并以附件4中同名的 50 个全样本标准化属性作为监督信号。最终需为每款啤酒输出 50 维连续感官预测，再给出由训练折经验分布定义的 0—6 相对强度等级；模型性能以折外 R²、MAE、RMSE 和 Spearman 秩相关系数衡量。</w:t>
      </w:r>
    </w:p>
    <w:p>
      <w:pPr>
        <w:pStyle w:val="BodyText"/>
        <w:widowControl/>
        <w:jc w:val="both"/>
      </w:pPr>
      <w:r>
        <w:t>问题的关键并非追求单次划分上的最高分数，而是在严格隔离验证信息的条件下完成化学—感官映射。其一，附件4是评委内标准化后汇总的连续值，无法从现有附件唯一恢复原始 0—6 平均分；其二，样本涵盖 22 种细分风格且样本量不均，风格信息可能掩盖真正的化学关系；其三，缺陷味和细分香气信号较弱，单一宏平均指标会掩盖局部失败。为此，本文采用“数据口径固化—多类基线对照—非线性多输出建模—重复折外评价”的技术路线。</w:t>
      </w:r>
    </w:p>
    <w:p>
      <w:pPr>
        <w:pStyle w:val="Heading2"/>
        <w:keepNext/>
      </w:pPr>
      <w:r>
        <w:t>问题一模型</w:t>
      </w:r>
    </w:p>
    <w:p>
      <w:pPr>
        <w:pStyle w:val="Heading3"/>
        <w:keepNext/>
      </w:pPr>
      <w:r>
        <w:t>数据口径与预处理</w:t>
      </w:r>
    </w:p>
    <w:p>
      <w:pPr>
        <w:pStyle w:val="BodyText"/>
        <w:widowControl/>
        <w:jc w:val="both"/>
      </w:pPr>
      <w:r>
        <w:t>在现有数据可支持的范围内，建模依据以下四项假设。</w:t>
      </w:r>
    </w:p>
    <w:p>
      <w:pPr>
        <w:pStyle w:val="BodyText"/>
        <w:widowControl/>
        <w:jc w:val="both"/>
      </w:pPr>
      <w:r>
        <w:t>假设1：同一化学字段在各样本中采用一致的单位和测量流程。若后续发现跨批次量纲漂移，需先利用质控样本做批次校准。</w:t>
      </w:r>
    </w:p>
    <w:p>
      <w:pPr>
        <w:pStyle w:val="BodyText"/>
        <w:widowControl/>
        <w:jc w:val="both"/>
      </w:pPr>
      <w:r>
        <w:t>假设2：在缺少酒厂和生产批次标识时，将每款啤酒视为独立观测。若获得同厂或同批信息，应改用分组交叉验证重新评估泛化能力。</w:t>
      </w:r>
    </w:p>
    <w:p>
      <w:pPr>
        <w:pStyle w:val="BodyText"/>
        <w:widowControl/>
        <w:jc w:val="both"/>
      </w:pPr>
      <w:r>
        <w:t>假设3：给定其他已观测化学特征后，少量缺失不使整个样本失去可用性，且缺失位置可能携带测量流程信息。因此折内中位数填补后保留缺失指示；若缺失由未观测的系统测量故障主导，当前处理仍可能产生偏差。</w:t>
      </w:r>
    </w:p>
    <w:p>
      <w:pPr>
        <w:pStyle w:val="BodyText"/>
        <w:widowControl/>
        <w:jc w:val="both"/>
      </w:pPr>
      <w:r>
        <w:t>假设4：化学—感官关系在当前商业啤酒样本范围内近似稳定。对新测量平台或完全未见风格，必须重新校准并引入外部验证。样本、目标、缺失、尺度和连接键的核心数据契约见表1。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第一问数据契约与建模口径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rHeight w:hRule="atLeast"/>
          <w:cantSplit/>
          <w:tblHeader/>
        </w:trPr>
        <w:tc>
          <w:tcPr>
            <w:tcW w:type="dxa" w:w="153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审计结果</w:t>
            </w:r>
          </w:p>
        </w:tc>
        <w:tc>
          <w:tcPr>
            <w:tcW w:type="dxa" w:w="209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建模处理</w:t>
            </w:r>
          </w:p>
        </w:tc>
        <w:tc>
          <w:tcPr>
            <w:tcW w:type="dxa" w:w="323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理由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样本与特征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250款，231特征</w:t>
            </w:r>
          </w:p>
        </w:tc>
        <w:tc>
          <w:tcPr>
            <w:tcW w:type="dxa" w:w="209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全部保留</w:t>
            </w:r>
          </w:p>
        </w:tc>
        <w:tc>
          <w:tcPr>
            <w:tcW w:type="dxa" w:w="32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按实际附件而非题面约数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感官目标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50个连续标准化值</w:t>
            </w:r>
          </w:p>
        </w:tc>
        <w:tc>
          <w:tcPr>
            <w:tcW w:type="dxa" w:w="209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直接建模</w:t>
            </w:r>
          </w:p>
        </w:tc>
        <w:tc>
          <w:tcPr>
            <w:tcW w:type="dxa" w:w="32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附件4不是原始0—6评分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细分风格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22类</w:t>
            </w:r>
          </w:p>
        </w:tc>
        <w:tc>
          <w:tcPr>
            <w:tcW w:type="dxa" w:w="209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只用于分层与基线</w:t>
            </w:r>
          </w:p>
        </w:tc>
        <w:tc>
          <w:tcPr>
            <w:tcW w:type="dxa" w:w="32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主模型保持 chemistry-only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缺失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73个单元，63行，9列</w:t>
            </w:r>
          </w:p>
        </w:tc>
        <w:tc>
          <w:tcPr>
            <w:tcW w:type="dxa" w:w="209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折内填补+指示</w:t>
            </w:r>
          </w:p>
        </w:tc>
        <w:tc>
          <w:tcPr>
            <w:tcW w:type="dxa" w:w="32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不删除含缺失样本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log10字段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37个可核验字段</w:t>
            </w:r>
          </w:p>
        </w:tc>
        <w:tc>
          <w:tcPr>
            <w:tcW w:type="dxa" w:w="209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保持附件尺度</w:t>
            </w:r>
          </w:p>
        </w:tc>
        <w:tc>
          <w:tcPr>
            <w:tcW w:type="dxa" w:w="323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负值表示原浓度小于1</w:t>
            </w:r>
          </w:p>
        </w:tc>
      </w:tr>
      <w:tr>
        <w:trPr>
          <w:trHeight w:hRule="atLeast"/>
          <w:cantSplit/>
        </w:trPr>
        <w:tc>
          <w:tcPr>
            <w:tcW w:type="dxa" w:w="153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beer完整且唯一</w:t>
            </w:r>
          </w:p>
        </w:tc>
        <w:tc>
          <w:tcPr>
            <w:tcW w:type="dxa" w:w="209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按beer连接</w:t>
            </w:r>
          </w:p>
        </w:tc>
        <w:tc>
          <w:tcPr>
            <w:tcW w:type="dxa" w:w="323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beer_id在附件4有浮点精度损失</w:t>
            </w:r>
          </w:p>
        </w:tc>
      </w:tr>
    </w:tbl>
    <w:p>
      <w:pPr>
        <w:pStyle w:val="BodyText"/>
        <w:widowControl/>
        <w:jc w:val="both"/>
      </w:pPr>
      <w:r>
        <w:t>预处理的原则是不删除可能代表真实风格差异的极端样本，且任何需估计的统计量只来自当前训练折。附件2的 231 个英文化合物名与附件1字段代码建立了一对一映射，并由附件8的字段代码全量复核，从而保证后续化学解释的字段身份一致。表2列出从读取到输出的处理步骤。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数据预处理步骤及维度变化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rHeight w:hRule="atLeast"/>
          <w:cantSplit/>
          <w:tblHeader/>
        </w:trPr>
        <w:tc>
          <w:tcPr>
            <w:tcW w:type="dxa" w:w="56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步骤</w:t>
            </w:r>
          </w:p>
        </w:tc>
        <w:tc>
          <w:tcPr>
            <w:tcW w:type="dxa" w:w="238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处理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处理前后</w:t>
            </w:r>
          </w:p>
        </w:tc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作用域</w:t>
            </w:r>
          </w:p>
        </w:tc>
        <w:tc>
          <w:tcPr>
            <w:tcW w:type="dxa" w:w="221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目的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读取附件1、4并核对类型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250×234；250×53，不变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全数据契约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确定附件规模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按beer一一对齐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250+250→250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全数据键约束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避免beer_id精度问题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P2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移除标识列并拆分X、Y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250×231；250×50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字段白名单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防止标识信息入模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P3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保留附件给定尺度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X维度不变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附件8量纲核验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不对log10字段重复取对数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P4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中位数填补+缺失指示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231→231+k，0≤k≤9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每个训练折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保留样本并防止泄漏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P5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主分析不删样、不全局截尾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250行不变</w:t>
            </w:r>
          </w:p>
        </w:tc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主分析</w:t>
            </w:r>
          </w:p>
        </w:tc>
        <w:tc>
          <w:tcPr>
            <w:tcW w:type="dxa" w:w="221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保留真实风格差异</w:t>
            </w:r>
          </w:p>
        </w:tc>
      </w:tr>
      <w:tr>
        <w:trPr>
          <w:trHeight w:hRule="atLeast"/>
          <w:cantSplit/>
        </w:trPr>
        <w:tc>
          <w:tcPr>
            <w:tcW w:type="dxa" w:w="56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P6</w:t>
            </w:r>
          </w:p>
        </w:tc>
        <w:tc>
          <w:tcPr>
            <w:tcW w:type="dxa" w:w="238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z尺度建模，折内CDF映射0—6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50维z+50维等级</w:t>
            </w:r>
          </w:p>
        </w:tc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每个训练折</w:t>
            </w:r>
          </w:p>
        </w:tc>
        <w:tc>
          <w:tcPr>
            <w:tcW w:type="dxa" w:w="221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保证量表映射不窥视验证折</w:t>
            </w:r>
          </w:p>
        </w:tc>
      </w:tr>
    </w:tbl>
    <w:p>
      <w:pPr>
        <w:pStyle w:val="Heading3"/>
        <w:keepNext/>
      </w:pPr>
      <w:r>
        <w:t>模型建立与 0—6 量表映射</w:t>
      </w:r>
    </w:p>
    <w:p>
      <w:pPr>
        <w:pStyle w:val="BodyText"/>
        <w:widowControl/>
        <w:jc w:val="both"/>
      </w:pPr>
      <w:r>
        <w:t>记第 i 款啤酒的化学特征向量为 x_i，标准化感官向量为 y_i，则多输出预测关系写为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 = F(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 +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,    F: </m:t>
              </m:r>
              <m:sSup>
                <m:e>
                  <m:r>
                    <m:t>ℝ</m:t>
                  </m:r>
                </m:e>
                <m:sup>
                  <m:r>
                    <m:t>231</m:t>
                  </m:r>
                </m:sup>
              </m:sSup>
              <m:r>
                <m:t> → </m:t>
              </m:r>
              <m:sSup>
                <m:e>
                  <m:r>
                    <m:t>ℝ</m:t>
                  </m:r>
                </m:e>
                <m:sup>
                  <m:r>
                    <m:t>50</m:t>
                  </m:r>
                </m:sup>
              </m:sSup>
              <m:r>
                <m:t>,    i = 1,…,250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BodyText"/>
        <w:widowControl/>
        <w:jc w:val="both"/>
      </w:pPr>
      <w:r>
        <w:t>式中，输入向量含 231 个化学与理化特征，输出向量含 50 个标准化感官分量；F 表示待估计的多输出映射，误差项表示未被化学特征解释的随机偏差。</w:t>
      </w:r>
    </w:p>
    <w:p>
      <w:pPr>
        <w:pStyle w:val="BodyText"/>
        <w:widowControl/>
        <w:jc w:val="both"/>
      </w:pPr>
      <w:r>
        <w:t>为区分风格先验、线性共享结构和非线性化学关系，依次设置全局均值、风格收缩均值、PLS2、Ridge 和 ExtraTrees 五类模型。PLS2 与 Ridge 对折内秩高斯变换后的特征建模；ExtraTrees 保留附件尺度，通过多棵随机化回归树拟合非线性、阈值效应与特征交互。对第 j 个感官目标，树集成预测为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(x) = </m:t>
              </m:r>
              <m:f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b=1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bj</m:t>
                      </m:r>
                    </m:sub>
                  </m:sSub>
                  <m:r>
                    <m:t>(x)</m:t>
                  </m:r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widowControl/>
        <w:jc w:val="both"/>
      </w:pPr>
      <w:r>
        <w:t>式中，回归树数量固定为 300，第 b 棵树分别给出目标 j 的预测。每个外层训练折内再使用 3 折交叉验证，以宏平均 MAE 选择 max_features 和 min_samples_leaf，候选值分别为 {0.33, 0.60, 1.00} 与 {1, 2, 4, 8}，共 12 种组合；树深不预先截断，随机种子固定为 20261023。该设置以叶节点最小样本数控制过拟合，并避免直接根据外层结果调参。表3给出各模型在实验中的作用。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第一问候选模型及对照作用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rHeight w:hRule="atLeast"/>
          <w:cantSplit/>
          <w:tblHeader/>
        </w:trPr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模型</w:t>
            </w:r>
          </w:p>
        </w:tc>
        <w:tc>
          <w:tcPr>
            <w:tcW w:type="dxa" w:w="238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输入处理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表达能力</w:t>
            </w:r>
          </w:p>
        </w:tc>
        <w:tc>
          <w:tcPr>
            <w:tcW w:type="dxa" w:w="2665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对照作用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全局均值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无化学特征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常数</w:t>
            </w:r>
          </w:p>
        </w:tc>
        <w:tc>
          <w:tcPr>
            <w:tcW w:type="dxa" w:w="266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最低性能基准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风格收缩均值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风格+全局收缩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类别先验</w:t>
            </w:r>
          </w:p>
        </w:tc>
        <w:tc>
          <w:tcPr>
            <w:tcW w:type="dxa" w:w="266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检验化学模型是否超过风格查表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PLS2（秩高斯）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折内变换与缩放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低秩共享结构</w:t>
            </w:r>
          </w:p>
        </w:tc>
        <w:tc>
          <w:tcPr>
            <w:tcW w:type="dxa" w:w="266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检验多目标公共潜变量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Ridge（秩高斯）</w:t>
            </w:r>
          </w:p>
        </w:tc>
        <w:tc>
          <w:tcPr>
            <w:tcW w:type="dxa" w:w="238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折内变换与缩放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线性带收缩</w:t>
            </w:r>
          </w:p>
        </w:tc>
        <w:tc>
          <w:tcPr>
            <w:tcW w:type="dxa" w:w="266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检验非线性模型的增益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ExtraTrees</w:t>
            </w:r>
          </w:p>
        </w:tc>
        <w:tc>
          <w:tcPr>
            <w:tcW w:type="dxa" w:w="238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折内填补，保留原尺度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非线性与交互</w:t>
            </w:r>
          </w:p>
        </w:tc>
        <w:tc>
          <w:tcPr>
            <w:tcW w:type="dxa" w:w="2665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最终主模型</w:t>
            </w:r>
          </w:p>
        </w:tc>
      </w:tr>
    </w:tbl>
    <w:p>
      <w:pPr>
        <w:pStyle w:val="BodyText"/>
        <w:widowControl/>
        <w:jc w:val="both"/>
      </w:pPr>
      <w:r>
        <w:t>由于附件未给出每位评委在每个属性上的原始均值和标准差，标准化聚合值无法唯一逆变换为原始 0—6 平均分。本文对每个外层测试样本，仅利用对应训练折中第 j 个感官目标的经验分布函数，将标准化预测值单调映射为 0—6 的相对强度等级：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= 6·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j,tr</m:t>
                  </m:r>
                </m:sub>
              </m:sSub>
              <m: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)</m:t>
              </m:r>
              <m:r>
                <m:t>,    0 ≤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≤ 6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widowControl/>
        <w:jc w:val="both"/>
      </w:pPr>
      <w:r>
        <w:t>该映射保持同一感官维度上的强弱次序，但数值含义是“相对强度等级”，不解释为原始评委平均分。该口径同时避免了使用全体目标分布定义映射所导致的信息泄漏。</w:t>
      </w:r>
    </w:p>
    <w:p>
      <w:pPr>
        <w:pStyle w:val="Heading2"/>
        <w:keepNext/>
      </w:pPr>
      <w:r>
        <w:t>问题一求解</w:t>
      </w:r>
    </w:p>
    <w:p>
      <w:pPr>
        <w:pStyle w:val="Heading3"/>
        <w:keepNext/>
      </w:pPr>
      <w:r>
        <w:t>交叉验证与 OOF 结果</w:t>
      </w:r>
    </w:p>
    <w:p>
      <w:pPr>
        <w:pStyle w:val="BodyText"/>
        <w:widowControl/>
        <w:jc w:val="both"/>
      </w:pPr>
      <w:r>
        <w:t>将 tasting_category_fine 作为分层字段，实施 10×3 重复分层外层交叉验证，使每款啤酒在每次重复中恰好作为一次验证样本。训练折中再设置 3 折内层验证完成超参数选择。填补值、缺失指示列、秩高斯变换及 0—6 映射均在外层训练折内拟合。对第 j 个目标，主要评价指标为 R² 与 MAE，并同时报告 RMSE 和 Spearman 秩相关。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  <m:r>
                <m:t> = 1 − </m:t>
              </m:r>
              <m:f>
                <m:num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ij</m:t>
                                  </m:r>
                                </m:sub>
                              </m:sSub>
                              <m:r>
                                <m:t> − </m:t>
                              </m:r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ij</m:t>
                                  </m:r>
                                </m:sub>
                              </m:sSub>
                              <m:r>
                                <m:t> − </m:t>
                              </m:r>
                              <m:sSub>
                                <m:e>
                                  <m:bar>
                                    <m:barPr>
                                      <m:pos m:val="top"/>
                                    </m:barPr>
                                    <m:e>
                                      <m:r>
                                        <m:t>y</m:t>
                                      </m:r>
                                    </m:e>
                                  </m:ba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den>
              </m:f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MAE</m:t>
                  </m:r>
                </m:e>
                <m:sub>
                  <m:r>
                    <m:t>j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ij</m:t>
                          </m:r>
                        </m:sub>
                      </m:sSub>
                      <m:r>
                        <m:t> − 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ij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widowControl/>
        <w:jc w:val="both"/>
      </w:pPr>
      <w:r>
        <w:t>式中，下标 i 与 j 分别表示样本和感官目标，带帽项表示折外预测值，带横线项表示评价样本中的目标均值，n 为相应评价样本数。R² 衡量相对均值基线的解释度，MAE 衡量标准化感官尺度上的平均绝对偏差。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五类模型在 10 次重复外层验证中的宏平均结果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rHeight w:hRule="atLeast"/>
          <w:cantSplit/>
          <w:tblHeader/>
        </w:trPr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模型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R²（均值±SD）</w:t>
            </w:r>
          </w:p>
        </w:tc>
        <w:tc>
          <w:tcPr>
            <w:tcW w:type="dxa" w:w="192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MAE（均值±SD）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RMSE</w:t>
            </w:r>
          </w:p>
        </w:tc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Spearman ρ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全局均值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-0.0081 ± 0.0024</w:t>
            </w:r>
          </w:p>
        </w:tc>
        <w:tc>
          <w:tcPr>
            <w:tcW w:type="dxa" w:w="192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0.4173 ± 0.0005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0.5690</w:t>
            </w:r>
          </w:p>
        </w:tc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-0.0576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风格收缩均值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0.1634 ± 0.0068</w:t>
            </w:r>
          </w:p>
        </w:tc>
        <w:tc>
          <w:tcPr>
            <w:tcW w:type="dxa" w:w="192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0.3579 ± 0.0020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0.5053</w:t>
            </w:r>
          </w:p>
        </w:tc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0.3494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PLS2（秩高斯）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0.1823 ± 0.0116</w:t>
            </w:r>
          </w:p>
        </w:tc>
        <w:tc>
          <w:tcPr>
            <w:tcW w:type="dxa" w:w="192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0.3637 ± 0.0024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0.4983</w:t>
            </w:r>
          </w:p>
        </w:tc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0.3742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Ridge（秩高斯）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0.2001 ± 0.0048</w:t>
            </w:r>
          </w:p>
        </w:tc>
        <w:tc>
          <w:tcPr>
            <w:tcW w:type="dxa" w:w="192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0.3566 ± 0.0013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0.4947</w:t>
            </w:r>
          </w:p>
        </w:tc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0.3900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ExtraTrees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0.2359 ± 0.0058</w:t>
            </w:r>
          </w:p>
        </w:tc>
        <w:tc>
          <w:tcPr>
            <w:tcW w:type="dxa" w:w="192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0.3422 ± 0.0011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0.4794</w:t>
            </w:r>
          </w:p>
        </w:tc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0.4144</w:t>
            </w:r>
          </w:p>
        </w:tc>
      </w:tr>
    </w:tbl>
    <w:p>
      <w:pPr>
        <w:pStyle w:val="BodyText"/>
        <w:widowControl/>
        <w:jc w:val="both"/>
      </w:pPr>
      <w:r>
        <w:t>表4与图1表明，ExtraTrees 的重复折宏平均 R² 为 0.2359±0.0058，MAE 为 0.3422±0.0011，RMSE 为 0.4794，Spearman ρ 为 0.4144。与表现最好的线性模型 Ridge 相比，其重复折宏平均 MAE 从 0.3566 降至 0.3422，相对下降 4.04%。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979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模型对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7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五类基线在重复分层外层交叉验证中的性能比较</w:t>
      </w:r>
    </w:p>
    <w:p>
      <w:pPr>
        <w:pStyle w:val="BodyText"/>
        <w:widowControl/>
        <w:jc w:val="both"/>
      </w:pPr>
      <w:r>
        <w:t>为得到每款啤酒唯一的折外预测，再对 10 次折外预测取平均。此时 50 个目标的 mean-OOF 宏平均 R² 为 0.2502，MAE 为 0.3389，RMSE 为 0.4748，Spearman ρ 为 0.4340。50 个目标的 R² 均大于 0，其中 20 个不低于 0.25，8 个不低于 0.50。图2将目标分布与逐目标解释度按同一顺序并列，可见目标间的可预测性差异显著。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目标分布与逐目标R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50 个感官目标的分布与 ExtraTrees 逐目标解释度</w:t>
      </w:r>
    </w:p>
    <w:p>
      <w:pPr>
        <w:pStyle w:val="BodyText"/>
        <w:widowControl/>
        <w:jc w:val="both"/>
      </w:pPr>
      <w:r>
        <w:t>可预测性较高的目标为 acidity（R²=0.7287）、alcohol（0.6893）、lactic（0.6753）、acetic（0.6573）与 bitternes（0.5857）；stale_hops（0.0162）和 F_esters_flower（0.0241）仅略优于均值预测。图3选取高、中、低可预测性目标展示观测—预测关系。连续理化感受与总体属性的化学信号更强，而稀疏缺陷味与细分香气明显向总体均值收缩。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68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OOF观测预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高、中、低可预测感官目标的 OOF 观测—预测关系</w:t>
      </w:r>
    </w:p>
    <w:p>
      <w:pPr>
        <w:pStyle w:val="Heading2"/>
        <w:keepNext/>
      </w:pPr>
      <w:r>
        <w:t>模型检验与结果讨论</w:t>
      </w:r>
    </w:p>
    <w:p>
      <w:pPr>
        <w:pStyle w:val="Heading3"/>
        <w:keepNext/>
      </w:pPr>
      <w:r>
        <w:t>泄漏与稳健性检验</w:t>
      </w:r>
    </w:p>
    <w:p>
      <w:pPr>
        <w:pStyle w:val="BodyText"/>
        <w:widowControl/>
        <w:jc w:val="both"/>
      </w:pPr>
      <w:r>
        <w:t>泄漏审计从字段、预处理与评价三层展开。字段层不使用 beer、beer_id 及风格标签训练主模型；预处理层的中位数、缺失指示、特征变换和量表映射均在当前训练折内拟合；评价层只用每个样本未参与训练时得到的 OOF 预测。附件2、5、6的全数据相关矩阵仅用于数据核验与描述，未进入特征筛选或调参流程。</w:t>
      </w:r>
    </w:p>
    <w:p>
      <w:pPr>
        <w:pStyle w:val="BodyText"/>
        <w:widowControl/>
        <w:jc w:val="both"/>
      </w:pPr>
      <w:r>
        <w:t>图4左侧给出 22 个细分风格的 OOF 误差，MAE 从 0.2489（Pils/Lager，n=11）到 0.5470（Brut，n=4）不等。小风格的误差易受单个样本影响，故本文将样本量与误差同图报告。该结果反映已见风格内的折外稳健性，不等同于对完全未见风格的外推性能。图4右侧则显示折内经验分布的单调量表映射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5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风格误差与量表映射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不同啤酒风格的 OOF 误差与训练折经验分布的 0—6 映射</w:t>
      </w:r>
    </w:p>
    <w:p>
      <w:pPr>
        <w:pStyle w:val="BodyText"/>
        <w:widowControl/>
        <w:jc w:val="both"/>
      </w:pPr>
      <w:r>
        <w:t>图4表明，风格间误差差异与样本量不均同时存在，最小类别的单点变化即可明显改变组内 MAE；右图的经验分布映射保持各目标内部的强弱次序，适合报告相对等级，但不改变其非原始评分的统计含义。</w:t>
      </w:r>
    </w:p>
    <w:p>
      <w:pPr>
        <w:pStyle w:val="Heading3"/>
        <w:keepNext/>
      </w:pPr>
      <w:r>
        <w:t>模型对比与消融</w:t>
      </w:r>
    </w:p>
    <w:p>
      <w:pPr>
        <w:pStyle w:val="BodyText"/>
        <w:widowControl/>
        <w:jc w:val="both"/>
      </w:pPr>
      <w:r>
        <w:t>五类模型形成逐层结构对照：全局均值衡量无信息输出，风格收缩均值衡量风格先验，PLS2 检验低秩共享结构，Ridge 衡量稳健线性映射，ExtraTrees 进一步引入非线性与交互。ExtraTrees 同时超过风格基线和两类线性/低秩模型，支持在当前数据上优先采用具有非线性与交互表达能力的树集成。由于模型族与输入变换同时变化，该对照不能把全部增益因果归于某一种机制。这里的消融口径是逐步增加风格先验、低秩或线性映射与非线性交互的模型结构级对照；缺失指示、风格 one-hot 和折内截尾等特征级组件未纳入本组结论。为减少不同样本划分带来的偶然性，每款啤酒先将 50 个目标的绝对误差取平均，再对模型差值进行 20,000 次样本对自助重抽样。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0" w:firstRow="0" w:lastColumn="0" w:lastRow="0" w:noHBand="0" w:noVBand="1" w:val="0000"/>
      </w:tblPr>
      <w:tblGrid>
        <w:gridCol w:w="576"/>
        <w:gridCol w:w="7488"/>
        <w:gridCol w:w="576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r>
                <m:t>ΔMAE = </m:t>
              </m:r>
              <m:f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["/>
                      <m:endChr m:val="]"/>
                    </m:dPr>
                    <m:e>
                      <m:sSub>
                        <m:e>
                          <m:r>
                            <m:t>MAE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(ExtraTrees) − </m:t>
                      </m:r>
                      <m:sSub>
                        <m:e>
                          <m:r>
                            <m:t>MAE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(comparator)</m:t>
                      </m:r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BodyText"/>
        <w:widowControl/>
        <w:jc w:val="both"/>
      </w:pPr>
      <w:r>
        <w:t>式中，样本总数取 250，括号内两项分别表示 ExtraTrees 与对照模型对同一款啤酒 50 个感官目标的平均绝对误差；配对差值为负时表示 ExtraTrees 的误差更低。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表5 ExtraTrees 与对照模型的 mean-OOF 配对比较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rHeight w:hRule="atLeast"/>
          <w:cantSplit/>
          <w:tblHeader/>
        </w:trPr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对照模型</w:t>
            </w:r>
          </w:p>
        </w:tc>
        <w:tc>
          <w:tcPr>
            <w:tcW w:type="dxa" w:w="119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对照MAE</w:t>
            </w:r>
          </w:p>
        </w:tc>
        <w:tc>
          <w:tcPr>
            <w:tcW w:type="dxa" w:w="113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ΔMAE</w:t>
            </w:r>
          </w:p>
        </w:tc>
        <w:tc>
          <w:tcPr>
            <w:tcW w:type="dxa" w:w="198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95%自助区间</w:t>
            </w:r>
          </w:p>
        </w:tc>
        <w:tc>
          <w:tcPr>
            <w:tcW w:type="dxa" w:w="13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相对改善</w:t>
            </w:r>
          </w:p>
        </w:tc>
        <w:tc>
          <w:tcPr>
            <w:tcW w:type="dxa" w:w="13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优势样本数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风格收缩均值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0.3539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-0.0150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[-0.0212, -0.0090]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4.25%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151/250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PLS2（秩高斯）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0.3514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-0.0126</w:t>
            </w:r>
          </w:p>
        </w:tc>
        <w:tc>
          <w:tcPr>
            <w:tcW w:type="dxa" w:w="198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[-0.0169, -0.0082]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3.57%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174/250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Ridge（秩高斯）</w:t>
            </w:r>
          </w:p>
        </w:tc>
        <w:tc>
          <w:tcPr>
            <w:tcW w:type="dxa" w:w="119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0.3542</w:t>
            </w:r>
          </w:p>
        </w:tc>
        <w:tc>
          <w:tcPr>
            <w:tcW w:type="dxa" w:w="113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-0.0154</w:t>
            </w:r>
          </w:p>
        </w:tc>
        <w:tc>
          <w:tcPr>
            <w:tcW w:type="dxa" w:w="198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[-0.0194, -0.0114]</w:t>
            </w:r>
          </w:p>
        </w:tc>
        <w:tc>
          <w:tcPr>
            <w:tcW w:type="dxa" w:w="13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4.34%</w:t>
            </w:r>
          </w:p>
        </w:tc>
        <w:tc>
          <w:tcPr>
            <w:tcW w:type="dxa" w:w="13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178/250</w:t>
            </w:r>
          </w:p>
        </w:tc>
      </w:tr>
    </w:tbl>
    <w:p>
      <w:pPr>
        <w:pStyle w:val="BodyText"/>
        <w:widowControl/>
        <w:jc w:val="both"/>
      </w:pPr>
      <w:r>
        <w:t>表5显示，ExtraTrees 的 mean-OOF MAE 为 0.3389。与 Ridge 相比，配对差值为 -0.0154，95% 自助区间为 [-0.0194, -0.0114]，178/250 款啤酒的平均绝对误差更低；与风格收缩均值相比，配对差值的 95% 区间为 [-0.0212, -0.0090]。三组区间均不跨过 0，且 10/10 次外层重复的宏平均 MAE 均有改善，因此最终选择 ExtraTrees。</w:t>
      </w:r>
    </w:p>
    <w:p>
      <w:pPr>
        <w:pStyle w:val="Heading3"/>
        <w:keepNext/>
      </w:pPr>
      <w:r>
        <w:t>参数敏感性与不确定性</w:t>
      </w:r>
    </w:p>
    <w:p>
      <w:pPr>
        <w:pStyle w:val="BodyText"/>
        <w:widowControl/>
        <w:jc w:val="both"/>
      </w:pPr>
      <w:r>
        <w:t>在 30 个外层训练折中，内层选择结果集中于五种参数组合：max_features=1.00、min_samples_leaf=2 出现 11 次，1.00/1 出现 7 次，0.60/2 出现 6 次，0.60/1 出现 5 次，1.00/4 出现 1 次。该入选频率用于描述有限样本下的参数选择稳定性，不等同于连续单参数扰动曲线。多个相近复杂度的组合均被选中，说明不存在唯一占优的局部组合；但宏平均 R² 与 MAE 的跨重复标准差仅为 0.0058 和 0.0011，说明最终性能对随机划分较稳定。</w:t>
      </w:r>
    </w:p>
    <w:p>
      <w:pPr>
        <w:pStyle w:val="BodyText"/>
        <w:widowControl/>
        <w:jc w:val="both"/>
      </w:pPr>
      <w:r>
        <w:t>对每个“啤酒—感官目标”组合，10 次 OOF 预测的标准差平均为 0.0584，中位数为 0.0510，95% 分位数为 0.1178。附图S1中，高信号目标的残差中心接近 0，但在标签分布两端存在回归到均值的倾向；低信号目标的残差离散更大。这意味着单个弱目标的精确分数不宜过度解读。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680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图S1_残差诊断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附图S1 代表感官目标的折外残差诊断</w:t>
      </w:r>
    </w:p>
    <w:p>
      <w:pPr>
        <w:pStyle w:val="BodyText"/>
        <w:widowControl/>
        <w:jc w:val="both"/>
      </w:pPr>
      <w:r>
        <w:t>综合评价表明，ExtraTrees 在当前样本上能稳定超过风格、低秩与线性基线，其优势主要来自对化学特征间非线性与交互的表达。模型的实用边界也较清楚：附件缺少酒厂和批次标识，无法检验潜在聚类泄漏；相对等级不是原始 0—6 平均分；风格分层 OOF 只支持已见风格内的内部泛化；弱目标和小风格的不确定性较高；相关或特征重要性均不构成化学因果证据。</w:t>
      </w:r>
    </w:p>
    <w:sectPr>
      <w:footerReference w:type="default" r:id="rId10"/>
      <w:footnotePr>
        <w:numRestart w:val="eachSect"/>
      </w:footnotePr>
      <w:pgSz w:w="11906" w:h="16838"/>
      <w:pgMar w:left="1531" w:right="1531" w:top="1440" w:bottom="1440" w:header="850" w:footer="992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问题一模型建立与求解</dc:title>
  <dc:creator/>
  <cp:keywords/>
  <dcterms:created xsi:type="dcterms:W3CDTF">2026-09-10T11:55:43Z</dcterms:created>
  <dcterms:modified xsi:type="dcterms:W3CDTF">2026-09-10T11:55:43Z</dcterms:modified>
  <dc:subject>基于化学特征的啤酒多维感官强度预测</dc:subject>
  <cp:lastModifiedBy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