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问题一模型建立与求解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一要求由化学组成预测多维感官强度。本题可用样本为250款啤酒，输入包含231项化学与理化特征，监督信号为50个标准化连续感官属性。其困难在于输入维数接近样本量、化合物之间相关性较强，各感官家族的可预测性又不相同；附件中的标准化值还不能唯一还原为评委原始0—6分。风格分布不均，单一平均误差也可能掩盖缺陷味及小样本风格的失败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文按beer字段对齐附件，在训练折内完成填补与特征变换；以ExtraTrees为非线性基线，将HGB、秩高斯Ridge和PLS2的互补预测纳入非负最小二乘堆叠，并通过感官组向共享权重收缩控制方差。采用10次重复、每次3折的外层验证，基学习器选择与堆叠权重估计均限制在外层训练数据内。评价同时覆盖解释度、绝对误差、排序一致性及弱目标、风格误差，0—6仅按训练折经验分布给出相对强度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数据口径与缺失值插补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主键使用beer，beer_id存在精度问题，不参与连接或建模；风格字段仅用于分层验证及分组误差报告，不作为最终模型输入。表1给出预处理步骤与维度变化。所有需估计的填补、变换及映射参数只由相应训练折计算。附件1的给定尺度保持不变，已确认的log10字段不重复取对数；其中负值表示原浓度小于1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数据预处理步骤与维度变化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2268"/>
        <w:gridCol w:w="3175"/>
      </w:tblGrid>
      <w:tr>
        <w:trPr>
          <w:trHeight w:hRule="atLeast"/>
          <w:cantSplit/>
          <w:tblHeader/>
        </w:trPr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步骤</w:t>
            </w:r>
          </w:p>
        </w:tc>
        <w:tc>
          <w:tcPr>
            <w:tcW w:type="dxa" w:w="226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处理与范围</w:t>
            </w:r>
          </w:p>
        </w:tc>
        <w:tc>
          <w:tcPr>
            <w:tcW w:type="dxa" w:w="226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维度变化</w:t>
            </w:r>
          </w:p>
        </w:tc>
        <w:tc>
          <w:tcPr>
            <w:tcW w:type="dxa" w:w="317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理由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读取核对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附件1与附件4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250×234；250×53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核对主键、目标与字段类型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样本对齐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按beer一一连接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250+250→250行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避免标识精度导致错配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字段拆分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剔除三列元数据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X：250×231；Y：250×50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排除身份与风格标签入模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尺度保留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不重复取log10、不全局截尾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250行、231输入不变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保留实际差异与极端观测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折内插补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训练中位数与缺失指示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231→231+k，0≤k≤9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73单元、63行、9列缺失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分支变换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线性分支折内秩高斯变换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样本及目标数不变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减轻偏态、共线与量纲影响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相对映射</w:t>
            </w:r>
          </w:p>
        </w:tc>
        <w:tc>
          <w:tcPr>
            <w:tcW w:type="dxa" w:w="226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仅用训练折经验分布</w:t>
            </w:r>
          </w:p>
        </w:tc>
        <w:tc>
          <w:tcPr>
            <w:tcW w:type="dxa" w:w="226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50维连续值＋50维相对等级</w:t>
            </w:r>
          </w:p>
        </w:tc>
        <w:tc>
          <w:tcPr>
            <w:tcW w:type="dxa" w:w="317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不声称恢复原始评委均分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全部250行均保留，不按全数据分位数删除异常样本。37个log10字段及33个原尺度字段可由附件8识别，但这不意味着两附件所有对应单元格一致；发现冲突时保留输入原值并单列核验，不静默替换。缺失机制及跨批次可比性属于模型假设，需由后续外部样本检验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连续监督信号与相对标签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以标准化感官向量作为监督信号，多输出关系定义为式(1)。每款啤酒的化学特征向量记为x，感官向量记为y；误差项包含未测化合物、评委差异及随机扰动。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 = F(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 +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,    F: </m:t>
              </m:r>
              <m:sSup>
                <m:e>
                  <m:r>
                    <m:t>ℝ</m:t>
                  </m:r>
                </m:e>
                <m:sup>
                  <m:r>
                    <m:t>231</m:t>
                  </m:r>
                </m:sup>
              </m:sSup>
              <m:r>
                <m:t> → </m:t>
              </m:r>
              <m:sSup>
                <m:e>
                  <m:r>
                    <m:t>ℝ</m:t>
                  </m:r>
                </m:e>
                <m:sup>
                  <m:r>
                    <m:t>50</m:t>
                  </m:r>
                </m:sup>
              </m:sSup>
              <m:r>
                <m:t>,    i = 1,…,250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附件4包含标准化后汇总值，缺少完整的评委中心与尺度参数，因此从它到原始0—6均分并非唯一。连续尺度承担模型训练与误差评价，相对等级仅承担展示；两者分开报告。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基学习器与特征构造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基学习器由ExtraTrees、直方图梯度提升HGB、秩高斯Ridge和秩高斯PLS2组成。ExtraTrees刻画随机化非线性与交互[2]，HGB补充局部阈值响应，Ridge缓和共线，PLS2提供多输出共享的低秩表示。树分支保留附件尺度；线性分支在各训练折中填补后进行秩高斯变换，并将缺失指示单独并入。表2列出完整候选范围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基学习器与折内候选参数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216"/>
        <w:gridCol w:w="2324"/>
      </w:tblGrid>
      <w:tr>
        <w:trPr>
          <w:trHeight w:hRule="atLeast"/>
          <w:cantSplit/>
          <w:tblHeader/>
        </w:trPr>
        <w:tc>
          <w:tcPr>
            <w:tcW w:type="dxa" w:w="130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学习器</w:t>
            </w:r>
          </w:p>
        </w:tc>
        <w:tc>
          <w:tcPr>
            <w:tcW w:type="dxa" w:w="5216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候选范围</w:t>
            </w:r>
          </w:p>
        </w:tc>
        <w:tc>
          <w:tcPr>
            <w:tcW w:type="dxa" w:w="232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数据处理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300棵；特征比例0.33/0.60/1.00；叶节点1/2/4/8；不限深度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中位数填补＋缺失指示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HGB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叶节点上限7/15；最小叶样本20；学习率0.05；100轮；L2=1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中位数填补＋缺失指示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Ridge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正则强度0.1/1/10/100/1000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折内秩高斯变换与缩放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PLS2</w:t>
            </w:r>
          </w:p>
        </w:tc>
        <w:tc>
          <w:tcPr>
            <w:tcW w:type="dxa" w:w="5216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潜变量数2/5/10/15/20</w:t>
            </w:r>
          </w:p>
        </w:tc>
        <w:tc>
          <w:tcPr>
            <w:tcW w:type="dxa" w:w="232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折内秩高斯变换与多输出拟合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内层以宏平均MAE最小选择每个学习器的参数；相同时依次比较R²、Spearman和两项七档代理指标。候选范围固定，外层验证数据不参与参数、权重或截距估计。HGB候选也可能得到相同预测，本文保留固定候选范围，不据此扩大搜索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感官组收缩非负堆叠模型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堆叠利用训练数据内部的交叉验证预测估计组合系数，其非负约束可减少相关预测器之间的相互抵消[1]。设T为当前外层训练样本，z为各基学习器在T上经内层3折得到的折外预测，m为四个基学习器的索引。对目标集合G，分别求解式(2)；G可取全部目标或某一感官家族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 = </m:t>
              </m:r>
              <m:sSub>
                <m:e>
                  <m:r>
                    <m:t>arg min</m:t>
                  </m:r>
                </m:e>
                <m:sub>
                  <m:r>
                    <m:t>w≥0</m:t>
                  </m:r>
                </m:sub>
              </m:sSub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t>j∈G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</m:naryPr>
                    <m:sub>
                      <m:r>
                        <m:t>i∈T</m:t>
                      </m:r>
                    </m:sub>
                    <m:sup/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f>
                                <m:num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ij</m:t>
                                      </m:r>
                                    </m:sub>
                                  </m:sSub>
                                  <m: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  <m:r>
                                    <m:t> − 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grow m:val="1"/>
                                    </m:naryPr>
                                    <m:sub>
                                      <m:r>
                                        <m:t>m=1</m:t>
                                      </m:r>
                                    </m:sub>
                                    <m:sup>
                                      <m:r>
                                        <m:t>4</m:t>
                                      </m:r>
                                    </m:sup>
                                    <m:e>
                                      <m:sSub>
                                        <m:e>
                                          <m: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t>m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m:t>ijm</m:t>
                                              </m:r>
                                            </m:sub>
                                          </m:sSub>
                                          <m:r>
                                            <m:t> − </m:t>
                                          </m:r>
                                          <m:sSub>
                                            <m:e>
                                              <m:bar>
                                                <m:barPr>
                                                  <m:pos m:val="top"/>
                                                </m:barPr>
                                                <m:e>
                                                  <m:r>
                                                    <m:t>z</m:t>
                                                  </m:r>
                                                </m:e>
                                              </m:bar>
                                            </m:e>
                                            <m:sub>
                                              <m:r>
                                                <m:t>jm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nary>
                                </m:num>
                                <m:den>
                                  <m:sSub>
                                    <m:e>
                                      <m:r>
                                        <m:t>s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式中，y的横线为训练目标均值，z的横线为对应内层折外预测均值，s为训练目标的标准差；零方差时取1。标准差归一化使高波动目标不独占权重拟合。按香气15维、风味15维、其他味觉15维、口感4维、总体喜好1维分组；组别由字段定义预先确定，与啤酒风格不同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为降低小感官组的权重方差，将组内解向全目标共享解收缩，定义式(3)。固定λ=0.5，不使用外层指标选择收缩强度。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  <m:r>
                <m:t> = (1−λ)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 + λ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全部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,    λ = 0.5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非负约束只要求各权重不小于0，不要求权重之和为1。每个目标保留自由截距，按训练均值恢复为式(4)，因此截距可为负值，不能与权重一同约束为非负。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 = 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</m:e>
                <m:sub>
                  <m:r>
                    <m:t>j</m:t>
                  </m:r>
                </m:sub>
              </m:sSub>
              <m:r>
                <m:t> −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m=1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g(j),m</m:t>
                      </m:r>
                    </m:sub>
                  </m:sSub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e>
                    <m:sub>
                      <m:r>
                        <m:t>jm</m:t>
                      </m:r>
                    </m:sub>
                  </m:sSub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式中g(j)为目标j所属感官家族。各基学习器随后在完整外层训练集T上重拟合，对验证样本的最终连续预测由式(5)给出。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 +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m=1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g(j),m</m:t>
                      </m:r>
                    </m:sub>
                  </m:sSub>
                  <m:s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sup>
                      <m:r>
                        <m:t>(T)</m:t>
                      </m:r>
                    </m:sup>
                  </m:s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表3汇总30个外层训练折的权重，表示不同预测器在本数据中的组合方式，不作因果贡献比例解释。权重总和允许超过1，自由截距同时校正中心偏移。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感官组收缩堆叠的平均非负权重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701"/>
        <w:gridCol w:w="1701"/>
        <w:gridCol w:w="1701"/>
        <w:gridCol w:w="1701"/>
      </w:tblGrid>
      <w:tr>
        <w:trPr>
          <w:trHeight w:hRule="atLeast"/>
          <w:cantSplit/>
          <w:tblHeader/>
        </w:trPr>
        <w:tc>
          <w:tcPr>
            <w:tcW w:type="dxa" w:w="204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感官家族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ExtraTrees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HGB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Ridge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PLS2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香气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0.713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0.142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0.231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风味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0.784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0.146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0.202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其他味觉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0.648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0.178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口感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0.207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0.172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0.219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总体喜好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0.642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0.180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0.046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0.192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0—6相对强度映射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仅利用当前外层训练集中目标j的经验分布，将验证预测单调映射至0—6区间，定义为式(6)。其中F为训练目标的经验分布函数，指示函数统计不大于给定预测值的训练观测比例。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6·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j,tr</m:t>
                  </m:r>
                </m:sub>
              </m:sSub>
              <m: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)</m:t>
              </m:r>
              <m:r>
                <m:t>,    0 ≤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≤ 6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先逐折映射，再对10次重复的等级取平均，不能先汇总预测再用全体目标拟合映射。该等级保持维度内部的相对强弱次序，不能等同于原始评委平均分。附图S1(b)展示固定训练折的映射曲线。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求解步骤与交叉验证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使用固定的10次重复、每次3折外层划分，尽量平衡细分风格；极小风格不强求每折均出现。每次重复中，每款啤酒恰好进入一个验证折。对每个外层训练集，依次进行内层3折参数选择、内层折外预测构造、共享及组内NNLS拟合、0.5权重收缩与自由截距恢复，最后重拟合基学习器并预测外层验证集。随机种子以20261023为起点，并由重复、折及学习器索引确定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对每个感官目标先单独计算指标，再对50个目标等权平均。式(7)、式(8)给出宏平均R²与MAE；n为本次评价样本数，J=50，评价均值仅用于指标定义，不用于训练。RMSE同样先按目标计算再平均。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sub>
                  <m:r>
                    <m:t>宏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j=1</m:t>
                  </m:r>
                </m:sub>
                <m:sup>
                  <m:r>
                    <m:t>J</m:t>
                  </m:r>
                </m:sup>
                <m:e>
                  <m:d>
                    <m:dPr>
                      <m:begChr m:val="["/>
                      <m:endChr m:val="]"/>
                    </m:dPr>
                    <m:e>
                      <m:r>
                        <m:t>1−</m:t>
                      </m:r>
                      <m:f>
                        <m:num>
                          <m:nary>
                            <m:naryPr>
                              <m:chr m:val="∑"/>
                              <m:limLoc m:val="undOvr"/>
                              <m:grow m:val="1"/>
                            </m:naryPr>
                            <m:sub>
                              <m:r>
                                <m:t>i=1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  <m:r>
                                        <m:t>−</m:t>
                                      </m:r>
                                      <m:sSub>
                                        <m:e>
                                          <m:acc>
                                            <m:accPr>
                                              <m:chr m:val="̂"/>
                                            </m:accPr>
                                            <m:e>
                                              <m:r>
                                                <m:t>y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grow m:val="1"/>
                            </m:naryPr>
                            <m:sub>
                              <m:r>
                                <m:t>i=1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  <m:r>
                                        <m:t>−</m:t>
                                      </m:r>
                                      <m:sSub>
                                        <m:e>
                                          <m:bar>
                                            <m:barPr>
                                              <m:pos m:val="top"/>
                                            </m:barPr>
                                            <m:e>
                                              <m:r>
                                                <m:t>y</m:t>
                                              </m:r>
                                            </m:e>
                                          </m:bar>
                                        </m:e>
                                        <m:sub>
                                          <m: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den>
                      </m:f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MAE</m:t>
                  </m:r>
                </m:e>
                <m:sub>
                  <m:r>
                    <m:t>宏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nJ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j=1</m:t>
                  </m:r>
                </m:sub>
                <m:sup>
                  <m:r>
                    <m:t>J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|"/>
                          <m:endChr m:val="|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  <m: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(8)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Spearman衡量连续值排序关系。七档分位代理QWK与相邻等级一致率分别将观测、预测按各自样本分位数分为七档，再计算一致性；它们是固定的事后排序诊断，不进入相对等级推断，也不是原始0—6评分准确率。以下主比较使用10个完整重复指标的均值与标准差；平均折外预测则先对每款啤酒的10次预测取平均，二者单列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结果分析与模型对比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表4比较非线性基线及三种融合方法与最终模型，各模型使用相同外层划分，图1进一步展示重复间波动。最终模型提高解释度与连续预测精度，但在部分排序指标上没有取得最高值。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相同外层划分下的五项预测指标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71"/>
        <w:gridCol w:w="1871"/>
        <w:gridCol w:w="1134"/>
        <w:gridCol w:w="1020"/>
        <w:gridCol w:w="1191"/>
      </w:tblGrid>
      <w:tr>
        <w:trPr>
          <w:trHeight w:hRule="atLeast"/>
          <w:cantSplit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MAE（均值±SD）</w:t>
            </w:r>
          </w:p>
        </w:tc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Spearman</w:t>
            </w:r>
          </w:p>
        </w:tc>
        <w:tc>
          <w:tcPr>
            <w:tcW w:type="dxa" w:w="102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代理QWK</w:t>
            </w:r>
          </w:p>
        </w:tc>
        <w:tc>
          <w:tcPr>
            <w:tcW w:type="dxa" w:w="119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相邻等级一致率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ExtraTrees基线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0.2359±0.0058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0.3422±0.0011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0.4144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0.4026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54.76%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连续凸融合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0.2482±0.0065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0.3397±0.0013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0.4273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0.4150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55.23%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连续—有序融合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0.2480±0.0060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0.3356±0.0014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0.4314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0.4194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55.52%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逐目标收缩融合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0.2472±0.0059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0.3360±0.0012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0.4295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0.4172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55.25%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感官组收缩NNLS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0.2564±0.0070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0.3361±0.0016</w:t>
            </w:r>
          </w:p>
        </w:tc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0.4302</w:t>
            </w:r>
          </w:p>
        </w:tc>
        <w:tc>
          <w:tcPr>
            <w:tcW w:type="dxa" w:w="1020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0.4183</w:t>
            </w:r>
          </w:p>
        </w:tc>
        <w:tc>
          <w:tcPr>
            <w:tcW w:type="dxa" w:w="119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55.42%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感官组收缩NNLS的重复均值R²为0.2564，MAE为0.3361，Spearman为0.4302，代理QWK为0.4183，相邻等级一致率为55.42%；五项均在10次重复中优于ExtraTrees基线。重复均值RMSE为0.4714。连续—有序融合的MAE为0.3356、Spearman为0.4314、代理QWK为0.4194、相邻等级一致率为55.52%，均略好于最终模型。选择最终模型依据连续解释度、平均折外精度及稳健性综合权衡，不将其表述为所有指标同时最优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97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7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基线、融合与最终模型的重复折外性能比较（纵轴为局部范围）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平均折外预测的宏平均R²为0.2742、MAE为0.3315、RMSE为0.4655、Spearman为0.4487，代理QWK为0.4368、相邻等级一致率为56.42%。ExtraTrees基线对应R²为0.2502、MAE为0.3389。平均预测降低了随机划分造成的波动，但这些指标不替代上文10次重复的均值；逐目标收缩融合的平均折外Spearman为0.4511，仍高于最终模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2按感官家族完整展示50个目标，避免只挑高分目标。目前50个目标的平均折外R²为正。酸度、酒精感等信号较强，花香酯、陈旧酒花味及部分总体感受信号较弱。每个目标的解释度与秩相关不能互相替代，尤其在预测幅度收缩时，排序尚可仍可能伴随较低R²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逐目标预测性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最终模型50个感官目标的平均折外R²与Spearman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3沿用事先固定的酸度、4VG和陈旧酒花味三个代表目标，分别检视较强、中等及较弱信号。虚线为理想预测，实线与阴影为观测—预测OLS拟合及均值置信带，不是单个新样本的预测区间。弱目标的预测仍向均值收缩，说明共享建模不能补足未测化学信息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68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OOF观测预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固定代表感官目标的平均折外观测—预测关系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模型检验与稳健性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输入中排除标识与风格标签，填补、秩变换、基学习器选择、堆叠与映射均在相应训练范围内进行。附件2、5、6的全量相关矩阵不用于本问筛选或调参。数据附带的标准化监督信号沿用官方定义；没有原始评委记录时，不能审计或消除其上游标准化过程可能带来的依赖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检验弱目标，以基线重复平均R²预先固定最低的13个目标，另固定10个难目标，不能按最终模型重新挑选。尾部13目标的平均R²从0.0411增至0.0639，MAE从0.3277降至0.3227；10个难目标平均ΔR²为+0.0081、ΔMAE为−0.0032。相较逐目标收缩融合，尾部MAE仍略高，因此不声称弱目标普遍最优。图4同时展示风格误差和难目标的正负变化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5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风格与难目标稳健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平均折外风格误差与预登记难目标的重复平均R²变化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22个风格中，20个的重复平均MAE低于基线；最差风格Brut由0.5512降至0.5348。佛兰德老棕艾尔与Tripel分别增加0.0019和0.0011。总体喜好和反式-2-壬烯醛的R²分别下降0.0144和0.0101，MAE分别增加0.0042和0.0010；香气、风味的热带酒花维度也有小幅下降。风格内样本量较小，这些描述不构成未见风格的外推保证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进一步在固定平均折外预测上，以啤酒为配对单位进行20,000次自助重采样。每款啤酒先对50个目标取绝对误差平均；秩误差则对各目标的观测和预测分别排名，以样本数减1归一化，再求绝对差。表5中的差值均为最终模型减基线，负值表示误差较低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表5 最终模型相对基线的配对自助重采样结果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417"/>
        <w:gridCol w:w="1417"/>
        <w:gridCol w:w="2778"/>
      </w:tblGrid>
      <w:tr>
        <w:trPr>
          <w:trHeight w:hRule="atLeast"/>
          <w:cantSplit/>
          <w:tblHeader/>
        </w:trPr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指标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基线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最终模型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差值</w:t>
            </w:r>
          </w:p>
        </w:tc>
        <w:tc>
          <w:tcPr>
            <w:tcW w:type="dxa" w:w="277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95%百分位区间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MAE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0.338879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0.331498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-0.007381</w:t>
            </w:r>
          </w:p>
        </w:tc>
        <w:tc>
          <w:tcPr>
            <w:tcW w:type="dxa" w:w="277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[-0.009467, -0.005331]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归一化绝对秩误差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0.237023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0.233291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-0.003732</w:t>
            </w:r>
          </w:p>
        </w:tc>
        <w:tc>
          <w:tcPr>
            <w:tcW w:type="dxa" w:w="277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[-0.006055, -0.001502]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两个区间均位于0以下，支持当前固定预测下的平均改善。该自助区间不包含重训或模型选择的不确定性，10次划分也共享样本，不作为10个独立研究处理。附图S1(a)继续检查残差的极端区间偏差与方差变化。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表6比较预先设置的三种权重共享结构；共享权重反映全局共性，逐目标权重提供更细自由度，感官组结构处于二者之间。三种模型均固定0.5收缩，表内比较仅解释权重结构差异，不是对收缩系数的敏感性曲线。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表6 权重共享结构消融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247"/>
        <w:gridCol w:w="1247"/>
        <w:gridCol w:w="1361"/>
        <w:gridCol w:w="1247"/>
        <w:gridCol w:w="1417"/>
      </w:tblGrid>
      <w:tr>
        <w:trPr>
          <w:trHeight w:hRule="atLeast"/>
          <w:cantSplit/>
          <w:tblHeader/>
        </w:trPr>
        <w:tc>
          <w:tcPr>
            <w:tcW w:type="dxa" w:w="232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结构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type="dxa" w:w="13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代理QWK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相邻等级一致率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共享权重NNLS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0.2551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0.3365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0.4298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55.34%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感官组收缩NNLS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0.2564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0.3361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0.4302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0.4183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55.42%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逐目标收缩NNLS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0.2551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0.3364</w:t>
            </w:r>
          </w:p>
        </w:tc>
        <w:tc>
          <w:tcPr>
            <w:tcW w:type="dxa" w:w="13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0.4274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0.4157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55.43%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感官组收缩在此比较中取得较高解释度与较低MAE；逐目标收缩的相邻等级一致率为55.432%，略高于感官组的55.423%，说明更细的权重并未带来各项指标一致改善。现有结果只支持固定结构下的比较；其他收缩强度、跨批次数据和原始0—6标签的检验仍待补充。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补充检验：校准、区间与逐目标可靠性</w:t>
      </w:r>
    </w:p>
    <w:p>
      <w:pPr>
        <w:pStyle w:val="BodyText"/>
      </w:pPr>
      <w:r>
        <w:t>10次重复的宏平均R²为0.2564±0.0070、MAE为0.3361±0.0016；逐目标5分位箱校准的平均ECE为0.0516。以重复标准差构造95%区间时，实际覆盖率仅27.5%；以其余重复残差校准的95%区间覆盖95.0%，说明重复波动远小于真实预测误差，不能把重复标准差当作预测区间。</w:t>
      </w:r>
    </w:p>
    <w:p>
      <w:pPr>
        <w:pStyle w:val="BodyText"/>
      </w:pPr>
      <w:r>
        <w:t>50个目标的折外R²范围为0.033–0.748，中位数0.212；按三分位分为较高/中等/较低各17/16/17项。强目标可用于配方筛查，弱目标只作探索性排序，不能由宏平均替代逐维可靠性。</w:t>
      </w:r>
    </w:p>
    <w:p>
      <w:pPr>
        <w:pStyle w:val="BodyText"/>
      </w:pPr>
      <w:r>
        <w:t>小规模重训显示：移除4个汇总特征后R²由0.2462变为0.2453、MAE由0.3385变为0.3382，汇总特征贡献有限；标签置换负对照的R²为-0.0094、MAE为0.4176，说明流程没有把目标结构泄漏进特征。22次留一风格训练的Spearman为-0.04–0.41、MAE为0.26–0.54；小样本风格的R²因留出方差接近0而失去意义，不使用R²作风格外推的主指标。</w:t>
      </w:r>
    </w:p>
    <w:p>
      <w:pPr>
        <w:pStyle w:val="BodyText"/>
      </w:pPr>
      <w:r>
        <w:t>表7与图5汇总上述检验，图5(d)显示重复标准差区间明显低于对角线。</w:t>
      </w:r>
    </w:p>
    <w:p>
      <w:pPr>
        <w:pStyle w:val="BodyText"/>
        <w:jc w:val="center"/>
      </w:pPr>
      <w:r>
        <w:t>表7 补充检验的数值结果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60" w:type="dxa"/>
          <w:right w:w="60" w:type="dxa"/>
        </w:tblCellMar>
      </w:tblPr>
      <w:tblGrid>
        <w:gridCol w:w="3120"/>
        <w:gridCol w:w="3120"/>
        <w:gridCol w:w="3120"/>
      </w:tblGrid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/>
                <w:sz w:val="17"/>
              </w:rPr>
              <w:t>检验项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/>
                <w:sz w:val="17"/>
              </w:rPr>
              <w:t>结果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/>
                <w:sz w:val="17"/>
              </w:rPr>
              <w:t>口径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OOF 完整性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10×250×50；全部有限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重复×样本×目标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重复稳定性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R² 0.2564±0.0070；MAE 0.3361±0.0016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10次重复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校准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平均ECE 0.0516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逐目标5分位箱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重复SD区间覆盖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80/90/95%名义：18.0/23.2/27.5%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10次重复预测SD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残差校准区间覆盖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80/90/95%名义：80.0/90.0/95.0%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其余9次重复残差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逐目标R²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0.033–0.748；中位0.212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50目标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汇总特征消融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R² 0.2462→0.2453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移除4个汇总列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标签置换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R² -0.0094；MAE 0.4176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负对照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留一风格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Spearman -0.04–0.41；MAE 0.26–0.54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22风格；R²不作主指标</w:t>
            </w:r>
          </w:p>
        </w:tc>
      </w:tr>
    </w:tbl>
    <w:p>
      <w:pPr>
        <w:pStyle w:val="BodyText"/>
        <w:jc w:val="center"/>
      </w:pPr>
      <w:r>
        <w:drawing>
          <wp:inline>
            <wp:extent cx="5580000" cy="3417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重复验证稳定性与预测校准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t>图5 重复验证稳定性、预测校准与区间覆盖</w:t>
      </w:r>
    </w:p>
    <w:p>
      <w:pPr>
        <w:pStyle w:val="BodyText"/>
      </w:pPr>
      <w:r>
        <w:t>注：重复SD区间只反映重复拟合波动，不是新样本预测区间；残差校准覆盖率是校准检查，不构成独立验证。弱目标与留一风格结果只作描述，不改变Q1主结果。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结果解释与模型评价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模型利用树模型、线性收缩与低秩多输出的误差互补，在严格外层验证中提高整体连续解释度，固定尾部和最差风格也优于基线。NNLS权重保留可解释的非负组合，自由截距与组间收缩控制幅度和小组方差，适合作为后续感官画像的预测接口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其限制有三点：少数难目标的化学信号仍不足，整体改善不能替代逐维可靠性；七档排序代理及相对强度映射均不能当作原始评委评分；重复验证、自助区间和标准化数据只支持当前商业啤酒样本范围，不能证明未见风格或合成化学谱上的真实感官安全。问题二的关联证据与问题三的候选设计仍须分别验证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参考文献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[1] Breiman L. Stacked regressions. Machine Learning, 1996, 24: 49–64. DOI: 10.1023/A:1018046112532.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[2] Geurts P, Ernst D, Wehenkel L. Extremely randomized trees. Machine Learning, 2006, 63: 3–42. DOI: 10.1007/s10994-006-6226-1.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附图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附图S1合并残差诊断与训练折经验分布映射。残差图使用与图3相同的固定目标；映射示例仅使用首个重复的首个外层训练折，不使用验证观测拟合经验分布。程序及完整逐维表另附。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4138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S1_残差诊断与量表映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3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附图S1 固定目标残差与训练折经验分布的相对量表映射</w:t>
      </w:r>
    </w:p>
    <w:p>
      <w:pPr>
        <w:jc w:val="center"/>
      </w:pPr>
      <w:r>
        <w:drawing>
          <wp:inline>
            <wp:extent cx="5580000" cy="4292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S2_消融与负对照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t>附图S2 特征消融、标签置换与留一风格压力测试（蓝色为n≥10，橙色为n&lt;10）</w:t>
      </w:r>
    </w:p>
    <w:p>
      <w:pPr>
        <w:jc w:val="center"/>
      </w:pPr>
      <w:r>
        <w:drawing>
          <wp:inline>
            <wp:extent cx="5760000" cy="48505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S3_逐目标预测可靠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t>附图S3 逐目标预测可靠性（按折外R²排序，左、右各25项；误差线为95% bootstrap区间）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" Type="http://schemas.openxmlformats.org/officeDocument/2006/relationships/image" Target="media/image6.png"/><Relationship Id="rId2" Type="http://schemas.openxmlformats.org/officeDocument/2006/relationships/image" Target="media/image7.png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问题一模型建立与求解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