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480" w:after="480" w:line="300" w:lineRule="auto"/>
        <w:ind w:left="0" w:firstLine="0"/>
        <w:jc w:val="center"/>
      </w:pPr>
      <w:r>
        <w:rPr>
          <w:rFonts w:hint="eastAsia" w:ascii="黑体" w:hAnsi="黑体" w:eastAsia="黑体"/>
          <w:b/>
          <w:i w:val="0"/>
          <w:color w:val="000000"/>
          <w:sz w:val="32"/>
        </w:rPr>
        <w:t>问题二模型建立与求解</w:t>
      </w:r>
    </w:p>
    <w:p>
      <w:pPr>
        <w:pStyle w:val="Heading2"/>
        <w:spacing w:before="140" w:after="140" w:line="300" w:lineRule="auto"/>
        <w:ind w:left="0" w:firstLine="0"/>
        <w:jc w:val="both"/>
      </w:pPr>
      <w:r>
        <w:rPr>
          <w:rFonts w:hint="eastAsia" w:ascii="Times New Roman" w:hAnsi="Times New Roman" w:eastAsia="黑体"/>
          <w:b/>
          <w:i w:val="0"/>
          <w:color w:val="000000"/>
          <w:sz w:val="28"/>
        </w:rPr>
        <w:t>摘要式结论</w:t>
      </w:r>
    </w:p>
    <w:p>
      <w:pPr>
        <w:pStyle w:val="BodyText"/>
        <w:spacing w:before="0" w:after="0" w:line="300" w:lineRule="auto"/>
        <w:ind w:firstLine="480" w:left="0"/>
        <w:jc w:val="both"/>
      </w:pPr>
      <w:r>
        <w:rPr>
          <w:rFonts w:hint="eastAsia" w:ascii="Times New Roman" w:hAnsi="Times New Roman" w:eastAsia="宋体"/>
          <w:i w:val="0"/>
          <w:color w:val="000000"/>
          <w:sz w:val="24"/>
        </w:rPr>
        <w:t xml:space="preserve">针对50个标准化感官维度的关键化合物识别，本文从250款啤酒的231项化学及理化测量中预先界定218个严格单体候选，在10次重复、每次3折的外层验证下比较边际关联、PLS/VIP、ElasticNet、图正则回归和非线性树模型，并对第一问最终感官模型开展模块与字段两级条件归因。最终答案采用总关联、500次分层自助、风格校正和22次留一风格删除的四路稳健秩融合，每个感官维度输出3项，共150条；分层bootstrap频率选出集的入选频率中位数为0.428，四路融合最终Top-3为0.395。第一问最终感官模型的宏平均R²、MAE和Spearman为0.2564、0.3361和0.4302，其归因仅作为独立预测依赖证据。化学核验得到A/B/C/D级关系8/16/78/48条；补充的三证据等权融合稳定性下降，故不替换正式Top-3。</w:t>
      </w:r>
    </w:p>
    <w:p>
      <w:pPr>
        <w:pStyle w:val="Heading2"/>
        <w:spacing w:before="140" w:after="140" w:line="300" w:lineRule="auto"/>
        <w:ind w:left="0" w:firstLine="0"/>
        <w:jc w:val="both"/>
      </w:pPr>
      <w:r>
        <w:rPr>
          <w:rFonts w:hint="eastAsia" w:ascii="Times New Roman" w:hAnsi="Times New Roman" w:eastAsia="黑体"/>
          <w:b/>
          <w:i w:val="0"/>
          <w:color w:val="000000"/>
          <w:sz w:val="28"/>
        </w:rPr>
        <w:t>问题二分析</w:t>
      </w:r>
    </w:p>
    <w:p>
      <w:pPr>
        <w:pStyle w:val="Heading3"/>
        <w:spacing w:before="120" w:after="120" w:line="300" w:lineRule="auto"/>
        <w:ind w:left="0" w:firstLine="0"/>
        <w:jc w:val="both"/>
      </w:pPr>
      <w:r>
        <w:rPr>
          <w:rFonts w:hint="eastAsia" w:ascii="Times New Roman" w:hAnsi="Times New Roman" w:eastAsia="黑体"/>
          <w:b/>
          <w:i w:val="0"/>
          <w:color w:val="000000"/>
          <w:sz w:val="24"/>
        </w:rPr>
        <w:t>研究背景与任务界定</w:t>
      </w:r>
    </w:p>
    <w:p>
      <w:pPr>
        <w:pStyle w:val="BodyText"/>
        <w:spacing w:before="0" w:after="0" w:line="300" w:lineRule="auto"/>
        <w:ind w:firstLine="480" w:left="0"/>
        <w:jc w:val="both"/>
      </w:pPr>
      <w:r>
        <w:rPr>
          <w:rFonts w:hint="eastAsia" w:ascii="Times New Roman" w:hAnsi="Times New Roman" w:eastAsia="宋体"/>
          <w:i w:val="0"/>
          <w:color w:val="000000"/>
          <w:sz w:val="24"/>
        </w:rPr>
        <w:t>问题二要求对50个感官维度分别给出3个关键单体化合物，并同时论证结果的统计稳定性与化学合理性。附件1提供250款啤酒的231项化学及理化测量，附件2给出同一批字段的Spearman共表达矩阵，附件4提供50维标准化感官值。候选变量数与样本量接近，化合物又因共同代谢途径而高度共线，因此边际相关靠前并不等同于独立贡献，更不能直接解释为因果作用。</w:t>
      </w:r>
    </w:p>
    <w:p>
      <w:pPr>
        <w:pStyle w:val="Heading3"/>
        <w:spacing w:before="120" w:after="120" w:line="300" w:lineRule="auto"/>
        <w:ind w:left="0" w:firstLine="0"/>
        <w:jc w:val="both"/>
      </w:pPr>
      <w:r>
        <w:rPr>
          <w:rFonts w:hint="eastAsia" w:ascii="Times New Roman" w:hAnsi="Times New Roman" w:eastAsia="黑体"/>
          <w:b/>
          <w:i w:val="0"/>
          <w:color w:val="000000"/>
          <w:sz w:val="24"/>
        </w:rPr>
        <w:t>难点与证据链设计</w:t>
      </w:r>
    </w:p>
    <w:p>
      <w:pPr>
        <w:pStyle w:val="BodyText"/>
        <w:spacing w:before="0" w:after="0" w:line="300" w:lineRule="auto"/>
        <w:ind w:firstLine="480" w:left="0"/>
        <w:jc w:val="both"/>
      </w:pPr>
      <w:r>
        <w:rPr>
          <w:rFonts w:hint="eastAsia" w:ascii="Times New Roman" w:hAnsi="Times New Roman" w:eastAsia="宋体"/>
          <w:i w:val="0"/>
          <w:color w:val="000000"/>
          <w:sz w:val="24"/>
        </w:rPr>
        <w:t>本题的难点有三：共线字段会在重采样中相互替代；啤酒风格同时影响化学组成和感官评分，容易形成风格间关联；部分缺陷味与细分香气的折外可预测性较弱。本文先冻结218个严格单体候选，在相同的10次重复、每次3折外层划分下比较边际相关、稀疏回归和图正则回归，并对第一问最终感官模型做模块与字段两级条件归因。最终排序仍采用经分层自助、风格内校正和留一风格检验的稳健秩融合；统计排名冻结后，再用阈值、OAV、同名锚点和化学文献分级。</w:t>
      </w:r>
    </w:p>
    <w:p>
      <w:pPr>
        <w:pStyle w:val="Heading2"/>
        <w:spacing w:before="140" w:after="140" w:line="300" w:lineRule="auto"/>
        <w:ind w:left="0" w:firstLine="0"/>
        <w:jc w:val="both"/>
      </w:pPr>
      <w:r>
        <w:rPr>
          <w:rFonts w:hint="eastAsia" w:ascii="Times New Roman" w:hAnsi="Times New Roman" w:eastAsia="黑体"/>
          <w:b/>
          <w:i w:val="0"/>
          <w:color w:val="000000"/>
          <w:sz w:val="28"/>
        </w:rPr>
        <w:t>问题二模型</w:t>
      </w:r>
    </w:p>
    <w:p>
      <w:pPr>
        <w:pStyle w:val="Heading3"/>
        <w:spacing w:before="120" w:after="120" w:line="300" w:lineRule="auto"/>
        <w:ind w:left="0" w:firstLine="0"/>
        <w:jc w:val="both"/>
      </w:pPr>
      <w:r>
        <w:rPr>
          <w:rFonts w:hint="eastAsia" w:ascii="Times New Roman" w:hAnsi="Times New Roman" w:eastAsia="黑体"/>
          <w:b/>
          <w:i w:val="0"/>
          <w:color w:val="000000"/>
          <w:sz w:val="24"/>
        </w:rPr>
        <w:t>数据口径与候选范围</w:t>
      </w:r>
    </w:p>
    <w:p>
      <w:pPr>
        <w:pStyle w:val="BodyText"/>
        <w:spacing w:before="0" w:after="0" w:line="300" w:lineRule="auto"/>
        <w:ind w:firstLine="480" w:left="0"/>
        <w:jc w:val="both"/>
      </w:pPr>
      <w:r>
        <w:rPr>
          <w:rFonts w:hint="eastAsia" w:ascii="Times New Roman" w:hAnsi="Times New Roman" w:eastAsia="宋体"/>
          <w:i w:val="0"/>
          <w:color w:val="000000"/>
          <w:sz w:val="24"/>
        </w:rPr>
        <w:t>附件1与附件4按beer字段一一对齐，形成250×231的输入矩阵和250×50的连续感官矩阵。问题二不使用beer_id连接，不把风格字段作为候选化合物，也不对附件1中已给出的log10字段重复取对数。73个缺失单元仅在相应训练子样本内用中位数填补，缺失位置在预测模型中保留指示。</w:t>
      </w:r>
    </w:p>
    <w:p>
      <w:pPr>
        <w:pStyle w:val="BodyText"/>
        <w:spacing w:before="0" w:after="0" w:line="300" w:lineRule="auto"/>
        <w:ind w:firstLine="480" w:left="0"/>
        <w:jc w:val="both"/>
      </w:pPr>
      <w:r>
        <w:rPr>
          <w:rFonts w:hint="eastAsia" w:ascii="Times New Roman" w:hAnsi="Times New Roman" w:eastAsia="宋体"/>
          <w:i w:val="0"/>
          <w:color w:val="000000"/>
          <w:sz w:val="24"/>
        </w:rPr>
        <w:t>候选资格先于统计建模冻结。色度、pH、苦度、蛋白质、总糖、热量、总酯、总酸、总硫及其他聚合或理化指标共13项不属于严格单体化合物，只参与全因素敏感性检查，不进入题面要求的最终Top-3。严格候选因此为218项；化学名称由字段映射表与附件8逐项核对。表1概括数据和证据边界。</w:t>
      </w:r>
    </w:p>
    <w:p>
      <w:pPr>
        <w:pStyle w:val="BodyText"/>
        <w:keepNext/>
        <w:spacing w:before="60" w:after="40"/>
        <w:ind w:firstLine="0"/>
        <w:jc w:val="center"/>
      </w:pPr>
      <w:r>
        <w:rPr>
          <w:rFonts w:ascii="Times New Roman" w:hAnsi="Times New Roman" w:eastAsia="宋体"/>
          <w:sz w:val="21"/>
        </w:rPr>
        <w:t>表1 问题二数据契约与证据边界</w:t>
      </w:r>
    </w:p>
    <w:tbl>
      <w:tblPr>
        <w:tblW w:type="auto" w:w="0"/>
        <w:jc w:val="center"/>
        <w:tblLayout w:type="fixed"/>
        <w:tblLook w:firstColumn="1" w:firstRow="1" w:lastColumn="0" w:lastRow="0" w:noHBand="0" w:noVBand="1" w:val="04A0"/>
      </w:tblPr>
      <w:tblGrid>
        <w:gridCol w:w="1417"/>
        <w:gridCol w:w="1984"/>
        <w:gridCol w:w="2381"/>
        <w:gridCol w:w="3061"/>
      </w:tblGrid>
      <w:tr>
        <w:trPr>
          <w:cantSplit/>
          <w:trHeight w:hRule="atLeast"/>
          <w:tblHeader/>
        </w:trPr>
        <w:tc>
          <w:tcPr>
            <w:tcW w:type="dxa" w:w="1417"/>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7"/>
              </w:rPr>
              <w:t>项目</w:t>
            </w:r>
          </w:p>
        </w:tc>
        <w:tc>
          <w:tcPr>
            <w:tcW w:type="dxa" w:w="198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7"/>
              </w:rPr>
              <w:t>审计结果</w:t>
            </w:r>
          </w:p>
        </w:tc>
        <w:tc>
          <w:tcPr>
            <w:tcW w:type="dxa" w:w="238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7"/>
              </w:rPr>
              <w:t>处理方式</w:t>
            </w:r>
          </w:p>
        </w:tc>
        <w:tc>
          <w:tcPr>
            <w:tcW w:type="dxa" w:w="306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7"/>
              </w:rPr>
              <w:t>解释边界</w:t>
            </w:r>
          </w:p>
        </w:tc>
      </w:tr>
      <w:tr>
        <w:trPr>
          <w:cantSplit/>
          <w:trHeight w:hRule="atLeast"/>
        </w:trPr>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样本与目标</w:t>
            </w:r>
          </w:p>
        </w:tc>
        <w:tc>
          <w:tcPr>
            <w:tcW w:type="dxa" w:w="198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250款、50维</w:t>
            </w:r>
          </w:p>
        </w:tc>
        <w:tc>
          <w:tcPr>
            <w:tcW w:type="dxa" w:w="238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固定10×3外层划分</w:t>
            </w:r>
          </w:p>
        </w:tc>
        <w:tc>
          <w:tcPr>
            <w:tcW w:type="dxa" w:w="306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逐目标折外评价</w:t>
            </w:r>
          </w:p>
        </w:tc>
      </w:tr>
      <w:tr>
        <w:trPr>
          <w:cantSplit/>
          <w:trHeight w:hRule="atLeast"/>
        </w:trPr>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输入字段</w:t>
            </w:r>
          </w:p>
        </w:tc>
        <w:tc>
          <w:tcPr>
            <w:tcW w:type="dxa" w:w="198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231项、73个缺失</w:t>
            </w:r>
          </w:p>
        </w:tc>
        <w:tc>
          <w:tcPr>
            <w:tcW w:type="dxa" w:w="238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训练子样本内填补</w:t>
            </w:r>
          </w:p>
        </w:tc>
        <w:tc>
          <w:tcPr>
            <w:tcW w:type="dxa" w:w="306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不删除含缺失样本</w:t>
            </w:r>
          </w:p>
        </w:tc>
      </w:tr>
      <w:tr>
        <w:trPr>
          <w:cantSplit/>
          <w:trHeight w:hRule="atLeast"/>
        </w:trPr>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严格候选</w:t>
            </w:r>
          </w:p>
        </w:tc>
        <w:tc>
          <w:tcPr>
            <w:tcW w:type="dxa" w:w="198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218个单体</w:t>
            </w:r>
          </w:p>
        </w:tc>
        <w:tc>
          <w:tcPr>
            <w:tcW w:type="dxa" w:w="238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排除13个聚合/理化指标</w:t>
            </w:r>
          </w:p>
        </w:tc>
        <w:tc>
          <w:tcPr>
            <w:tcW w:type="dxa" w:w="306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全因素仅作敏感性</w:t>
            </w:r>
          </w:p>
        </w:tc>
      </w:tr>
      <w:tr>
        <w:trPr>
          <w:cantSplit/>
          <w:trHeight w:hRule="atLeast"/>
        </w:trPr>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共表达矩阵</w:t>
            </w:r>
          </w:p>
        </w:tc>
        <w:tc>
          <w:tcPr>
            <w:tcW w:type="dxa" w:w="198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231×231 Spearman</w:t>
            </w:r>
          </w:p>
        </w:tc>
        <w:tc>
          <w:tcPr>
            <w:tcW w:type="dxa" w:w="238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描述图与折内图分开</w:t>
            </w:r>
          </w:p>
        </w:tc>
        <w:tc>
          <w:tcPr>
            <w:tcW w:type="dxa" w:w="306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验证时不复用全量图</w:t>
            </w:r>
          </w:p>
        </w:tc>
      </w:tr>
      <w:tr>
        <w:trPr>
          <w:cantSplit/>
          <w:trHeight w:hRule="atLeast"/>
        </w:trPr>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感官值</w:t>
            </w:r>
          </w:p>
        </w:tc>
        <w:tc>
          <w:tcPr>
            <w:tcW w:type="dxa" w:w="198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标准化连续值</w:t>
            </w:r>
          </w:p>
        </w:tc>
        <w:tc>
          <w:tcPr>
            <w:tcW w:type="dxa" w:w="238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按附件尺度建模</w:t>
            </w:r>
          </w:p>
        </w:tc>
        <w:tc>
          <w:tcPr>
            <w:tcW w:type="dxa" w:w="306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7"/>
              </w:rPr>
              <w:t>不声称恢复原始0—6分</w:t>
            </w:r>
          </w:p>
        </w:tc>
      </w:tr>
      <w:tr>
        <w:trPr>
          <w:cantSplit/>
          <w:trHeight w:hRule="atLeast"/>
        </w:trPr>
        <w:tc>
          <w:tcPr>
            <w:tcW w:type="dxa" w:w="1417"/>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7"/>
              </w:rPr>
              <w:t>化学证据</w:t>
            </w:r>
          </w:p>
        </w:tc>
        <w:tc>
          <w:tcPr>
            <w:tcW w:type="dxa" w:w="198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7"/>
              </w:rPr>
              <w:t>阈值、来源、异味、文献</w:t>
            </w:r>
          </w:p>
        </w:tc>
        <w:tc>
          <w:tcPr>
            <w:tcW w:type="dxa" w:w="238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7"/>
              </w:rPr>
              <w:t>排名冻结后追加</w:t>
            </w:r>
          </w:p>
        </w:tc>
        <w:tc>
          <w:tcPr>
            <w:tcW w:type="dxa" w:w="306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7"/>
              </w:rPr>
              <w:t>不作因果解释</w:t>
            </w:r>
          </w:p>
        </w:tc>
      </w:tr>
    </w:tbl>
    <w:p>
      <w:pPr>
        <w:pStyle w:val="BodyText"/>
        <w:spacing w:before="0" w:after="0" w:line="300" w:lineRule="auto"/>
        <w:ind w:firstLine="480" w:left="0"/>
        <w:jc w:val="both"/>
      </w:pPr>
      <w:r>
        <w:rPr>
          <w:rFonts w:hint="eastAsia" w:ascii="Times New Roman" w:hAnsi="Times New Roman" w:eastAsia="宋体"/>
          <w:i w:val="0"/>
          <w:color w:val="000000"/>
          <w:sz w:val="24"/>
        </w:rPr>
        <w:t>记第i款啤酒的化学向量为x_i，第j个标准化感官值为y_ij。关键化合物识别以式(1)所示预测关系为共同评价对象，但最终名次由相互独立的统计证据融合决定，而不是直接把某一模型的重要性当作因果效应。</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r>
                    <m:rPr>
                      <m:sty m:val="i"/>
                    </m:rPr>
                    <w:rPr>
                      <w:rFonts w:ascii="Cambria Math" w:hAnsi="Cambria Math" w:eastAsia="Cambria Math" w:cs="Cambria Math"/>
                      <w:sz w:val="21"/>
                      <w:szCs w:val="21"/>
                    </w:rPr>
                    <m:t>y</m:t>
                  </m:r>
                </m:e>
                <m:sub>
                  <m:r>
                    <m:rPr>
                      <m:sty m:val="i"/>
                    </m:rPr>
                    <w:rPr>
                      <w:rFonts w:ascii="Cambria Math" w:hAnsi="Cambria Math" w:eastAsia="Cambria Math" w:cs="Cambria Math"/>
                      <w:sz w:val="21"/>
                      <w:szCs w:val="21"/>
                    </w:rPr>
                    <m:t>ij</m:t>
                  </m:r>
                </m:sub>
              </m:sSub>
              <m:r>
                <m:rPr>
                  <m:sty m:val="p"/>
                </m:rPr>
                <w:rPr>
                  <w:rFonts w:ascii="Cambria Math" w:hAnsi="Cambria Math" w:eastAsia="Cambria Math" w:cs="Cambria Math"/>
                  <w:sz w:val="21"/>
                  <w:szCs w:val="21"/>
                </w:rPr>
                <m:t> = </m:t>
              </m:r>
              <m:sSub>
                <m:e>
                  <m:r>
                    <m:rPr>
                      <m:sty m:val="i"/>
                    </m:rPr>
                    <w:rPr>
                      <w:rFonts w:ascii="Cambria Math" w:hAnsi="Cambria Math" w:eastAsia="Cambria Math" w:cs="Cambria Math"/>
                      <w:sz w:val="21"/>
                      <w:szCs w:val="21"/>
                    </w:rPr>
                    <m:t>f</m:t>
                  </m:r>
                </m:e>
                <m:sub>
                  <m:r>
                    <m:rPr>
                      <m:sty m:val="i"/>
                    </m:rPr>
                    <w:rPr>
                      <w:rFonts w:ascii="Cambria Math" w:hAnsi="Cambria Math" w:eastAsia="Cambria Math" w:cs="Cambria Math"/>
                      <w:sz w:val="21"/>
                      <w:szCs w:val="21"/>
                    </w:rPr>
                    <m:t>j</m:t>
                  </m:r>
                </m:sub>
              </m:sSub>
              <m:d>
                <m:dPr>
                  <m:begChr m:val="("/>
                  <m:endChr m:val=")"/>
                </m:dPr>
                <m:e>
                  <m:sSub>
                    <m:e>
                      <m:r>
                        <m:rPr>
                          <m:sty m:val="i"/>
                        </m:rPr>
                        <w:rPr>
                          <w:rFonts w:ascii="Cambria Math" w:hAnsi="Cambria Math" w:eastAsia="Cambria Math" w:cs="Cambria Math"/>
                          <w:sz w:val="21"/>
                          <w:szCs w:val="21"/>
                        </w:rPr>
                        <m:t>x</m:t>
                      </m:r>
                    </m:e>
                    <m:sub>
                      <m:r>
                        <m:rPr>
                          <m:sty m:val="i"/>
                        </m:rPr>
                        <w:rPr>
                          <w:rFonts w:ascii="Cambria Math" w:hAnsi="Cambria Math" w:eastAsia="Cambria Math" w:cs="Cambria Math"/>
                          <w:sz w:val="21"/>
                          <w:szCs w:val="21"/>
                        </w:rPr>
                        <m:t>i</m:t>
                      </m:r>
                    </m:sub>
                  </m:sSub>
                </m:e>
              </m:d>
              <m:r>
                <m:rPr>
                  <m:sty m:val="p"/>
                </m:rPr>
                <w:rPr>
                  <w:rFonts w:ascii="Cambria Math" w:hAnsi="Cambria Math" w:eastAsia="Cambria Math" w:cs="Cambria Math"/>
                  <w:sz w:val="21"/>
                  <w:szCs w:val="21"/>
                </w:rPr>
                <m:t> + </m:t>
              </m:r>
              <m:sSub>
                <m:e>
                  <m:r>
                    <m:rPr>
                      <m:sty m:val="i"/>
                    </m:rPr>
                    <w:rPr>
                      <w:rFonts w:ascii="Cambria Math" w:hAnsi="Cambria Math" w:eastAsia="Cambria Math" w:cs="Cambria Math"/>
                      <w:sz w:val="21"/>
                      <w:szCs w:val="21"/>
                    </w:rPr>
                    <m:t>ε</m:t>
                  </m:r>
                </m:e>
                <m:sub>
                  <m:r>
                    <m:rPr>
                      <m:sty m:val="i"/>
                    </m:rPr>
                    <w:rPr>
                      <w:rFonts w:ascii="Cambria Math" w:hAnsi="Cambria Math" w:eastAsia="Cambria Math" w:cs="Cambria Math"/>
                      <w:sz w:val="21"/>
                      <w:szCs w:val="21"/>
                    </w:rPr>
                    <m:t>ij</m:t>
                  </m:r>
                </m:sub>
              </m:sSub>
              <m:r>
                <m:rPr>
                  <m:sty m:val="p"/>
                </m:rPr>
                <w:rPr>
                  <w:rFonts w:ascii="Cambria Math" w:hAnsi="Cambria Math" w:eastAsia="Cambria Math" w:cs="Cambria Math"/>
                  <w:sz w:val="21"/>
                  <w:szCs w:val="21"/>
                </w:rPr>
                <m:t>,   </m:t>
              </m:r>
              <m:r>
                <m:rPr>
                  <m:sty m:val="i"/>
                </m:rPr>
                <w:rPr>
                  <w:rFonts w:ascii="Cambria Math" w:hAnsi="Cambria Math" w:eastAsia="Cambria Math" w:cs="Cambria Math"/>
                  <w:sz w:val="21"/>
                  <w:szCs w:val="21"/>
                </w:rPr>
                <m:t>i</m:t>
              </m:r>
              <m:r>
                <m:rPr>
                  <m:sty m:val="p"/>
                </m:rPr>
                <w:rPr>
                  <w:rFonts w:ascii="Cambria Math" w:hAnsi="Cambria Math" w:eastAsia="Cambria Math" w:cs="Cambria Math"/>
                  <w:sz w:val="21"/>
                  <w:szCs w:val="21"/>
                </w:rPr>
                <m:t> = 1,…,250,   </m:t>
              </m:r>
              <m:r>
                <m:rPr>
                  <m:sty m:val="i"/>
                </m:rPr>
                <w:rPr>
                  <w:rFonts w:ascii="Cambria Math" w:hAnsi="Cambria Math" w:eastAsia="Cambria Math" w:cs="Cambria Math"/>
                  <w:sz w:val="21"/>
                  <w:szCs w:val="21"/>
                </w:rPr>
                <m:t>j</m:t>
              </m:r>
              <m:r>
                <m:rPr>
                  <m:sty m:val="p"/>
                </m:rPr>
                <w:rPr>
                  <w:rFonts w:ascii="Cambria Math" w:hAnsi="Cambria Math" w:eastAsia="Cambria Math" w:cs="Cambria Math"/>
                  <w:sz w:val="21"/>
                  <w:szCs w:val="21"/>
                </w:rPr>
                <m:t> = 1,…,50</m:t>
              </m:r>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(1)</w:t>
            </w:r>
          </w:p>
        </w:tc>
      </w:tr>
    </w:tbl>
    <w:p>
      <w:pPr>
        <w:pStyle w:val="Heading3"/>
        <w:spacing w:before="120" w:after="120" w:line="300" w:lineRule="auto"/>
        <w:ind w:left="0" w:firstLine="0"/>
        <w:jc w:val="both"/>
      </w:pPr>
      <w:r>
        <w:rPr>
          <w:rFonts w:hint="eastAsia" w:ascii="Times New Roman" w:hAnsi="Times New Roman" w:eastAsia="黑体"/>
          <w:b/>
          <w:i w:val="0"/>
          <w:color w:val="000000"/>
          <w:sz w:val="24"/>
        </w:rPr>
        <w:t>边际关联、稀疏回归与折内图正则</w:t>
      </w:r>
    </w:p>
    <w:p>
      <w:pPr>
        <w:pStyle w:val="BodyText"/>
        <w:spacing w:before="0" w:after="0" w:line="300" w:lineRule="auto"/>
        <w:ind w:firstLine="480" w:left="0"/>
        <w:jc w:val="both"/>
      </w:pPr>
      <w:r>
        <w:rPr>
          <w:rFonts w:hint="eastAsia" w:ascii="Times New Roman" w:hAnsi="Times New Roman" w:eastAsia="宋体"/>
          <w:i w:val="0"/>
          <w:color w:val="000000"/>
          <w:sz w:val="24"/>
        </w:rPr>
        <w:t>第一类证据为逐目标Spearman边际关联。它保留单调非线性且对异常值较稳健，式(2)将化学字段和感官值的样本秩相关标准化。所有排名均先过滤为218个严格单体候选。</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r>
                    <m:rPr>
                      <m:sty m:val="i"/>
                    </m:rPr>
                    <w:rPr>
                      <w:rFonts w:ascii="Cambria Math" w:hAnsi="Cambria Math" w:eastAsia="Cambria Math" w:cs="Cambria Math"/>
                      <w:sz w:val="21"/>
                      <w:szCs w:val="21"/>
                    </w:rPr>
                    <m:t>ρ</m:t>
                  </m:r>
                </m:e>
                <m:sub>
                  <m:r>
                    <m:rPr>
                      <m:sty m:val="i"/>
                    </m:rPr>
                    <w:rPr>
                      <w:rFonts w:ascii="Cambria Math" w:hAnsi="Cambria Math" w:eastAsia="Cambria Math" w:cs="Cambria Math"/>
                      <w:sz w:val="21"/>
                      <w:szCs w:val="21"/>
                    </w:rPr>
                    <m:t>kj</m:t>
                  </m:r>
                </m:sub>
              </m:sSub>
              <m:r>
                <m:rPr>
                  <m:sty m:val="p"/>
                </m:rPr>
                <w:rPr>
                  <w:rFonts w:ascii="Cambria Math" w:hAnsi="Cambria Math" w:eastAsia="Cambria Math" w:cs="Cambria Math"/>
                  <w:sz w:val="21"/>
                  <w:szCs w:val="21"/>
                </w:rPr>
                <m:t> = </m:t>
              </m:r>
              <m:f>
                <m:num>
                  <m:nary>
                    <m:naryPr>
                      <m:chr m:val="∑"/>
                      <m:limLoc m:val="undOvr"/>
                      <m:grow m:val="1"/>
                    </m:naryPr>
                    <m:sub>
                      <m:r>
                        <m:rPr>
                          <m:sty m:val="i"/>
                        </m:rPr>
                        <w:rPr>
                          <w:rFonts w:ascii="Cambria Math" w:hAnsi="Cambria Math" w:eastAsia="Cambria Math" w:cs="Cambria Math"/>
                          <w:sz w:val="21"/>
                          <w:szCs w:val="21"/>
                        </w:rPr>
                        <m:t>i</m:t>
                      </m:r>
                      <m:r>
                        <m:rPr>
                          <m:sty m:val="p"/>
                        </m:rPr>
                        <w:rPr>
                          <w:rFonts w:ascii="Cambria Math" w:hAnsi="Cambria Math" w:eastAsia="Cambria Math" w:cs="Cambria Math"/>
                          <w:sz w:val="21"/>
                          <w:szCs w:val="21"/>
                        </w:rPr>
                        <m:t> = 1</m:t>
                      </m:r>
                    </m:sub>
                    <m:sup>
                      <m:r>
                        <m:rPr>
                          <m:sty m:val="i"/>
                        </m:rPr>
                        <w:rPr>
                          <w:rFonts w:ascii="Cambria Math" w:hAnsi="Cambria Math" w:eastAsia="Cambria Math" w:cs="Cambria Math"/>
                          <w:sz w:val="21"/>
                          <w:szCs w:val="21"/>
                        </w:rPr>
                        <m:t>n</m:t>
                      </m:r>
                    </m:sup>
                    <m:e>
                      <m:d>
                        <m:dPr>
                          <m:begChr m:val="("/>
                          <m:endChr m:val=")"/>
                        </m:dPr>
                        <m:e>
                          <m:sSub>
                            <m:e>
                              <m:r>
                                <m:rPr>
                                  <m:sty m:val="i"/>
                                </m:rPr>
                                <w:rPr>
                                  <w:rFonts w:ascii="Cambria Math" w:hAnsi="Cambria Math" w:eastAsia="Cambria Math" w:cs="Cambria Math"/>
                                  <w:sz w:val="21"/>
                                  <w:szCs w:val="21"/>
                                </w:rPr>
                                <m:t>R</m:t>
                              </m:r>
                            </m:e>
                            <m:sub>
                              <m:r>
                                <m:rPr>
                                  <m:sty m:val="i"/>
                                </m:rPr>
                                <w:rPr>
                                  <w:rFonts w:ascii="Cambria Math" w:hAnsi="Cambria Math" w:eastAsia="Cambria Math" w:cs="Cambria Math"/>
                                  <w:sz w:val="21"/>
                                  <w:szCs w:val="21"/>
                                </w:rPr>
                                <m:t>ik</m:t>
                              </m:r>
                            </m:sub>
                          </m:sSub>
                          <m:r>
                            <m:rPr>
                              <m:sty m:val="p"/>
                            </m:rPr>
                            <w:rPr>
                              <w:rFonts w:ascii="Cambria Math" w:hAnsi="Cambria Math" w:eastAsia="Cambria Math" w:cs="Cambria Math"/>
                              <w:sz w:val="21"/>
                              <w:szCs w:val="21"/>
                            </w:rPr>
                            <m:t> − </m:t>
                          </m:r>
                          <m:sSub>
                            <m:e>
                              <m:bar>
                                <m:barPr>
                                  <m:pos m:val="top"/>
                                </m:barPr>
                                <m:e>
                                  <m:r>
                                    <m:rPr>
                                      <m:sty m:val="i"/>
                                    </m:rPr>
                                    <w:rPr>
                                      <w:rFonts w:ascii="Cambria Math" w:hAnsi="Cambria Math" w:eastAsia="Cambria Math" w:cs="Cambria Math"/>
                                      <w:sz w:val="21"/>
                                      <w:szCs w:val="21"/>
                                    </w:rPr>
                                    <m:t>R</m:t>
                                  </m:r>
                                </m:e>
                              </m:bar>
                            </m:e>
                            <m:sub>
                              <m:r>
                                <m:rPr>
                                  <m:sty m:val="i"/>
                                </m:rPr>
                                <w:rPr>
                                  <w:rFonts w:ascii="Cambria Math" w:hAnsi="Cambria Math" w:eastAsia="Cambria Math" w:cs="Cambria Math"/>
                                  <w:sz w:val="21"/>
                                  <w:szCs w:val="21"/>
                                </w:rPr>
                                <m:t>k</m:t>
                              </m:r>
                            </m:sub>
                          </m:sSub>
                        </m:e>
                      </m:d>
                      <m:d>
                        <m:dPr>
                          <m:begChr m:val="("/>
                          <m:endChr m:val=")"/>
                        </m:dPr>
                        <m:e>
                          <m:sSub>
                            <m:e>
                              <m:r>
                                <m:rPr>
                                  <m:sty m:val="i"/>
                                </m:rPr>
                                <w:rPr>
                                  <w:rFonts w:ascii="Cambria Math" w:hAnsi="Cambria Math" w:eastAsia="Cambria Math" w:cs="Cambria Math"/>
                                  <w:sz w:val="21"/>
                                  <w:szCs w:val="21"/>
                                </w:rPr>
                                <m:t>R</m:t>
                              </m:r>
                            </m:e>
                            <m:sub>
                              <m:r>
                                <m:rPr>
                                  <m:sty m:val="i"/>
                                </m:rPr>
                                <w:rPr>
                                  <w:rFonts w:ascii="Cambria Math" w:hAnsi="Cambria Math" w:eastAsia="Cambria Math" w:cs="Cambria Math"/>
                                  <w:sz w:val="21"/>
                                  <w:szCs w:val="21"/>
                                </w:rPr>
                                <m:t>ij</m:t>
                              </m:r>
                            </m:sub>
                          </m:sSub>
                          <m:r>
                            <m:rPr>
                              <m:sty m:val="p"/>
                            </m:rPr>
                            <w:rPr>
                              <w:rFonts w:ascii="Cambria Math" w:hAnsi="Cambria Math" w:eastAsia="Cambria Math" w:cs="Cambria Math"/>
                              <w:sz w:val="21"/>
                              <w:szCs w:val="21"/>
                            </w:rPr>
                            <m:t> − </m:t>
                          </m:r>
                          <m:sSub>
                            <m:e>
                              <m:bar>
                                <m:barPr>
                                  <m:pos m:val="top"/>
                                </m:barPr>
                                <m:e>
                                  <m:r>
                                    <m:rPr>
                                      <m:sty m:val="i"/>
                                    </m:rPr>
                                    <w:rPr>
                                      <w:rFonts w:ascii="Cambria Math" w:hAnsi="Cambria Math" w:eastAsia="Cambria Math" w:cs="Cambria Math"/>
                                      <w:sz w:val="21"/>
                                      <w:szCs w:val="21"/>
                                    </w:rPr>
                                    <m:t>R</m:t>
                                  </m:r>
                                </m:e>
                              </m:bar>
                            </m:e>
                            <m:sub>
                              <m:r>
                                <m:rPr>
                                  <m:sty m:val="i"/>
                                </m:rPr>
                                <w:rPr>
                                  <w:rFonts w:ascii="Cambria Math" w:hAnsi="Cambria Math" w:eastAsia="Cambria Math" w:cs="Cambria Math"/>
                                  <w:sz w:val="21"/>
                                  <w:szCs w:val="21"/>
                                </w:rPr>
                                <m:t>j</m:t>
                              </m:r>
                            </m:sub>
                          </m:sSub>
                        </m:e>
                      </m:d>
                    </m:e>
                  </m:nary>
                </m:num>
                <m:den>
                  <m:sSup>
                    <m:e>
                      <m:nary>
                        <m:naryPr>
                          <m:chr m:val="∑"/>
                          <m:limLoc m:val="undOvr"/>
                          <m:grow m:val="1"/>
                        </m:naryPr>
                        <m:sub>
                          <m:r>
                            <m:rPr>
                              <m:sty m:val="i"/>
                            </m:rPr>
                            <w:rPr>
                              <w:rFonts w:ascii="Cambria Math" w:hAnsi="Cambria Math" w:eastAsia="Cambria Math" w:cs="Cambria Math"/>
                              <w:sz w:val="21"/>
                              <w:szCs w:val="21"/>
                            </w:rPr>
                            <m:t>i</m:t>
                          </m:r>
                          <m:r>
                            <m:rPr>
                              <m:sty m:val="p"/>
                            </m:rPr>
                            <w:rPr>
                              <w:rFonts w:ascii="Cambria Math" w:hAnsi="Cambria Math" w:eastAsia="Cambria Math" w:cs="Cambria Math"/>
                              <w:sz w:val="21"/>
                              <w:szCs w:val="21"/>
                            </w:rPr>
                            <m:t> = 1</m:t>
                          </m:r>
                        </m:sub>
                        <m:sup>
                          <m:r>
                            <m:rPr>
                              <m:sty m:val="i"/>
                            </m:rPr>
                            <w:rPr>
                              <w:rFonts w:ascii="Cambria Math" w:hAnsi="Cambria Math" w:eastAsia="Cambria Math" w:cs="Cambria Math"/>
                              <w:sz w:val="21"/>
                              <w:szCs w:val="21"/>
                            </w:rPr>
                            <m:t>n</m:t>
                          </m:r>
                        </m:sup>
                        <m:e>
                          <m:sSup>
                            <m:e>
                              <m:d>
                                <m:dPr>
                                  <m:begChr m:val="("/>
                                  <m:endChr m:val=")"/>
                                </m:dPr>
                                <m:e>
                                  <m:sSub>
                                    <m:e>
                                      <m:r>
                                        <m:rPr>
                                          <m:sty m:val="i"/>
                                        </m:rPr>
                                        <w:rPr>
                                          <w:rFonts w:ascii="Cambria Math" w:hAnsi="Cambria Math" w:eastAsia="Cambria Math" w:cs="Cambria Math"/>
                                          <w:sz w:val="21"/>
                                          <w:szCs w:val="21"/>
                                        </w:rPr>
                                        <m:t>R</m:t>
                                      </m:r>
                                    </m:e>
                                    <m:sub>
                                      <m:r>
                                        <m:rPr>
                                          <m:sty m:val="i"/>
                                        </m:rPr>
                                        <w:rPr>
                                          <w:rFonts w:ascii="Cambria Math" w:hAnsi="Cambria Math" w:eastAsia="Cambria Math" w:cs="Cambria Math"/>
                                          <w:sz w:val="21"/>
                                          <w:szCs w:val="21"/>
                                        </w:rPr>
                                        <m:t>ik</m:t>
                                      </m:r>
                                    </m:sub>
                                  </m:sSub>
                                  <m:r>
                                    <m:rPr>
                                      <m:sty m:val="p"/>
                                    </m:rPr>
                                    <w:rPr>
                                      <w:rFonts w:ascii="Cambria Math" w:hAnsi="Cambria Math" w:eastAsia="Cambria Math" w:cs="Cambria Math"/>
                                      <w:sz w:val="21"/>
                                      <w:szCs w:val="21"/>
                                    </w:rPr>
                                    <m:t> − </m:t>
                                  </m:r>
                                  <m:sSub>
                                    <m:e>
                                      <m:bar>
                                        <m:barPr>
                                          <m:pos m:val="top"/>
                                        </m:barPr>
                                        <m:e>
                                          <m:r>
                                            <m:rPr>
                                              <m:sty m:val="i"/>
                                            </m:rPr>
                                            <w:rPr>
                                              <w:rFonts w:ascii="Cambria Math" w:hAnsi="Cambria Math" w:eastAsia="Cambria Math" w:cs="Cambria Math"/>
                                              <w:sz w:val="21"/>
                                              <w:szCs w:val="21"/>
                                            </w:rPr>
                                            <m:t>R</m:t>
                                          </m:r>
                                        </m:e>
                                      </m:bar>
                                    </m:e>
                                    <m:sub>
                                      <m:r>
                                        <m:rPr>
                                          <m:sty m:val="i"/>
                                        </m:rPr>
                                        <w:rPr>
                                          <w:rFonts w:ascii="Cambria Math" w:hAnsi="Cambria Math" w:eastAsia="Cambria Math" w:cs="Cambria Math"/>
                                          <w:sz w:val="21"/>
                                          <w:szCs w:val="21"/>
                                        </w:rPr>
                                        <m:t>k</m:t>
                                      </m:r>
                                    </m:sub>
                                  </m:sSub>
                                </m:e>
                              </m:d>
                            </m:e>
                            <m:sup>
                              <m:r>
                                <m:rPr>
                                  <m:sty m:val="p"/>
                                </m:rPr>
                                <w:rPr>
                                  <w:rFonts w:ascii="Cambria Math" w:hAnsi="Cambria Math" w:eastAsia="Cambria Math" w:cs="Cambria Math"/>
                                  <w:sz w:val="21"/>
                                  <w:szCs w:val="21"/>
                                </w:rPr>
                                <m:t>2</m:t>
                              </m:r>
                            </m:sup>
                          </m:sSup>
                        </m:e>
                      </m:nary>
                    </m:e>
                    <m:sup>
                      <m:f>
                        <m:num>
                          <m:r>
                            <m:rPr>
                              <m:sty m:val="p"/>
                            </m:rPr>
                            <w:rPr>
                              <w:rFonts w:ascii="Cambria Math" w:hAnsi="Cambria Math" w:eastAsia="Cambria Math" w:cs="Cambria Math"/>
                              <w:sz w:val="21"/>
                              <w:szCs w:val="21"/>
                            </w:rPr>
                            <m:t>1</m:t>
                          </m:r>
                        </m:num>
                        <m:den>
                          <m:r>
                            <m:rPr>
                              <m:sty m:val="p"/>
                            </m:rPr>
                            <w:rPr>
                              <w:rFonts w:ascii="Cambria Math" w:hAnsi="Cambria Math" w:eastAsia="Cambria Math" w:cs="Cambria Math"/>
                              <w:sz w:val="21"/>
                              <w:szCs w:val="21"/>
                            </w:rPr>
                            <m:t>2</m:t>
                          </m:r>
                        </m:den>
                      </m:f>
                    </m:sup>
                  </m:sSup>
                  <m:sSup>
                    <m:e>
                      <m:nary>
                        <m:naryPr>
                          <m:chr m:val="∑"/>
                          <m:limLoc m:val="undOvr"/>
                          <m:grow m:val="1"/>
                        </m:naryPr>
                        <m:sub>
                          <m:r>
                            <m:rPr>
                              <m:sty m:val="i"/>
                            </m:rPr>
                            <w:rPr>
                              <w:rFonts w:ascii="Cambria Math" w:hAnsi="Cambria Math" w:eastAsia="Cambria Math" w:cs="Cambria Math"/>
                              <w:sz w:val="21"/>
                              <w:szCs w:val="21"/>
                            </w:rPr>
                            <m:t>i</m:t>
                          </m:r>
                          <m:r>
                            <m:rPr>
                              <m:sty m:val="p"/>
                            </m:rPr>
                            <w:rPr>
                              <w:rFonts w:ascii="Cambria Math" w:hAnsi="Cambria Math" w:eastAsia="Cambria Math" w:cs="Cambria Math"/>
                              <w:sz w:val="21"/>
                              <w:szCs w:val="21"/>
                            </w:rPr>
                            <m:t> = 1</m:t>
                          </m:r>
                        </m:sub>
                        <m:sup>
                          <m:r>
                            <m:rPr>
                              <m:sty m:val="i"/>
                            </m:rPr>
                            <w:rPr>
                              <w:rFonts w:ascii="Cambria Math" w:hAnsi="Cambria Math" w:eastAsia="Cambria Math" w:cs="Cambria Math"/>
                              <w:sz w:val="21"/>
                              <w:szCs w:val="21"/>
                            </w:rPr>
                            <m:t>n</m:t>
                          </m:r>
                        </m:sup>
                        <m:e>
                          <m:sSup>
                            <m:e>
                              <m:d>
                                <m:dPr>
                                  <m:begChr m:val="("/>
                                  <m:endChr m:val=")"/>
                                </m:dPr>
                                <m:e>
                                  <m:sSub>
                                    <m:e>
                                      <m:r>
                                        <m:rPr>
                                          <m:sty m:val="i"/>
                                        </m:rPr>
                                        <w:rPr>
                                          <w:rFonts w:ascii="Cambria Math" w:hAnsi="Cambria Math" w:eastAsia="Cambria Math" w:cs="Cambria Math"/>
                                          <w:sz w:val="21"/>
                                          <w:szCs w:val="21"/>
                                        </w:rPr>
                                        <m:t>R</m:t>
                                      </m:r>
                                    </m:e>
                                    <m:sub>
                                      <m:r>
                                        <m:rPr>
                                          <m:sty m:val="i"/>
                                        </m:rPr>
                                        <w:rPr>
                                          <w:rFonts w:ascii="Cambria Math" w:hAnsi="Cambria Math" w:eastAsia="Cambria Math" w:cs="Cambria Math"/>
                                          <w:sz w:val="21"/>
                                          <w:szCs w:val="21"/>
                                        </w:rPr>
                                        <m:t>ij</m:t>
                                      </m:r>
                                    </m:sub>
                                  </m:sSub>
                                  <m:r>
                                    <m:rPr>
                                      <m:sty m:val="p"/>
                                    </m:rPr>
                                    <w:rPr>
                                      <w:rFonts w:ascii="Cambria Math" w:hAnsi="Cambria Math" w:eastAsia="Cambria Math" w:cs="Cambria Math"/>
                                      <w:sz w:val="21"/>
                                      <w:szCs w:val="21"/>
                                    </w:rPr>
                                    <m:t> − </m:t>
                                  </m:r>
                                  <m:sSub>
                                    <m:e>
                                      <m:bar>
                                        <m:barPr>
                                          <m:pos m:val="top"/>
                                        </m:barPr>
                                        <m:e>
                                          <m:r>
                                            <m:rPr>
                                              <m:sty m:val="i"/>
                                            </m:rPr>
                                            <w:rPr>
                                              <w:rFonts w:ascii="Cambria Math" w:hAnsi="Cambria Math" w:eastAsia="Cambria Math" w:cs="Cambria Math"/>
                                              <w:sz w:val="21"/>
                                              <w:szCs w:val="21"/>
                                            </w:rPr>
                                            <m:t>R</m:t>
                                          </m:r>
                                        </m:e>
                                      </m:bar>
                                    </m:e>
                                    <m:sub>
                                      <m:r>
                                        <m:rPr>
                                          <m:sty m:val="i"/>
                                        </m:rPr>
                                        <w:rPr>
                                          <w:rFonts w:ascii="Cambria Math" w:hAnsi="Cambria Math" w:eastAsia="Cambria Math" w:cs="Cambria Math"/>
                                          <w:sz w:val="21"/>
                                          <w:szCs w:val="21"/>
                                        </w:rPr>
                                        <m:t>j</m:t>
                                      </m:r>
                                    </m:sub>
                                  </m:sSub>
                                </m:e>
                              </m:d>
                            </m:e>
                            <m:sup>
                              <m:r>
                                <m:rPr>
                                  <m:sty m:val="p"/>
                                </m:rPr>
                                <w:rPr>
                                  <w:rFonts w:ascii="Cambria Math" w:hAnsi="Cambria Math" w:eastAsia="Cambria Math" w:cs="Cambria Math"/>
                                  <w:sz w:val="21"/>
                                  <w:szCs w:val="21"/>
                                </w:rPr>
                                <m:t>2</m:t>
                              </m:r>
                            </m:sup>
                          </m:sSup>
                        </m:e>
                      </m:nary>
                    </m:e>
                    <m:sup>
                      <m:f>
                        <m:num>
                          <m:r>
                            <m:rPr>
                              <m:sty m:val="p"/>
                            </m:rPr>
                            <w:rPr>
                              <w:rFonts w:ascii="Cambria Math" w:hAnsi="Cambria Math" w:eastAsia="Cambria Math" w:cs="Cambria Math"/>
                              <w:sz w:val="21"/>
                              <w:szCs w:val="21"/>
                            </w:rPr>
                            <m:t>1</m:t>
                          </m:r>
                        </m:num>
                        <m:den>
                          <m:r>
                            <m:rPr>
                              <m:sty m:val="p"/>
                            </m:rPr>
                            <w:rPr>
                              <w:rFonts w:ascii="Cambria Math" w:hAnsi="Cambria Math" w:eastAsia="Cambria Math" w:cs="Cambria Math"/>
                              <w:sz w:val="21"/>
                              <w:szCs w:val="21"/>
                            </w:rPr>
                            <m:t>2</m:t>
                          </m:r>
                        </m:den>
                      </m:f>
                    </m:sup>
                  </m:sSup>
                </m:den>
              </m:f>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(2)</w:t>
            </w:r>
          </w:p>
        </w:tc>
      </w:tr>
    </w:tbl>
    <w:p>
      <w:pPr>
        <w:pStyle w:val="BodyText"/>
        <w:spacing w:before="0" w:after="0" w:line="300" w:lineRule="auto"/>
        <w:ind w:firstLine="480" w:left="0"/>
        <w:jc w:val="both"/>
      </w:pPr>
      <w:r>
        <w:rPr>
          <w:rFonts w:hint="eastAsia" w:ascii="Times New Roman" w:hAnsi="Times New Roman" w:eastAsia="宋体"/>
          <w:i w:val="0"/>
          <w:color w:val="000000"/>
          <w:sz w:val="24"/>
        </w:rPr>
        <w:t>第二类证据为ElasticNet条件稀疏系数；第三类为加入有符号归一化图拉普拉斯的稀疏回归。图矩阵在每个外层训练折内重新估计，负边保留方向，缺失填补和标准化也只使用训练折。对目标j，图正则目标函数写为式(3)。其中L_s为有符号图拉普拉斯，λ_1控制稀疏度，λ_G控制共表达邻居的系数平滑。</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acc>
                    <m:accPr>
                      <m:chr m:val="̂"/>
                    </m:accPr>
                    <m:e>
                      <m:r>
                        <m:rPr>
                          <m:sty m:val="i"/>
                        </m:rPr>
                        <w:rPr>
                          <w:rFonts w:ascii="Cambria Math" w:hAnsi="Cambria Math" w:eastAsia="Cambria Math" w:cs="Cambria Math"/>
                          <w:sz w:val="21"/>
                          <w:szCs w:val="21"/>
                        </w:rPr>
                        <m:t>β</m:t>
                      </m:r>
                    </m:e>
                  </m:acc>
                </m:e>
                <m:sub>
                  <m:r>
                    <m:rPr>
                      <m:sty m:val="i"/>
                    </m:rPr>
                    <w:rPr>
                      <w:rFonts w:ascii="Cambria Math" w:hAnsi="Cambria Math" w:eastAsia="Cambria Math" w:cs="Cambria Math"/>
                      <w:sz w:val="21"/>
                      <w:szCs w:val="21"/>
                    </w:rPr>
                    <m:t>j</m:t>
                  </m:r>
                </m:sub>
              </m:sSub>
              <m:r>
                <m:rPr>
                  <m:sty m:val="p"/>
                </m:rPr>
                <w:rPr>
                  <w:rFonts w:ascii="Cambria Math" w:hAnsi="Cambria Math" w:eastAsia="Cambria Math" w:cs="Cambria Math"/>
                  <w:sz w:val="21"/>
                  <w:szCs w:val="21"/>
                </w:rPr>
                <m:t> = </m:t>
              </m:r>
              <m:sSub>
                <m:e>
                  <m:r>
                    <m:rPr>
                      <m:sty m:val="p"/>
                    </m:rPr>
                    <w:rPr>
                      <w:rFonts w:ascii="Cambria Math" w:hAnsi="Cambria Math" w:eastAsia="Cambria Math" w:cs="Cambria Math"/>
                      <w:sz w:val="21"/>
                      <w:szCs w:val="21"/>
                    </w:rPr>
                    <m:t>arg min</m:t>
                  </m:r>
                </m:e>
                <m:sub>
                  <m:r>
                    <m:rPr>
                      <m:sty m:val="i"/>
                    </m:rPr>
                    <w:rPr>
                      <w:rFonts w:ascii="Cambria Math" w:hAnsi="Cambria Math" w:eastAsia="Cambria Math" w:cs="Cambria Math"/>
                      <w:sz w:val="21"/>
                      <w:szCs w:val="21"/>
                    </w:rPr>
                    <m:t>β</m:t>
                  </m:r>
                </m:sub>
              </m:sSub>
              <m:d>
                <m:dPr>
                  <m:begChr m:val="{"/>
                  <m:endChr m:val="}"/>
                </m:dPr>
                <m:e>
                  <m:f>
                    <m:num>
                      <m:r>
                        <m:rPr>
                          <m:sty m:val="p"/>
                        </m:rPr>
                        <w:rPr>
                          <w:rFonts w:ascii="Cambria Math" w:hAnsi="Cambria Math" w:eastAsia="Cambria Math" w:cs="Cambria Math"/>
                          <w:sz w:val="21"/>
                          <w:szCs w:val="21"/>
                        </w:rPr>
                        <m:t>1</m:t>
                      </m:r>
                    </m:num>
                    <m:den>
                      <m:r>
                        <m:rPr>
                          <m:sty m:val="p"/>
                        </m:rPr>
                        <w:rPr>
                          <w:rFonts w:ascii="Cambria Math" w:hAnsi="Cambria Math" w:eastAsia="Cambria Math" w:cs="Cambria Math"/>
                          <w:sz w:val="21"/>
                          <w:szCs w:val="21"/>
                        </w:rPr>
                        <m:t>2</m:t>
                      </m:r>
                      <m:r>
                        <m:rPr>
                          <m:sty m:val="i"/>
                        </m:rPr>
                        <w:rPr>
                          <w:rFonts w:ascii="Cambria Math" w:hAnsi="Cambria Math" w:eastAsia="Cambria Math" w:cs="Cambria Math"/>
                          <w:sz w:val="21"/>
                          <w:szCs w:val="21"/>
                        </w:rPr>
                        <m:t>n</m:t>
                      </m:r>
                    </m:den>
                  </m:f>
                  <m:sSup>
                    <m:e>
                      <m:sSub>
                        <m:e>
                          <m:d>
                            <m:dPr>
                              <m:begChr m:val="‖"/>
                              <m:endChr m:val="‖"/>
                            </m:dPr>
                            <m:e>
                              <m:sSub>
                                <m:e>
                                  <m:r>
                                    <m:rPr>
                                      <m:sty m:val="i"/>
                                    </m:rPr>
                                    <w:rPr>
                                      <w:rFonts w:ascii="Cambria Math" w:hAnsi="Cambria Math" w:eastAsia="Cambria Math" w:cs="Cambria Math"/>
                                      <w:sz w:val="21"/>
                                      <w:szCs w:val="21"/>
                                    </w:rPr>
                                    <m:t>y</m:t>
                                  </m:r>
                                </m:e>
                                <m:sub>
                                  <m:r>
                                    <m:rPr>
                                      <m:sty m:val="i"/>
                                    </m:rPr>
                                    <w:rPr>
                                      <w:rFonts w:ascii="Cambria Math" w:hAnsi="Cambria Math" w:eastAsia="Cambria Math" w:cs="Cambria Math"/>
                                      <w:sz w:val="21"/>
                                      <w:szCs w:val="21"/>
                                    </w:rPr>
                                    <m:t>j</m:t>
                                  </m:r>
                                </m:sub>
                              </m:sSub>
                              <m:r>
                                <m:rPr>
                                  <m:sty m:val="p"/>
                                </m:rPr>
                                <w:rPr>
                                  <w:rFonts w:ascii="Cambria Math" w:hAnsi="Cambria Math" w:eastAsia="Cambria Math" w:cs="Cambria Math"/>
                                  <w:sz w:val="21"/>
                                  <w:szCs w:val="21"/>
                                </w:rPr>
                                <m:t> − </m:t>
                              </m:r>
                              <m:r>
                                <m:rPr>
                                  <m:sty m:val="i"/>
                                </m:rPr>
                                <w:rPr>
                                  <w:rFonts w:ascii="Cambria Math" w:hAnsi="Cambria Math" w:eastAsia="Cambria Math" w:cs="Cambria Math"/>
                                  <w:sz w:val="21"/>
                                  <w:szCs w:val="21"/>
                                </w:rPr>
                                <m:t>X</m:t>
                              </m:r>
                              <m:sSub>
                                <m:e>
                                  <m:r>
                                    <m:rPr>
                                      <m:sty m:val="i"/>
                                    </m:rPr>
                                    <w:rPr>
                                      <w:rFonts w:ascii="Cambria Math" w:hAnsi="Cambria Math" w:eastAsia="Cambria Math" w:cs="Cambria Math"/>
                                      <w:sz w:val="21"/>
                                      <w:szCs w:val="21"/>
                                    </w:rPr>
                                    <m:t>β</m:t>
                                  </m:r>
                                </m:e>
                                <m:sub>
                                  <m:r>
                                    <m:rPr>
                                      <m:sty m:val="i"/>
                                    </m:rPr>
                                    <w:rPr>
                                      <w:rFonts w:ascii="Cambria Math" w:hAnsi="Cambria Math" w:eastAsia="Cambria Math" w:cs="Cambria Math"/>
                                      <w:sz w:val="21"/>
                                      <w:szCs w:val="21"/>
                                    </w:rPr>
                                    <m:t>j</m:t>
                                  </m:r>
                                </m:sub>
                              </m:sSub>
                            </m:e>
                          </m:d>
                        </m:e>
                        <m:sub>
                          <m:r>
                            <m:rPr>
                              <m:sty m:val="p"/>
                            </m:rPr>
                            <w:rPr>
                              <w:rFonts w:ascii="Cambria Math" w:hAnsi="Cambria Math" w:eastAsia="Cambria Math" w:cs="Cambria Math"/>
                              <w:sz w:val="21"/>
                              <w:szCs w:val="21"/>
                            </w:rPr>
                            <m:t>2</m:t>
                          </m:r>
                        </m:sub>
                      </m:sSub>
                    </m:e>
                    <m:sup>
                      <m:r>
                        <m:rPr>
                          <m:sty m:val="p"/>
                        </m:rPr>
                        <w:rPr>
                          <w:rFonts w:ascii="Cambria Math" w:hAnsi="Cambria Math" w:eastAsia="Cambria Math" w:cs="Cambria Math"/>
                          <w:sz w:val="21"/>
                          <w:szCs w:val="21"/>
                        </w:rPr>
                        <m:t>2</m:t>
                      </m:r>
                    </m:sup>
                  </m:sSup>
                  <m:r>
                    <m:rPr>
                      <m:sty m:val="p"/>
                    </m:rPr>
                    <w:rPr>
                      <w:rFonts w:ascii="Cambria Math" w:hAnsi="Cambria Math" w:eastAsia="Cambria Math" w:cs="Cambria Math"/>
                      <w:sz w:val="21"/>
                      <w:szCs w:val="21"/>
                    </w:rPr>
                    <m:t> + </m:t>
                  </m:r>
                  <m:sSub>
                    <m:e>
                      <m:r>
                        <m:rPr>
                          <m:sty m:val="i"/>
                        </m:rPr>
                        <w:rPr>
                          <w:rFonts w:ascii="Cambria Math" w:hAnsi="Cambria Math" w:eastAsia="Cambria Math" w:cs="Cambria Math"/>
                          <w:sz w:val="21"/>
                          <w:szCs w:val="21"/>
                        </w:rPr>
                        <m:t>λ</m:t>
                      </m:r>
                    </m:e>
                    <m:sub>
                      <m:r>
                        <m:rPr>
                          <m:sty m:val="i"/>
                        </m:rPr>
                        <w:rPr>
                          <w:rFonts w:ascii="Cambria Math" w:hAnsi="Cambria Math" w:eastAsia="Cambria Math" w:cs="Cambria Math"/>
                          <w:sz w:val="21"/>
                          <w:szCs w:val="21"/>
                        </w:rPr>
                        <m:t>1</m:t>
                      </m:r>
                    </m:sub>
                  </m:sSub>
                  <m:sSub>
                    <m:e>
                      <m:d>
                        <m:dPr>
                          <m:begChr m:val="‖"/>
                          <m:endChr m:val="‖"/>
                        </m:dPr>
                        <m:e>
                          <m:r>
                            <m:rPr>
                              <m:sty m:val="i"/>
                            </m:rPr>
                            <w:rPr>
                              <w:rFonts w:ascii="Cambria Math" w:hAnsi="Cambria Math" w:eastAsia="Cambria Math" w:cs="Cambria Math"/>
                              <w:sz w:val="21"/>
                              <w:szCs w:val="21"/>
                            </w:rPr>
                            <m:t>β</m:t>
                          </m:r>
                        </m:e>
                      </m:d>
                    </m:e>
                    <m:sub>
                      <m:r>
                        <m:rPr>
                          <m:sty m:val="p"/>
                        </m:rPr>
                        <w:rPr>
                          <w:rFonts w:ascii="Cambria Math" w:hAnsi="Cambria Math" w:eastAsia="Cambria Math" w:cs="Cambria Math"/>
                          <w:sz w:val="21"/>
                          <w:szCs w:val="21"/>
                        </w:rPr>
                        <m:t>1</m:t>
                      </m:r>
                    </m:sub>
                  </m:sSub>
                  <m:r>
                    <m:rPr>
                      <m:sty m:val="p"/>
                    </m:rPr>
                    <w:rPr>
                      <w:rFonts w:ascii="Cambria Math" w:hAnsi="Cambria Math" w:eastAsia="Cambria Math" w:cs="Cambria Math"/>
                      <w:sz w:val="21"/>
                      <w:szCs w:val="21"/>
                    </w:rPr>
                    <m:t> + </m:t>
                  </m:r>
                  <m:sSub>
                    <m:e>
                      <m:r>
                        <m:rPr>
                          <m:sty m:val="i"/>
                        </m:rPr>
                        <w:rPr>
                          <w:rFonts w:ascii="Cambria Math" w:hAnsi="Cambria Math" w:eastAsia="Cambria Math" w:cs="Cambria Math"/>
                          <w:sz w:val="21"/>
                          <w:szCs w:val="21"/>
                        </w:rPr>
                        <m:t>λ</m:t>
                      </m:r>
                    </m:e>
                    <m:sub>
                      <m:r>
                        <m:rPr>
                          <m:sty m:val="i"/>
                        </m:rPr>
                        <w:rPr>
                          <w:rFonts w:ascii="Cambria Math" w:hAnsi="Cambria Math" w:eastAsia="Cambria Math" w:cs="Cambria Math"/>
                          <w:sz w:val="21"/>
                          <w:szCs w:val="21"/>
                        </w:rPr>
                        <m:t>G</m:t>
                      </m:r>
                    </m:sub>
                  </m:sSub>
                  <m:sSup>
                    <m:e>
                      <m:r>
                        <m:rPr>
                          <m:sty m:val="i"/>
                        </m:rPr>
                        <w:rPr>
                          <w:rFonts w:ascii="Cambria Math" w:hAnsi="Cambria Math" w:eastAsia="Cambria Math" w:cs="Cambria Math"/>
                          <w:sz w:val="21"/>
                          <w:szCs w:val="21"/>
                        </w:rPr>
                        <m:t>β</m:t>
                      </m:r>
                    </m:e>
                    <m:sup>
                      <m:r>
                        <m:rPr>
                          <m:sty m:val="p"/>
                        </m:rPr>
                        <w:rPr>
                          <w:rFonts w:ascii="Cambria Math" w:hAnsi="Cambria Math" w:eastAsia="Cambria Math" w:cs="Cambria Math"/>
                          <w:sz w:val="21"/>
                          <w:szCs w:val="21"/>
                        </w:rPr>
                        <m:t>T</m:t>
                      </m:r>
                    </m:sup>
                  </m:sSup>
                  <m:sSub>
                    <m:e>
                      <m:r>
                        <m:rPr>
                          <m:sty m:val="i"/>
                        </m:rPr>
                        <w:rPr>
                          <w:rFonts w:ascii="Cambria Math" w:hAnsi="Cambria Math" w:eastAsia="Cambria Math" w:cs="Cambria Math"/>
                          <w:sz w:val="21"/>
                          <w:szCs w:val="21"/>
                        </w:rPr>
                        <m:t>L</m:t>
                      </m:r>
                    </m:e>
                    <m:sub>
                      <m:r>
                        <m:rPr>
                          <m:sty m:val="i"/>
                        </m:rPr>
                        <w:rPr>
                          <w:rFonts w:ascii="Cambria Math" w:hAnsi="Cambria Math" w:eastAsia="Cambria Math" w:cs="Cambria Math"/>
                          <w:sz w:val="21"/>
                          <w:szCs w:val="21"/>
                        </w:rPr>
                        <m:t>s</m:t>
                      </m:r>
                    </m:sub>
                  </m:sSub>
                  <m:r>
                    <m:rPr>
                      <m:sty m:val="i"/>
                    </m:rPr>
                    <w:rPr>
                      <w:rFonts w:ascii="Cambria Math" w:hAnsi="Cambria Math" w:eastAsia="Cambria Math" w:cs="Cambria Math"/>
                      <w:sz w:val="21"/>
                      <w:szCs w:val="21"/>
                    </w:rPr>
                    <m:t>β</m:t>
                  </m:r>
                </m:e>
              </m:d>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(3)</w:t>
            </w:r>
          </w:p>
        </w:tc>
      </w:tr>
    </w:tbl>
    <w:p>
      <w:pPr>
        <w:pStyle w:val="BodyText"/>
        <w:spacing w:before="0" w:after="0" w:line="300" w:lineRule="auto"/>
        <w:ind w:firstLine="480" w:left="0"/>
        <w:jc w:val="both"/>
      </w:pPr>
      <w:r>
        <w:rPr>
          <w:rFonts w:hint="eastAsia" w:ascii="Times New Roman" w:hAnsi="Times New Roman" w:eastAsia="宋体"/>
          <w:i w:val="0"/>
          <w:color w:val="000000"/>
          <w:sz w:val="24"/>
        </w:rPr>
        <w:t>图正则模型用于检验代谢共表达结构是否提高预测与排名稳定性。若折外误差没有改善，图结构仍可用于模块联合置换和解释，但不据此宣称预测增益。</w:t>
      </w:r>
    </w:p>
    <w:p>
      <w:pPr>
        <w:pStyle w:val="Heading3"/>
        <w:spacing w:before="120" w:after="120" w:line="300" w:lineRule="auto"/>
        <w:ind w:left="0" w:firstLine="0"/>
        <w:jc w:val="both"/>
      </w:pPr>
      <w:r>
        <w:rPr>
          <w:rFonts w:hint="eastAsia" w:ascii="Times New Roman" w:hAnsi="Times New Roman" w:eastAsia="黑体"/>
          <w:b/>
          <w:i w:val="0"/>
          <w:color w:val="000000"/>
          <w:sz w:val="24"/>
        </w:rPr>
        <w:t>最终感官模型的分层条件归因</w:t>
      </w:r>
    </w:p>
    <w:p>
      <w:pPr>
        <w:pStyle w:val="BodyText"/>
        <w:spacing w:before="0" w:after="0" w:line="300" w:lineRule="auto"/>
        <w:ind w:firstLine="480" w:left="0"/>
        <w:jc w:val="both"/>
      </w:pPr>
      <w:r>
        <w:rPr>
          <w:rFonts w:hint="eastAsia" w:ascii="Times New Roman" w:hAnsi="Times New Roman" w:eastAsia="宋体"/>
          <w:i w:val="0"/>
          <w:color w:val="000000"/>
          <w:sz w:val="24"/>
        </w:rPr>
        <w:t>第一问最终模型由ExtraTrees、直方图梯度提升、秩高斯Ridge和秩高斯PLS2组成，并用带自由截距的非负最小二乘在香气、风味和味觉/口感/总体三个感官组内估计融合权重，再向共享权重收缩0.5。问题二沿用第一问的10×3外层划分，在每个外层训练折中固定基学习器参数和融合权重，重建同一折预测器；归因阶段不重新选参，也不重新估计非负融合权重。</w:t>
      </w:r>
    </w:p>
    <w:p>
      <w:pPr>
        <w:pStyle w:val="BodyText"/>
        <w:spacing w:before="0" w:after="0" w:line="300" w:lineRule="auto"/>
        <w:ind w:firstLine="480" w:left="0"/>
        <w:jc w:val="both"/>
      </w:pPr>
      <w:r>
        <w:rPr>
          <w:rFonts w:hint="eastAsia" w:ascii="Times New Roman" w:hAnsi="Times New Roman" w:eastAsia="宋体"/>
          <w:i w:val="0"/>
          <w:color w:val="000000"/>
          <w:sz w:val="24"/>
        </w:rPr>
        <w:t>归因分两级进行。先将折内共表达模块整组置换，测量模块对50维感官预测的联合影响；再在模块内逐字段条件置换，只打乱观测值并保留原缺失掩码，以减弱模块内替代造成的重要性错配。若置换字段k后目标j的验证MAE上升，则式(4)的条件误差增量为正。</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p>
                <m:e>
                  <m:sSub>
                    <m:e>
                      <m:r>
                        <m:rPr>
                          <m:sty m:val="i"/>
                        </m:rPr>
                        <w:rPr>
                          <w:rFonts w:ascii="Cambria Math" w:hAnsi="Cambria Math" w:eastAsia="Cambria Math" w:cs="Cambria Math"/>
                          <w:sz w:val="21"/>
                          <w:szCs w:val="21"/>
                        </w:rPr>
                        <m:t>Δ</m:t>
                      </m:r>
                    </m:e>
                    <m:sub>
                      <m:r>
                        <m:rPr>
                          <m:sty m:val="i"/>
                        </m:rPr>
                        <w:rPr>
                          <w:rFonts w:ascii="Cambria Math" w:hAnsi="Cambria Math" w:eastAsia="Cambria Math" w:cs="Cambria Math"/>
                          <w:sz w:val="21"/>
                          <w:szCs w:val="21"/>
                        </w:rPr>
                        <m:t>kj</m:t>
                      </m:r>
                    </m:sub>
                  </m:sSub>
                </m:e>
                <m:sup>
                  <m:r>
                    <m:rPr>
                      <m:sty m:val="p"/>
                    </m:rPr>
                    <w:rPr>
                      <w:rFonts w:ascii="Cambria Math" w:hAnsi="Cambria Math" w:eastAsia="Cambria Math" w:cs="Cambria Math"/>
                      <w:sz w:val="21"/>
                      <w:szCs w:val="21"/>
                    </w:rPr>
                    <m:t>cond</m:t>
                  </m:r>
                </m:sup>
              </m:sSup>
              <m:r>
                <m:rPr>
                  <m:sty m:val="p"/>
                </m:rPr>
                <w:rPr>
                  <w:rFonts w:ascii="Cambria Math" w:hAnsi="Cambria Math" w:eastAsia="Cambria Math" w:cs="Cambria Math"/>
                  <w:sz w:val="21"/>
                  <w:szCs w:val="21"/>
                </w:rPr>
                <m:t> = </m:t>
              </m:r>
              <m:func>
                <m:fName>
                  <m:r>
                    <m:rPr>
                      <m:sty m:val="p"/>
                    </m:rPr>
                    <w:rPr>
                      <w:rFonts w:ascii="Cambria Math" w:hAnsi="Cambria Math" w:eastAsia="Cambria Math" w:cs="Cambria Math"/>
                      <w:sz w:val="21"/>
                      <w:szCs w:val="21"/>
                    </w:rPr>
                    <m:t>MAE</m:t>
                  </m:r>
                </m:fName>
                <m:e>
                  <m:d>
                    <m:dPr>
                      <m:begChr m:val="("/>
                      <m:endChr m:val=")"/>
                    </m:dPr>
                    <m:e>
                      <m:sSub>
                        <m:e>
                          <m:r>
                            <m:rPr>
                              <m:sty m:val="i"/>
                            </m:rPr>
                            <w:rPr>
                              <w:rFonts w:ascii="Cambria Math" w:hAnsi="Cambria Math" w:eastAsia="Cambria Math" w:cs="Cambria Math"/>
                              <w:sz w:val="21"/>
                              <w:szCs w:val="21"/>
                            </w:rPr>
                            <m:t>y</m:t>
                          </m:r>
                        </m:e>
                        <m:sub>
                          <m:r>
                            <m:rPr>
                              <m:sty m:val="i"/>
                            </m:rPr>
                            <w:rPr>
                              <w:rFonts w:ascii="Cambria Math" w:hAnsi="Cambria Math" w:eastAsia="Cambria Math" w:cs="Cambria Math"/>
                              <w:sz w:val="21"/>
                              <w:szCs w:val="21"/>
                            </w:rPr>
                            <m:t>j</m:t>
                          </m:r>
                        </m:sub>
                      </m:sSub>
                      <m:r>
                        <m:rPr>
                          <m:sty m:val="p"/>
                        </m:rPr>
                        <w:rPr>
                          <w:rFonts w:ascii="Cambria Math" w:hAnsi="Cambria Math" w:eastAsia="Cambria Math" w:cs="Cambria Math"/>
                          <w:sz w:val="21"/>
                          <w:szCs w:val="21"/>
                        </w:rPr>
                        <m:t>, </m:t>
                      </m:r>
                      <m:sSub>
                        <m:e>
                          <m:acc>
                            <m:accPr>
                              <m:chr m:val="̂"/>
                            </m:accPr>
                            <m:e>
                              <m:r>
                                <m:rPr>
                                  <m:sty m:val="i"/>
                                </m:rPr>
                                <w:rPr>
                                  <w:rFonts w:ascii="Cambria Math" w:hAnsi="Cambria Math" w:eastAsia="Cambria Math" w:cs="Cambria Math"/>
                                  <w:sz w:val="21"/>
                                  <w:szCs w:val="21"/>
                                </w:rPr>
                                <m:t>f</m:t>
                              </m:r>
                            </m:e>
                          </m:acc>
                        </m:e>
                        <m:sub>
                          <m:r>
                            <m:rPr>
                              <m:sty m:val="i"/>
                            </m:rPr>
                            <w:rPr>
                              <w:rFonts w:ascii="Cambria Math" w:hAnsi="Cambria Math" w:eastAsia="Cambria Math" w:cs="Cambria Math"/>
                              <w:sz w:val="21"/>
                              <w:szCs w:val="21"/>
                            </w:rPr>
                            <m:t>j</m:t>
                          </m:r>
                        </m:sub>
                      </m:sSub>
                      <m:d>
                        <m:dPr>
                          <m:begChr m:val="("/>
                          <m:endChr m:val=")"/>
                        </m:dPr>
                        <m:e>
                          <m:sSub>
                            <m:e>
                              <m:r>
                                <m:rPr>
                                  <m:sty m:val="i"/>
                                </m:rPr>
                                <w:rPr>
                                  <w:rFonts w:ascii="Cambria Math" w:hAnsi="Cambria Math" w:eastAsia="Cambria Math" w:cs="Cambria Math"/>
                                  <w:sz w:val="21"/>
                                  <w:szCs w:val="21"/>
                                </w:rPr>
                                <m:t>X</m:t>
                              </m:r>
                            </m:e>
                            <m:sub>
                              <m:r>
                                <m:rPr>
                                  <m:sty m:val="p"/>
                                </m:rPr>
                                <w:rPr>
                                  <w:rFonts w:ascii="Cambria Math" w:hAnsi="Cambria Math" w:eastAsia="Cambria Math" w:cs="Cambria Math"/>
                                  <w:sz w:val="21"/>
                                  <w:szCs w:val="21"/>
                                </w:rPr>
                                <m:t>−</m:t>
                              </m:r>
                              <m:r>
                                <m:rPr>
                                  <m:sty m:val="i"/>
                                </m:rPr>
                                <w:rPr>
                                  <w:rFonts w:ascii="Cambria Math" w:hAnsi="Cambria Math" w:eastAsia="Cambria Math" w:cs="Cambria Math"/>
                                  <w:sz w:val="21"/>
                                  <w:szCs w:val="21"/>
                                </w:rPr>
                                <m:t>k</m:t>
                              </m:r>
                            </m:sub>
                          </m:sSub>
                          <m:r>
                            <m:rPr>
                              <m:sty m:val="p"/>
                            </m:rPr>
                            <w:rPr>
                              <w:rFonts w:ascii="Cambria Math" w:hAnsi="Cambria Math" w:eastAsia="Cambria Math" w:cs="Cambria Math"/>
                              <w:sz w:val="21"/>
                              <w:szCs w:val="21"/>
                            </w:rPr>
                            <m:t>, </m:t>
                          </m:r>
                          <m:sSub>
                            <m:e>
                              <m:acc>
                                <m:accPr>
                                  <m:chr m:val="̃"/>
                                </m:accPr>
                                <m:e>
                                  <m:r>
                                    <m:rPr>
                                      <m:sty m:val="i"/>
                                    </m:rPr>
                                    <w:rPr>
                                      <w:rFonts w:ascii="Cambria Math" w:hAnsi="Cambria Math" w:eastAsia="Cambria Math" w:cs="Cambria Math"/>
                                      <w:sz w:val="21"/>
                                      <w:szCs w:val="21"/>
                                    </w:rPr>
                                    <m:t>x</m:t>
                                  </m:r>
                                </m:e>
                              </m:acc>
                            </m:e>
                            <m:sub>
                              <m:r>
                                <m:rPr>
                                  <m:sty m:val="i"/>
                                </m:rPr>
                                <w:rPr>
                                  <w:rFonts w:ascii="Cambria Math" w:hAnsi="Cambria Math" w:eastAsia="Cambria Math" w:cs="Cambria Math"/>
                                  <w:sz w:val="21"/>
                                  <w:szCs w:val="21"/>
                                </w:rPr>
                                <m:t>k</m:t>
                              </m:r>
                            </m:sub>
                          </m:sSub>
                        </m:e>
                      </m:d>
                    </m:e>
                  </m:d>
                </m:e>
              </m:func>
              <m:r>
                <m:rPr>
                  <m:sty m:val="p"/>
                </m:rPr>
                <w:rPr>
                  <w:rFonts w:ascii="Cambria Math" w:hAnsi="Cambria Math" w:eastAsia="Cambria Math" w:cs="Cambria Math"/>
                  <w:sz w:val="21"/>
                  <w:szCs w:val="21"/>
                </w:rPr>
                <m:t> − </m:t>
              </m:r>
              <m:func>
                <m:fName>
                  <m:r>
                    <m:rPr>
                      <m:sty m:val="p"/>
                    </m:rPr>
                    <w:rPr>
                      <w:rFonts w:ascii="Cambria Math" w:hAnsi="Cambria Math" w:eastAsia="Cambria Math" w:cs="Cambria Math"/>
                      <w:sz w:val="21"/>
                      <w:szCs w:val="21"/>
                    </w:rPr>
                    <m:t>MAE</m:t>
                  </m:r>
                </m:fName>
                <m:e>
                  <m:d>
                    <m:dPr>
                      <m:begChr m:val="("/>
                      <m:endChr m:val=")"/>
                    </m:dPr>
                    <m:e>
                      <m:sSub>
                        <m:e>
                          <m:r>
                            <m:rPr>
                              <m:sty m:val="i"/>
                            </m:rPr>
                            <w:rPr>
                              <w:rFonts w:ascii="Cambria Math" w:hAnsi="Cambria Math" w:eastAsia="Cambria Math" w:cs="Cambria Math"/>
                              <w:sz w:val="21"/>
                              <w:szCs w:val="21"/>
                            </w:rPr>
                            <m:t>y</m:t>
                          </m:r>
                        </m:e>
                        <m:sub>
                          <m:r>
                            <m:rPr>
                              <m:sty m:val="i"/>
                            </m:rPr>
                            <w:rPr>
                              <w:rFonts w:ascii="Cambria Math" w:hAnsi="Cambria Math" w:eastAsia="Cambria Math" w:cs="Cambria Math"/>
                              <w:sz w:val="21"/>
                              <w:szCs w:val="21"/>
                            </w:rPr>
                            <m:t>j</m:t>
                          </m:r>
                        </m:sub>
                      </m:sSub>
                      <m:r>
                        <m:rPr>
                          <m:sty m:val="p"/>
                        </m:rPr>
                        <w:rPr>
                          <w:rFonts w:ascii="Cambria Math" w:hAnsi="Cambria Math" w:eastAsia="Cambria Math" w:cs="Cambria Math"/>
                          <w:sz w:val="21"/>
                          <w:szCs w:val="21"/>
                        </w:rPr>
                        <m:t>, </m:t>
                      </m:r>
                      <m:sSub>
                        <m:e>
                          <m:acc>
                            <m:accPr>
                              <m:chr m:val="̂"/>
                            </m:accPr>
                            <m:e>
                              <m:r>
                                <m:rPr>
                                  <m:sty m:val="i"/>
                                </m:rPr>
                                <w:rPr>
                                  <w:rFonts w:ascii="Cambria Math" w:hAnsi="Cambria Math" w:eastAsia="Cambria Math" w:cs="Cambria Math"/>
                                  <w:sz w:val="21"/>
                                  <w:szCs w:val="21"/>
                                </w:rPr>
                                <m:t>f</m:t>
                              </m:r>
                            </m:e>
                          </m:acc>
                        </m:e>
                        <m:sub>
                          <m:r>
                            <m:rPr>
                              <m:sty m:val="i"/>
                            </m:rPr>
                            <w:rPr>
                              <w:rFonts w:ascii="Cambria Math" w:hAnsi="Cambria Math" w:eastAsia="Cambria Math" w:cs="Cambria Math"/>
                              <w:sz w:val="21"/>
                              <w:szCs w:val="21"/>
                            </w:rPr>
                            <m:t>j</m:t>
                          </m:r>
                        </m:sub>
                      </m:sSub>
                      <m:d>
                        <m:dPr>
                          <m:begChr m:val="("/>
                          <m:endChr m:val=")"/>
                        </m:dPr>
                        <m:e>
                          <m:r>
                            <m:rPr>
                              <m:sty m:val="i"/>
                            </m:rPr>
                            <w:rPr>
                              <w:rFonts w:ascii="Cambria Math" w:hAnsi="Cambria Math" w:eastAsia="Cambria Math" w:cs="Cambria Math"/>
                              <w:sz w:val="21"/>
                              <w:szCs w:val="21"/>
                            </w:rPr>
                            <m:t>X</m:t>
                          </m:r>
                        </m:e>
                      </m:d>
                    </m:e>
                  </m:d>
                </m:e>
              </m:func>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(4)</w:t>
            </w:r>
          </w:p>
        </w:tc>
      </w:tr>
    </w:tbl>
    <w:p>
      <w:pPr>
        <w:pStyle w:val="BodyText"/>
        <w:spacing w:before="0" w:after="0" w:line="300" w:lineRule="auto"/>
        <w:ind w:firstLine="480" w:left="0"/>
        <w:jc w:val="both"/>
      </w:pPr>
      <w:r>
        <w:rPr>
          <w:rFonts w:hint="eastAsia" w:ascii="Times New Roman" w:hAnsi="Times New Roman" w:eastAsia="宋体"/>
          <w:i w:val="0"/>
          <w:color w:val="000000"/>
          <w:sz w:val="24"/>
        </w:rPr>
        <w:t>30个外层折的预测重建最大绝对误差为1.998×10⁻¹⁵。模块置换和模块内条件置换分别形成13,900条与327,000条折级汇总记录。两类误差增量只刻画冻结预测器对字段或模块的依赖，不直接等同于感官机理或因果效应。</w:t>
      </w:r>
    </w:p>
    <w:p>
      <w:pPr>
        <w:pStyle w:val="Heading3"/>
        <w:spacing w:before="120" w:after="120" w:line="300" w:lineRule="auto"/>
        <w:ind w:left="0" w:firstLine="0"/>
        <w:jc w:val="both"/>
      </w:pPr>
      <w:r>
        <w:rPr>
          <w:rFonts w:hint="eastAsia" w:ascii="Times New Roman" w:hAnsi="Times New Roman" w:eastAsia="黑体"/>
          <w:b/>
          <w:i w:val="0"/>
          <w:color w:val="000000"/>
          <w:sz w:val="24"/>
        </w:rPr>
        <w:t>四路稳健秩融合</w:t>
      </w:r>
    </w:p>
    <w:p>
      <w:pPr>
        <w:pStyle w:val="BodyText"/>
        <w:spacing w:before="0" w:after="0" w:line="300" w:lineRule="auto"/>
        <w:ind w:firstLine="480" w:left="0"/>
        <w:jc w:val="both"/>
      </w:pPr>
      <w:r>
        <w:rPr>
          <w:rFonts w:hint="eastAsia" w:ascii="Times New Roman" w:hAnsi="Times New Roman" w:eastAsia="宋体"/>
          <w:i w:val="0"/>
          <w:color w:val="000000"/>
          <w:sz w:val="24"/>
        </w:rPr>
        <w:t>三类基础方法先形成总关联共识，随后与分层自助稳定排名、风格校正排名、留一风格保留排名共同组成四路证据。对每个目标和候选，先比较四路Top-10与Top-3支持数，再计算式(5)的倒数秩分数；r_ℓkj表示候选k在第ℓ类证据中对目标j的名次。</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r>
                    <m:rPr>
                      <m:sty m:val="i"/>
                    </m:rPr>
                    <w:rPr>
                      <w:rFonts w:ascii="Cambria Math" w:hAnsi="Cambria Math" w:eastAsia="Cambria Math" w:cs="Cambria Math"/>
                      <w:sz w:val="21"/>
                      <w:szCs w:val="21"/>
                    </w:rPr>
                    <m:t>S</m:t>
                  </m:r>
                </m:e>
                <m:sub>
                  <m:r>
                    <m:rPr>
                      <m:sty m:val="i"/>
                    </m:rPr>
                    <w:rPr>
                      <w:rFonts w:ascii="Cambria Math" w:hAnsi="Cambria Math" w:eastAsia="Cambria Math" w:cs="Cambria Math"/>
                      <w:sz w:val="21"/>
                      <w:szCs w:val="21"/>
                    </w:rPr>
                    <m:t>kj</m:t>
                  </m:r>
                </m:sub>
              </m:sSub>
              <m:r>
                <m:rPr>
                  <m:sty m:val="p"/>
                </m:rPr>
                <w:rPr>
                  <w:rFonts w:ascii="Cambria Math" w:hAnsi="Cambria Math" w:eastAsia="Cambria Math" w:cs="Cambria Math"/>
                  <w:sz w:val="21"/>
                  <w:szCs w:val="21"/>
                </w:rPr>
                <m:t> = </m:t>
              </m:r>
              <m:nary>
                <m:naryPr>
                  <m:chr m:val="∑"/>
                  <m:limLoc m:val="undOvr"/>
                  <m:grow m:val="1"/>
                </m:naryPr>
                <m:sub>
                  <m:r>
                    <m:rPr>
                      <m:sty m:val="i"/>
                    </m:rPr>
                    <w:rPr>
                      <w:rFonts w:ascii="Cambria Math" w:hAnsi="Cambria Math" w:eastAsia="Cambria Math" w:cs="Cambria Math"/>
                      <w:sz w:val="21"/>
                      <w:szCs w:val="21"/>
                    </w:rPr>
                    <m:t>ℓ</m:t>
                  </m:r>
                  <m:r>
                    <m:rPr>
                      <m:sty m:val="p"/>
                    </m:rPr>
                    <w:rPr>
                      <w:rFonts w:ascii="Cambria Math" w:hAnsi="Cambria Math" w:eastAsia="Cambria Math" w:cs="Cambria Math"/>
                      <w:sz w:val="21"/>
                      <w:szCs w:val="21"/>
                    </w:rPr>
                    <m:t> = 1</m:t>
                  </m:r>
                </m:sub>
                <m:sup>
                  <m:r>
                    <m:rPr>
                      <m:sty m:val="p"/>
                    </m:rPr>
                    <w:rPr>
                      <w:rFonts w:ascii="Cambria Math" w:hAnsi="Cambria Math" w:eastAsia="Cambria Math" w:cs="Cambria Math"/>
                      <w:sz w:val="21"/>
                      <w:szCs w:val="21"/>
                    </w:rPr>
                    <m:t>4</m:t>
                  </m:r>
                </m:sup>
                <m:e>
                  <m:f>
                    <m:num>
                      <m:r>
                        <m:rPr>
                          <m:sty m:val="p"/>
                        </m:rPr>
                        <w:rPr>
                          <w:rFonts w:ascii="Cambria Math" w:hAnsi="Cambria Math" w:eastAsia="Cambria Math" w:cs="Cambria Math"/>
                          <w:sz w:val="21"/>
                          <w:szCs w:val="21"/>
                        </w:rPr>
                        <m:t>1</m:t>
                      </m:r>
                    </m:num>
                    <m:den>
                      <m:r>
                        <m:rPr>
                          <m:sty m:val="p"/>
                        </m:rPr>
                        <w:rPr>
                          <w:rFonts w:ascii="Cambria Math" w:hAnsi="Cambria Math" w:eastAsia="Cambria Math" w:cs="Cambria Math"/>
                          <w:sz w:val="21"/>
                          <w:szCs w:val="21"/>
                        </w:rPr>
                        <m:t>60 + </m:t>
                      </m:r>
                      <m:sSub>
                        <m:e>
                          <m:r>
                            <m:rPr>
                              <m:sty m:val="i"/>
                            </m:rPr>
                            <w:rPr>
                              <w:rFonts w:ascii="Cambria Math" w:hAnsi="Cambria Math" w:eastAsia="Cambria Math" w:cs="Cambria Math"/>
                              <w:sz w:val="21"/>
                              <w:szCs w:val="21"/>
                            </w:rPr>
                            <m:t>r</m:t>
                          </m:r>
                        </m:e>
                        <m:sub>
                          <m:r>
                            <m:rPr>
                              <m:sty m:val="i"/>
                            </m:rPr>
                            <w:rPr>
                              <w:rFonts w:ascii="Cambria Math" w:hAnsi="Cambria Math" w:eastAsia="Cambria Math" w:cs="Cambria Math"/>
                              <w:sz w:val="21"/>
                              <w:szCs w:val="21"/>
                            </w:rPr>
                            <m:t>ℓkj</m:t>
                          </m:r>
                        </m:sub>
                      </m:sSub>
                    </m:den>
                  </m:f>
                </m:e>
              </m:nary>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(5)</w:t>
            </w:r>
          </w:p>
        </w:tc>
      </w:tr>
    </w:tbl>
    <w:p>
      <w:pPr>
        <w:pStyle w:val="BodyText"/>
        <w:spacing w:before="0" w:after="0" w:line="300" w:lineRule="auto"/>
        <w:ind w:firstLine="480" w:left="0"/>
        <w:jc w:val="both"/>
      </w:pPr>
      <w:r>
        <w:rPr>
          <w:rFonts w:hint="eastAsia" w:ascii="Times New Roman" w:hAnsi="Times New Roman" w:eastAsia="宋体"/>
          <w:i w:val="0"/>
          <w:color w:val="000000"/>
          <w:sz w:val="24"/>
        </w:rPr>
        <w:t>稳定性检验在22种啤酒风格内保持样本数进行500次有放回抽样。每次重新完成预处理、候选排序和方法融合，候选的入选频率按式(6)计算。与此同时，逐一删除22种风格并重算排名，以检验某一风格是否主导关系。</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r>
                    <m:rPr>
                      <m:sty m:val="i"/>
                    </m:rPr>
                    <w:rPr>
                      <w:rFonts w:ascii="Cambria Math" w:hAnsi="Cambria Math" w:eastAsia="Cambria Math" w:cs="Cambria Math"/>
                      <w:sz w:val="21"/>
                      <w:szCs w:val="21"/>
                    </w:rPr>
                    <m:t>π</m:t>
                  </m:r>
                </m:e>
                <m:sub>
                  <m:r>
                    <m:rPr>
                      <m:sty m:val="i"/>
                    </m:rPr>
                    <w:rPr>
                      <w:rFonts w:ascii="Cambria Math" w:hAnsi="Cambria Math" w:eastAsia="Cambria Math" w:cs="Cambria Math"/>
                      <w:sz w:val="21"/>
                      <w:szCs w:val="21"/>
                    </w:rPr>
                    <m:t>kj</m:t>
                  </m:r>
                </m:sub>
              </m:sSub>
              <m:r>
                <m:rPr>
                  <m:sty m:val="p"/>
                </m:rPr>
                <w:rPr>
                  <w:rFonts w:ascii="Cambria Math" w:hAnsi="Cambria Math" w:eastAsia="Cambria Math" w:cs="Cambria Math"/>
                  <w:sz w:val="21"/>
                  <w:szCs w:val="21"/>
                </w:rPr>
                <m:t> = </m:t>
              </m:r>
              <m:f>
                <m:num>
                  <m:r>
                    <m:rPr>
                      <m:sty m:val="p"/>
                    </m:rPr>
                    <w:rPr>
                      <w:rFonts w:ascii="Cambria Math" w:hAnsi="Cambria Math" w:eastAsia="Cambria Math" w:cs="Cambria Math"/>
                      <w:sz w:val="21"/>
                      <w:szCs w:val="21"/>
                    </w:rPr>
                    <m:t>1</m:t>
                  </m:r>
                </m:num>
                <m:den>
                  <m:r>
                    <m:rPr>
                      <m:sty m:val="i"/>
                    </m:rPr>
                    <w:rPr>
                      <w:rFonts w:ascii="Cambria Math" w:hAnsi="Cambria Math" w:eastAsia="Cambria Math" w:cs="Cambria Math"/>
                      <w:sz w:val="21"/>
                      <w:szCs w:val="21"/>
                    </w:rPr>
                    <m:t>B</m:t>
                  </m:r>
                </m:den>
              </m:f>
              <m:nary>
                <m:naryPr>
                  <m:chr m:val="∑"/>
                  <m:limLoc m:val="undOvr"/>
                  <m:grow m:val="1"/>
                </m:naryPr>
                <m:sub>
                  <m:r>
                    <m:rPr>
                      <m:sty m:val="i"/>
                    </m:rPr>
                    <w:rPr>
                      <w:rFonts w:ascii="Cambria Math" w:hAnsi="Cambria Math" w:eastAsia="Cambria Math" w:cs="Cambria Math"/>
                      <w:sz w:val="21"/>
                      <w:szCs w:val="21"/>
                    </w:rPr>
                    <m:t>b</m:t>
                  </m:r>
                  <m:r>
                    <m:rPr>
                      <m:sty m:val="p"/>
                    </m:rPr>
                    <w:rPr>
                      <w:rFonts w:ascii="Cambria Math" w:hAnsi="Cambria Math" w:eastAsia="Cambria Math" w:cs="Cambria Math"/>
                      <w:sz w:val="21"/>
                      <w:szCs w:val="21"/>
                    </w:rPr>
                    <m:t> = 1</m:t>
                  </m:r>
                </m:sub>
                <m:sup>
                  <m:r>
                    <m:rPr>
                      <m:sty m:val="i"/>
                    </m:rPr>
                    <w:rPr>
                      <w:rFonts w:ascii="Cambria Math" w:hAnsi="Cambria Math" w:eastAsia="Cambria Math" w:cs="Cambria Math"/>
                      <w:sz w:val="21"/>
                      <w:szCs w:val="21"/>
                    </w:rPr>
                    <m:t>B</m:t>
                  </m:r>
                </m:sup>
                <m:e>
                  <m:r>
                    <m:rPr>
                      <m:sty m:val="p"/>
                    </m:rPr>
                    <w:rPr>
                      <w:rFonts w:ascii="Cambria Math" w:hAnsi="Cambria Math" w:eastAsia="Cambria Math" w:cs="Cambria Math"/>
                      <w:sz w:val="21"/>
                      <w:szCs w:val="21"/>
                    </w:rPr>
                    <m:t>I</m:t>
                  </m:r>
                  <m:d>
                    <m:dPr>
                      <m:begChr m:val="("/>
                      <m:endChr m:val=")"/>
                    </m:dPr>
                    <m:e>
                      <m:r>
                        <m:rPr>
                          <m:sty m:val="i"/>
                        </m:rPr>
                        <w:rPr>
                          <w:rFonts w:ascii="Cambria Math" w:hAnsi="Cambria Math" w:eastAsia="Cambria Math" w:cs="Cambria Math"/>
                          <w:sz w:val="21"/>
                          <w:szCs w:val="21"/>
                        </w:rPr>
                        <m:t>k</m:t>
                      </m:r>
                      <m:r>
                        <m:rPr>
                          <m:sty m:val="p"/>
                        </m:rPr>
                        <w:rPr>
                          <w:rFonts w:ascii="Cambria Math" w:hAnsi="Cambria Math" w:eastAsia="Cambria Math" w:cs="Cambria Math"/>
                          <w:sz w:val="21"/>
                          <w:szCs w:val="21"/>
                        </w:rPr>
                        <m:t> ∈ </m:t>
                      </m:r>
                      <m:sSubSup>
                        <m:e>
                          <m:r>
                            <m:rPr>
                              <m:sty m:val="i"/>
                            </m:rPr>
                            <w:rPr>
                              <w:rFonts w:ascii="Cambria Math" w:hAnsi="Cambria Math" w:eastAsia="Cambria Math" w:cs="Cambria Math"/>
                              <w:sz w:val="21"/>
                              <w:szCs w:val="21"/>
                            </w:rPr>
                            <m:t>T</m:t>
                          </m:r>
                        </m:e>
                        <m:sub>
                          <m:r>
                            <m:rPr>
                              <m:sty m:val="i"/>
                            </m:rPr>
                            <w:rPr>
                              <w:rFonts w:ascii="Cambria Math" w:hAnsi="Cambria Math" w:eastAsia="Cambria Math" w:cs="Cambria Math"/>
                              <w:sz w:val="21"/>
                              <w:szCs w:val="21"/>
                            </w:rPr>
                            <m:t>b</m:t>
                          </m:r>
                        </m:sub>
                        <m:sup>
                          <m:r>
                            <m:rPr>
                              <m:sty m:val="i"/>
                            </m:rPr>
                            <w:rPr>
                              <w:rFonts w:ascii="Cambria Math" w:hAnsi="Cambria Math" w:eastAsia="Cambria Math" w:cs="Cambria Math"/>
                              <w:sz w:val="21"/>
                              <w:szCs w:val="21"/>
                            </w:rPr>
                            <m:t>j</m:t>
                          </m:r>
                        </m:sup>
                      </m:sSubSup>
                    </m:e>
                  </m:d>
                </m:e>
              </m:nary>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(6)</w:t>
            </w:r>
          </w:p>
        </w:tc>
      </w:tr>
    </w:tbl>
    <w:p>
      <w:pPr>
        <w:pStyle w:val="Heading3"/>
        <w:spacing w:before="120" w:after="120" w:line="300" w:lineRule="auto"/>
        <w:ind w:left="0" w:firstLine="0"/>
        <w:jc w:val="both"/>
      </w:pPr>
      <w:r>
        <w:rPr>
          <w:rFonts w:hint="eastAsia" w:ascii="Times New Roman" w:hAnsi="Times New Roman" w:eastAsia="黑体"/>
          <w:b/>
          <w:i w:val="0"/>
          <w:color w:val="000000"/>
          <w:sz w:val="24"/>
        </w:rPr>
        <w:t>化学合理性与证据分级</w:t>
      </w:r>
    </w:p>
    <w:p>
      <w:pPr>
        <w:pStyle w:val="BodyText"/>
        <w:spacing w:before="0" w:after="0" w:line="300" w:lineRule="auto"/>
        <w:ind w:firstLine="480" w:left="0"/>
        <w:jc w:val="both"/>
      </w:pPr>
      <w:r>
        <w:rPr>
          <w:rFonts w:hint="eastAsia" w:ascii="Times New Roman" w:hAnsi="Times New Roman" w:eastAsia="宋体"/>
          <w:i w:val="0"/>
          <w:color w:val="000000"/>
          <w:sz w:val="24"/>
        </w:rPr>
        <w:t>统计Top-3冻结后，才依据同名锚点、描述词特异性、附件来源/老化/异味注释及同行评议文献进行化学核验。仅当附件8同时提供原始校准浓度c_k和同字段、同单位感知阈值τ_k时，才按式(7)计算气味活性值。附件1中的log10数值不直接除以阈值。</w:t>
      </w:r>
    </w:p>
    <w:tbl>
      <w:tblPr>
        <w:tblW w:type="pct" w:w="5000"/>
        <w:jc w:val="center"/>
        <w:tblBorders>
          <w:top w:val="none"/>
          <w:left w:val="none"/>
          <w:bottom w:val="none"/>
          <w:right w:val="none"/>
          <w:insideH w:val="none"/>
          <w:insideV w:val="none"/>
        </w:tblBorders>
        <w:tblLayout w:type="autofit"/>
        <w:tblLook w:firstColumn="1" w:firstRow="1" w:lastColumn="0" w:lastRow="0" w:noHBand="0" w:noVBand="1" w:val="04A0"/>
      </w:tblPr>
      <w:tblGrid>
        <w:gridCol w:w="578"/>
        <w:gridCol w:w="7483"/>
        <w:gridCol w:w="578"/>
      </w:tblGrid>
      <w:tr>
        <w:trPr>
          <w:cantSplit/>
        </w:trPr>
        <w:tc>
          <w:tcPr>
            <w:tcW w:type="dxa" w:w="578"/>
            <w:tcMar>
              <w:top w:w="30" w:type="dxa"/>
              <w:start w:w="0" w:type="dxa"/>
              <w:bottom w:w="30" w:type="dxa"/>
              <w:end w:w="0" w:type="dxa"/>
            </w:tcMar>
            <w:vAlign w:val="center"/>
          </w:tcPr>
          <w:p>
            <w:pPr>
              <w:keepLines/>
              <w:spacing w:before="40" w:after="40"/>
              <w:ind w:firstLine="0"/>
            </w:pPr>
          </w:p>
        </w:tc>
        <w:tc>
          <w:tcPr>
            <w:tcW w:type="dxa" w:w="7483"/>
            <w:tcMar>
              <w:top w:w="30" w:type="dxa"/>
              <w:start w:w="0" w:type="dxa"/>
              <w:bottom w:w="30" w:type="dxa"/>
              <w:end w:w="0" w:type="dxa"/>
            </w:tcMar>
            <w:vAlign w:val="center"/>
          </w:tcPr>
          <w:p>
            <w:pPr>
              <w:keepLines/>
              <w:spacing w:before="40" w:after="40"/>
              <w:ind w:firstLine="0"/>
              <w:jc w:val="center"/>
            </w:pPr>
            <m:oMath>
              <m:sSub>
                <m:e>
                  <m:r>
                    <m:rPr>
                      <m:sty m:val="p"/>
                    </m:rPr>
                    <w:rPr>
                      <w:rFonts w:ascii="Cambria Math" w:hAnsi="Cambria Math" w:eastAsia="Cambria Math" w:cs="Cambria Math"/>
                      <w:sz w:val="21"/>
                      <w:szCs w:val="21"/>
                    </w:rPr>
                    <m:t>OAV</m:t>
                  </m:r>
                </m:e>
                <m:sub>
                  <m:r>
                    <m:rPr>
                      <m:sty m:val="i"/>
                    </m:rPr>
                    <w:rPr>
                      <w:rFonts w:ascii="Cambria Math" w:hAnsi="Cambria Math" w:eastAsia="Cambria Math" w:cs="Cambria Math"/>
                      <w:sz w:val="21"/>
                      <w:szCs w:val="21"/>
                    </w:rPr>
                    <m:t>k</m:t>
                  </m:r>
                </m:sub>
              </m:sSub>
              <m:r>
                <m:rPr>
                  <m:sty m:val="p"/>
                </m:rPr>
                <w:rPr>
                  <w:rFonts w:ascii="Cambria Math" w:hAnsi="Cambria Math" w:eastAsia="Cambria Math" w:cs="Cambria Math"/>
                  <w:sz w:val="21"/>
                  <w:szCs w:val="21"/>
                </w:rPr>
                <m:t> = </m:t>
              </m:r>
              <m:f>
                <m:num>
                  <m:sSub>
                    <m:e>
                      <m:r>
                        <m:rPr>
                          <m:sty m:val="i"/>
                        </m:rPr>
                        <w:rPr>
                          <w:rFonts w:ascii="Cambria Math" w:hAnsi="Cambria Math" w:eastAsia="Cambria Math" w:cs="Cambria Math"/>
                          <w:sz w:val="21"/>
                          <w:szCs w:val="21"/>
                        </w:rPr>
                        <m:t>c</m:t>
                      </m:r>
                    </m:e>
                    <m:sub>
                      <m:r>
                        <m:rPr>
                          <m:sty m:val="i"/>
                        </m:rPr>
                        <w:rPr>
                          <w:rFonts w:ascii="Cambria Math" w:hAnsi="Cambria Math" w:eastAsia="Cambria Math" w:cs="Cambria Math"/>
                          <w:sz w:val="21"/>
                          <w:szCs w:val="21"/>
                        </w:rPr>
                        <m:t>k</m:t>
                      </m:r>
                    </m:sub>
                  </m:sSub>
                </m:num>
                <m:den>
                  <m:sSub>
                    <m:e>
                      <m:r>
                        <m:rPr>
                          <m:sty m:val="i"/>
                        </m:rPr>
                        <w:rPr>
                          <w:rFonts w:ascii="Cambria Math" w:hAnsi="Cambria Math" w:eastAsia="Cambria Math" w:cs="Cambria Math"/>
                          <w:sz w:val="21"/>
                          <w:szCs w:val="21"/>
                        </w:rPr>
                        <m:t>τ</m:t>
                      </m:r>
                    </m:e>
                    <m:sub>
                      <m:r>
                        <m:rPr>
                          <m:sty m:val="i"/>
                        </m:rPr>
                        <w:rPr>
                          <w:rFonts w:ascii="Cambria Math" w:hAnsi="Cambria Math" w:eastAsia="Cambria Math" w:cs="Cambria Math"/>
                          <w:sz w:val="21"/>
                          <w:szCs w:val="21"/>
                        </w:rPr>
                        <m:t>k</m:t>
                      </m:r>
                    </m:sub>
                  </m:sSub>
                </m:den>
              </m:f>
              <m:r>
                <m:rPr>
                  <m:sty m:val="p"/>
                </m:rPr>
                <w:rPr>
                  <w:rFonts w:ascii="Cambria Math" w:hAnsi="Cambria Math" w:eastAsia="Cambria Math" w:cs="Cambria Math"/>
                  <w:sz w:val="21"/>
                  <w:szCs w:val="21"/>
                </w:rPr>
                <m:t>,   </m:t>
              </m:r>
              <m:sSub>
                <m:e>
                  <m:r>
                    <m:rPr>
                      <m:sty m:val="i"/>
                    </m:rPr>
                    <w:rPr>
                      <w:rFonts w:ascii="Cambria Math" w:hAnsi="Cambria Math" w:eastAsia="Cambria Math" w:cs="Cambria Math"/>
                      <w:sz w:val="21"/>
                      <w:szCs w:val="21"/>
                    </w:rPr>
                    <m:t>τ</m:t>
                  </m:r>
                </m:e>
                <m:sub>
                  <m:r>
                    <m:rPr>
                      <m:sty m:val="i"/>
                    </m:rPr>
                    <w:rPr>
                      <w:rFonts w:ascii="Cambria Math" w:hAnsi="Cambria Math" w:eastAsia="Cambria Math" w:cs="Cambria Math"/>
                      <w:sz w:val="21"/>
                      <w:szCs w:val="21"/>
                    </w:rPr>
                    <m:t>k</m:t>
                  </m:r>
                </m:sub>
              </m:sSub>
              <m:r>
                <m:rPr>
                  <m:sty m:val="p"/>
                </m:rPr>
                <w:rPr>
                  <w:rFonts w:ascii="Cambria Math" w:hAnsi="Cambria Math" w:eastAsia="Cambria Math" w:cs="Cambria Math"/>
                  <w:sz w:val="21"/>
                  <w:szCs w:val="21"/>
                </w:rPr>
                <m:t> &gt; 0</m:t>
              </m:r>
            </m:oMath>
          </w:p>
        </w:tc>
        <w:tc>
          <w:tcPr>
            <w:tcW w:type="dxa" w:w="578"/>
            <w:tcMar>
              <w:top w:w="30" w:type="dxa"/>
              <w:start w:w="0" w:type="dxa"/>
              <w:bottom w:w="30" w:type="dxa"/>
              <w:end w:w="0" w:type="dxa"/>
            </w:tcMar>
            <w:vAlign w:val="center"/>
          </w:tcPr>
          <w:p>
            <w:pPr>
              <w:keepLines/>
              <w:spacing w:before="40" w:after="40"/>
              <w:ind w:firstLine="0"/>
              <w:jc w:val="right"/>
            </w:pPr>
            <w:r>
              <w:rPr>
                <w:rFonts w:ascii="Times New Roman" w:hAnsi="Times New Roman" w:eastAsia="宋体"/>
                <w:sz w:val="21"/>
              </w:rPr>
              <w:t>(7)</w:t>
            </w:r>
          </w:p>
        </w:tc>
      </w:tr>
    </w:tbl>
    <w:p>
      <w:pPr>
        <w:pStyle w:val="BodyText"/>
        <w:spacing w:before="0" w:after="0" w:line="300" w:lineRule="auto"/>
        <w:ind w:firstLine="480" w:left="0"/>
        <w:jc w:val="both"/>
      </w:pPr>
      <w:r>
        <w:rPr>
          <w:rFonts w:hint="eastAsia" w:ascii="Times New Roman" w:hAnsi="Times New Roman" w:eastAsia="宋体"/>
          <w:i w:val="0"/>
          <w:color w:val="000000"/>
          <w:sz w:val="24"/>
        </w:rPr>
        <w:t>A级表示统计关系较稳健且有直接身份或特异描述词证据；B级表示统计与化学类别证据较完整；C级至少有一侧证据但特异性不足；D级为弱预测背景或缺少特异化学支持。OAV达到1仅说明单体浓度达到阈值量级，不排除混合物协同、掩蔽、基质与个体差异。</w:t>
      </w:r>
    </w:p>
    <w:p>
      <w:pPr>
        <w:pStyle w:val="Heading2"/>
        <w:spacing w:before="140" w:after="140" w:line="300" w:lineRule="auto"/>
        <w:ind w:left="0" w:firstLine="0"/>
        <w:jc w:val="both"/>
      </w:pPr>
      <w:r>
        <w:rPr>
          <w:rFonts w:hint="eastAsia" w:ascii="Times New Roman" w:hAnsi="Times New Roman" w:eastAsia="黑体"/>
          <w:b/>
          <w:i w:val="0"/>
          <w:color w:val="000000"/>
          <w:sz w:val="28"/>
        </w:rPr>
        <w:t>问题二求解</w:t>
      </w:r>
    </w:p>
    <w:p>
      <w:pPr>
        <w:pStyle w:val="Heading3"/>
        <w:spacing w:before="120" w:after="120" w:line="300" w:lineRule="auto"/>
        <w:ind w:left="0" w:firstLine="0"/>
        <w:jc w:val="both"/>
      </w:pPr>
      <w:r>
        <w:rPr>
          <w:rFonts w:hint="eastAsia" w:ascii="Times New Roman" w:hAnsi="Times New Roman" w:eastAsia="黑体"/>
          <w:b/>
          <w:i w:val="0"/>
          <w:color w:val="000000"/>
          <w:sz w:val="24"/>
        </w:rPr>
        <w:t>交叉验证与模型比较</w:t>
      </w:r>
    </w:p>
    <w:p>
      <w:pPr>
        <w:pStyle w:val="BodyText"/>
        <w:spacing w:before="0" w:after="0" w:line="300" w:lineRule="auto"/>
        <w:ind w:firstLine="480" w:left="0"/>
        <w:jc w:val="both"/>
      </w:pPr>
      <w:r>
        <w:rPr>
          <w:rFonts w:hint="eastAsia" w:ascii="Times New Roman" w:hAnsi="Times New Roman" w:eastAsia="宋体"/>
          <w:i w:val="0"/>
          <w:color w:val="000000"/>
          <w:sz w:val="24"/>
        </w:rPr>
        <w:t>所有监督模型复用问题一冻结的10次重复、每次3折外层划分；每个重复中250款啤酒各作为一次验证样本。参数、缺失填补、图结构、风格均值和条件分组均只由外层训练折估计。表2报告六种候选方法及最终感官模型的重复宏平均结果。图1突出相关阈值变化对正负边和网络连通结构的影响；图2分开呈现候选模型性能与正式Top-3对四路证据的一致性。</w:t>
      </w:r>
    </w:p>
    <w:p>
      <w:pPr>
        <w:pStyle w:val="BodyText"/>
        <w:keepNext/>
        <w:spacing w:before="60" w:after="40"/>
        <w:ind w:firstLine="0"/>
        <w:jc w:val="center"/>
      </w:pPr>
      <w:r>
        <w:rPr>
          <w:rFonts w:ascii="Times New Roman" w:hAnsi="Times New Roman" w:eastAsia="宋体"/>
          <w:sz w:val="21"/>
        </w:rPr>
        <w:t>表2 相同外层划分下的候选模型与最终感官模型性能</w:t>
      </w:r>
    </w:p>
    <w:tbl>
      <w:tblPr>
        <w:tblW w:type="auto" w:w="0"/>
        <w:jc w:val="center"/>
        <w:tblLayout w:type="fixed"/>
        <w:tblLook w:firstColumn="1" w:firstRow="1" w:lastColumn="0" w:lastRow="0" w:noHBand="0" w:noVBand="1" w:val="04A0"/>
      </w:tblPr>
      <w:tblGrid>
        <w:gridCol w:w="2154"/>
        <w:gridCol w:w="1871"/>
        <w:gridCol w:w="1871"/>
        <w:gridCol w:w="1417"/>
        <w:gridCol w:w="1531"/>
      </w:tblGrid>
      <w:tr>
        <w:trPr>
          <w:cantSplit/>
          <w:trHeight w:hRule="atLeast"/>
          <w:tblHeader/>
        </w:trPr>
        <w:tc>
          <w:tcPr>
            <w:tcW w:type="dxa" w:w="215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方法</w:t>
            </w:r>
          </w:p>
        </w:tc>
        <w:tc>
          <w:tcPr>
            <w:tcW w:type="dxa" w:w="187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R²（均值±SD）</w:t>
            </w:r>
          </w:p>
        </w:tc>
        <w:tc>
          <w:tcPr>
            <w:tcW w:type="dxa" w:w="187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MAE（均值±SD）</w:t>
            </w:r>
          </w:p>
        </w:tc>
        <w:tc>
          <w:tcPr>
            <w:tcW w:type="dxa" w:w="1417"/>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RMSE</w:t>
            </w:r>
          </w:p>
        </w:tc>
        <w:tc>
          <w:tcPr>
            <w:tcW w:type="dxa" w:w="153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Spearman</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全局均值</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-0.0081±0.0024</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0.4173±0.0005</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0.5690</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-0.0576</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Spearman Top-3</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0.1064±0.0043</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0.3843±0.0010</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0.5273</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0.2969</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PLS/VIP</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0.2089±0.0069</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0.3556±0.0015</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0.4890</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0.4023</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ElasticNet</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0.2086±0.0046</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0.3529±0.0012</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0.4903</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0.3917</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有符号图ElasticNet</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0.2084±0.0047</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0.3530±0.0013</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0.4905</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0.3919</w:t>
            </w:r>
          </w:p>
        </w:tc>
      </w:tr>
      <w:tr>
        <w:trPr>
          <w:cantSplit/>
          <w:trHeight w:hRule="atLeast"/>
        </w:trPr>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ExtraTrees条件归因</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0.2359±0.0058</w:t>
            </w:r>
          </w:p>
        </w:tc>
        <w:tc>
          <w:tcPr>
            <w:tcW w:type="dxa" w:w="187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0.3422±0.0011</w:t>
            </w:r>
          </w:p>
        </w:tc>
        <w:tc>
          <w:tcPr>
            <w:tcW w:type="dxa" w:w="141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0.4794</w:t>
            </w:r>
          </w:p>
        </w:tc>
        <w:tc>
          <w:tcPr>
            <w:tcW w:type="dxa" w:w="153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0.4144</w:t>
            </w:r>
          </w:p>
        </w:tc>
      </w:tr>
      <w:tr>
        <w:trPr>
          <w:cantSplit/>
          <w:trHeight w:hRule="atLeast"/>
        </w:trPr>
        <w:tc>
          <w:tcPr>
            <w:tcW w:type="dxa" w:w="215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感官组收缩NNLS</w:t>
            </w:r>
          </w:p>
        </w:tc>
        <w:tc>
          <w:tcPr>
            <w:tcW w:type="dxa" w:w="187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0.2564±0.0070</w:t>
            </w:r>
          </w:p>
        </w:tc>
        <w:tc>
          <w:tcPr>
            <w:tcW w:type="dxa" w:w="187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0.3361±0.0016</w:t>
            </w:r>
          </w:p>
        </w:tc>
        <w:tc>
          <w:tcPr>
            <w:tcW w:type="dxa" w:w="1417"/>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0.4714</w:t>
            </w:r>
          </w:p>
        </w:tc>
        <w:tc>
          <w:tcPr>
            <w:tcW w:type="dxa" w:w="153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0.4302</w:t>
            </w:r>
          </w:p>
        </w:tc>
      </w:tr>
    </w:tbl>
    <w:p>
      <w:pPr>
        <w:pStyle w:val="BodyText"/>
        <w:spacing w:before="0" w:after="0" w:line="300" w:lineRule="auto"/>
        <w:ind w:firstLine="480" w:left="0"/>
        <w:jc w:val="both"/>
      </w:pPr>
      <w:r>
        <w:rPr>
          <w:rFonts w:hint="eastAsia" w:ascii="Times New Roman" w:hAnsi="Times New Roman" w:eastAsia="宋体"/>
          <w:i w:val="0"/>
          <w:color w:val="000000"/>
          <w:sz w:val="24"/>
        </w:rPr>
        <w:t>最终感官模型的宏平均R²、MAE和Spearman分别为0.2564、0.3361和0.4302，优于独立ExtraTrees验证器的0.2359、0.3422和0.4144。图正则模型相对ElasticNet的MAE增加0.00011，因此图结构只用于模块与敏感性分析。最终感官模型承担预测归因，关键化合物答案仍由跨方法、重采样和风格扰动下更稳定的四路秩融合给出。</w:t>
      </w:r>
    </w:p>
    <w:p>
      <w:pPr>
        <w:pStyle w:val="BodyText"/>
        <w:keepNext/>
        <w:keepLines/>
        <w:spacing w:before="60" w:after="0"/>
        <w:ind w:firstLine="0"/>
        <w:jc w:val="center"/>
      </w:pPr>
      <w:r>
        <w:drawing>
          <wp:inline>
            <wp:extent cx="5616000" cy="3073622"/>
            <wp:docPr id="1" name="Picture 1"/>
            <wp:cNvGraphicFramePr>
              <a:graphicFrameLocks noChangeAspect="1"/>
            </wp:cNvGraphicFramePr>
            <a:graphic>
              <a:graphicData uri="http://schemas.openxmlformats.org/drawingml/2006/picture">
                <pic:pic>
                  <pic:nvPicPr>
                    <pic:cNvPr id="0" name="图1_共表达图阈值敏感性_v3.png"/>
                    <pic:cNvPicPr/>
                  </pic:nvPicPr>
                  <pic:blipFill>
                    <a:blip r:embed="rId10"/>
                    <a:stretch>
                      <a:fillRect/>
                    </a:stretch>
                  </pic:blipFill>
                  <pic:spPr>
                    <a:xfrm>
                      <a:off x="0" y="0"/>
                      <a:ext cx="5616000" cy="3073622"/>
                    </a:xfrm>
                    <a:prstGeom prst="rect"/>
                  </pic:spPr>
                </pic:pic>
              </a:graphicData>
            </a:graphic>
          </wp:inline>
        </w:drawing>
      </w:r>
    </w:p>
    <w:p>
      <w:pPr>
        <w:pStyle w:val="BodyText"/>
        <w:keepNext w:val="0"/>
        <w:spacing w:before="40" w:after="100"/>
        <w:ind w:firstLine="0"/>
        <w:jc w:val="center"/>
      </w:pPr>
      <w:r>
        <w:rPr>
          <w:rFonts w:ascii="Times New Roman" w:hAnsi="Times New Roman" w:eastAsia="宋体"/>
          <w:sz w:val="21"/>
        </w:rPr>
        <w:t>图1 化合物共表达网络的阈值选择与结构敏感性</w:t>
      </w:r>
    </w:p>
    <w:p>
      <w:pPr>
        <w:pStyle w:val="BodyText"/>
        <w:spacing w:before="40" w:after="100"/>
        <w:ind w:firstLine="0"/>
      </w:pPr>
      <w:r>
        <w:rPr>
          <w:rFonts w:ascii="Times New Roman" w:hAnsi="Times New Roman" w:eastAsia="宋体"/>
          <w:sz w:val="18"/>
          <w:szCs w:val="18"/>
        </w:rPr>
        <w:t>注：全量描述图；边数采用可包含零值的伪对数轴。虚线为既定阈值0.60，正负边数为264和2；全量描述图不参与折内监督验证。</w:t>
      </w:r>
    </w:p>
    <w:p>
      <w:pPr>
        <w:pStyle w:val="BodyText"/>
        <w:keepNext/>
        <w:keepLines/>
        <w:spacing w:before="60" w:after="0"/>
        <w:ind w:firstLine="0"/>
        <w:jc w:val="center"/>
      </w:pPr>
      <w:r>
        <w:drawing>
          <wp:inline>
            <wp:extent cx="5616000" cy="3491027"/>
            <wp:docPr id="2" name="Picture 2"/>
            <wp:cNvGraphicFramePr>
              <a:graphicFrameLocks noChangeAspect="1"/>
            </wp:cNvGraphicFramePr>
            <a:graphic>
              <a:graphicData uri="http://schemas.openxmlformats.org/drawingml/2006/picture">
                <pic:pic>
                  <pic:nvPicPr>
                    <pic:cNvPr id="0" name="图2_模型性能与四路一致性_v3.png"/>
                    <pic:cNvPicPr/>
                  </pic:nvPicPr>
                  <pic:blipFill>
                    <a:blip r:embed="rId11"/>
                    <a:stretch>
                      <a:fillRect/>
                    </a:stretch>
                  </pic:blipFill>
                  <pic:spPr>
                    <a:xfrm>
                      <a:off x="0" y="0"/>
                      <a:ext cx="5616000" cy="3491027"/>
                    </a:xfrm>
                    <a:prstGeom prst="rect"/>
                  </pic:spPr>
                </pic:pic>
              </a:graphicData>
            </a:graphic>
          </wp:inline>
        </w:drawing>
      </w:r>
    </w:p>
    <w:p>
      <w:pPr>
        <w:pStyle w:val="BodyText"/>
        <w:keepNext w:val="0"/>
        <w:spacing w:before="40" w:after="100"/>
        <w:ind w:firstLine="0"/>
        <w:jc w:val="center"/>
      </w:pPr>
      <w:r>
        <w:rPr>
          <w:rFonts w:ascii="Times New Roman" w:hAnsi="Times New Roman" w:eastAsia="宋体"/>
          <w:sz w:val="21"/>
        </w:rPr>
        <w:t>图2 候选模型的折外性能与稳健排序的四路一致性</w:t>
      </w:r>
    </w:p>
    <w:p>
      <w:pPr>
        <w:pStyle w:val="BodyText"/>
        <w:spacing w:before="40" w:after="100"/>
        <w:ind w:firstLine="0"/>
      </w:pPr>
      <w:r>
        <w:rPr>
          <w:rFonts w:ascii="Times New Roman" w:hAnsi="Times New Roman" w:eastAsia="宋体"/>
          <w:sz w:val="18"/>
          <w:szCs w:val="18"/>
        </w:rPr>
        <w:t xml:space="preserve">注：前三面板为10次重复的均值±标准差，短横线表示标准差。NNLS指感官组收缩NNLS，图正则EN指有符号图正则回归，ExtraTrees为独立树验证器，Spearman为边际关联Top-3预测器。点图坐标轴局部放大；MAE越低越好，R²与Spearman越高越好。末面板为正式Top-3与四路证据的平均Jaccard，不是预测性能。</w:t>
      </w:r>
    </w:p>
    <w:p>
      <w:pPr>
        <w:pStyle w:val="Heading3"/>
        <w:spacing w:before="120" w:after="120" w:line="300" w:lineRule="auto"/>
        <w:ind w:left="0" w:firstLine="0"/>
        <w:jc w:val="both"/>
      </w:pPr>
      <w:r>
        <w:rPr>
          <w:rFonts w:hint="eastAsia" w:ascii="Times New Roman" w:hAnsi="Times New Roman" w:eastAsia="黑体"/>
          <w:b/>
          <w:i w:val="0"/>
          <w:color w:val="000000"/>
          <w:sz w:val="24"/>
        </w:rPr>
        <w:t>稳定性与风格敏感性</w:t>
      </w:r>
    </w:p>
    <w:p>
      <w:pPr>
        <w:pStyle w:val="BodyText"/>
        <w:spacing w:before="0" w:after="0" w:line="300" w:lineRule="auto"/>
        <w:ind w:firstLine="480" w:left="0"/>
        <w:jc w:val="both"/>
      </w:pPr>
      <w:r>
        <w:rPr>
          <w:rFonts w:hint="eastAsia" w:ascii="Times New Roman" w:hAnsi="Times New Roman" w:eastAsia="宋体"/>
          <w:i w:val="0"/>
          <w:color w:val="000000"/>
          <w:sz w:val="24"/>
        </w:rPr>
        <w:t xml:space="preserve">500次分层自助中，按bootstrap频率选出的150条候选入选频率范围为0.182—0.992，中位数为0.428；达到0.60、0.70和0.80的候选分别有43、31和23条。四路融合最终Top-3的入选频率中位数为0.395，40/150条不低于0.60。逐目标Top-3两两Jaccard均值为0.245，说明共线字段替代和样本扰动不可忽略。稳定共聚类得到170个模块，其中155个为单字段模块，最大模块含15个字段。</w:t>
      </w:r>
    </w:p>
    <w:p>
      <w:pPr>
        <w:pStyle w:val="BodyText"/>
        <w:spacing w:before="0" w:after="0" w:line="300" w:lineRule="auto"/>
        <w:ind w:firstLine="480" w:left="0"/>
        <w:jc w:val="both"/>
      </w:pPr>
      <w:r>
        <w:rPr>
          <w:rFonts w:hint="eastAsia" w:ascii="Times New Roman" w:hAnsi="Times New Roman" w:eastAsia="宋体"/>
          <w:i w:val="0"/>
          <w:color w:val="000000"/>
          <w:sz w:val="24"/>
        </w:rPr>
        <w:t xml:space="preserve">相同参数下，未校正与风格校正Top-3的平均Jaccard为0.264，只有2/50个目标完全一致。逐一删除22种风格后，1,100个“风格—目标”组合的Top-3平均Jaccard为0.523。分层bootstrap频率选出集的留一风格平均保留率为0.6582；四路融合最终Top-3为0.6076，中位数为0.6591。总关联共识参考集的平均保留率为0.6406，该集合与bootstrap频率选出集仅重合113/150条，三个集合分别计算。图3按化学证据等级展示最终Top-3在样本扰动与风格扰动下的稳定性分布。</w:t>
      </w:r>
    </w:p>
    <w:p>
      <w:pPr>
        <w:pStyle w:val="BodyText"/>
        <w:spacing w:before="0" w:after="0" w:line="300" w:lineRule="auto"/>
        <w:ind w:firstLine="480" w:left="0"/>
        <w:jc w:val="both"/>
      </w:pPr>
      <w:r>
        <w:rPr>
          <w:rFonts w:hint="eastAsia" w:ascii="Times New Roman" w:hAnsi="Times New Roman" w:eastAsia="宋体"/>
          <w:i w:val="0"/>
          <w:color w:val="000000"/>
          <w:sz w:val="24"/>
        </w:rPr>
        <w:t>补充的互补半样本检验按风格分层构造100对互补子样本，每个子样本重新填补、风格中心化并排序。入选频率不低于0.60的关系有24条；在0.60—0.90四个预设阈值下，风格内目标置换均未产生入选关系。互补Top-3的平均Jaccard仅为0.085，说明排名尾部仍有明显替代性。因此，论文同时报告确认关系与探索性关系，不把强制输出的150条关系写成同等可靠。</w:t>
      </w:r>
    </w:p>
    <w:p>
      <w:pPr>
        <w:pStyle w:val="BodyText"/>
        <w:keepNext/>
        <w:keepLines/>
        <w:spacing w:before="60" w:after="0"/>
        <w:ind w:firstLine="0"/>
        <w:jc w:val="center"/>
      </w:pPr>
      <w:r>
        <w:drawing>
          <wp:inline>
            <wp:extent cx="5616000" cy="3073622"/>
            <wp:docPr id="3" name="Picture 3"/>
            <wp:cNvGraphicFramePr>
              <a:graphicFrameLocks noChangeAspect="1"/>
            </wp:cNvGraphicFramePr>
            <a:graphic>
              <a:graphicData uri="http://schemas.openxmlformats.org/drawingml/2006/picture">
                <pic:pic>
                  <pic:nvPicPr>
                    <pic:cNvPr id="0" name="图3_候选稳定性与证据等级_v3.png"/>
                    <pic:cNvPicPr/>
                  </pic:nvPicPr>
                  <pic:blipFill>
                    <a:blip r:embed="rId12"/>
                    <a:stretch>
                      <a:fillRect/>
                    </a:stretch>
                  </pic:blipFill>
                  <pic:spPr>
                    <a:xfrm>
                      <a:off x="0" y="0"/>
                      <a:ext cx="5616000" cy="3073622"/>
                    </a:xfrm>
                    <a:prstGeom prst="rect"/>
                  </pic:spPr>
                </pic:pic>
              </a:graphicData>
            </a:graphic>
          </wp:inline>
        </w:drawing>
      </w:r>
    </w:p>
    <w:p>
      <w:pPr>
        <w:pStyle w:val="BodyText"/>
        <w:keepNext w:val="0"/>
        <w:spacing w:before="40" w:after="100"/>
        <w:ind w:firstLine="0"/>
        <w:jc w:val="center"/>
      </w:pPr>
      <w:r>
        <w:rPr>
          <w:rFonts w:ascii="Times New Roman" w:hAnsi="Times New Roman" w:eastAsia="宋体"/>
          <w:sz w:val="21"/>
        </w:rPr>
        <w:t>图3 不同化学证据等级的样本与风格扰动稳定性</w:t>
      </w:r>
    </w:p>
    <w:p>
      <w:pPr>
        <w:pStyle w:val="BodyText"/>
        <w:spacing w:before="40" w:after="100"/>
        <w:ind w:firstLine="0"/>
      </w:pPr>
      <w:r>
        <w:rPr>
          <w:rFonts w:ascii="Times New Roman" w:hAnsi="Times New Roman" w:eastAsia="宋体"/>
          <w:sz w:val="18"/>
          <w:szCs w:val="18"/>
        </w:rPr>
        <w:t>注：两面板均纳入全部150条关系。每格为对应等级内的关系数，底色为等级内比例；五个区间依次左闭右开，末区间包含1。A/B/C/D为既有化学核验等级，分箱只用于呈现，不改变等级或排序。</w:t>
      </w:r>
    </w:p>
    <w:p>
      <w:pPr>
        <w:pStyle w:val="Heading3"/>
        <w:spacing w:before="120" w:after="120" w:line="300" w:lineRule="auto"/>
        <w:ind w:left="0" w:firstLine="0"/>
        <w:jc w:val="both"/>
      </w:pPr>
      <w:r>
        <w:rPr>
          <w:rFonts w:hint="eastAsia" w:ascii="Times New Roman" w:hAnsi="Times New Roman" w:eastAsia="黑体"/>
          <w:b/>
          <w:i w:val="0"/>
          <w:color w:val="000000"/>
          <w:sz w:val="24"/>
        </w:rPr>
        <w:t>关键化合物与化学核验</w:t>
      </w:r>
    </w:p>
    <w:p>
      <w:pPr>
        <w:pStyle w:val="BodyText"/>
        <w:spacing w:before="0" w:after="0" w:line="300" w:lineRule="auto"/>
        <w:ind w:firstLine="480" w:left="0"/>
        <w:jc w:val="both"/>
      </w:pPr>
      <w:r>
        <w:rPr>
          <w:rFonts w:hint="eastAsia" w:ascii="Times New Roman" w:hAnsi="Times New Roman" w:eastAsia="宋体"/>
          <w:i w:val="0"/>
          <w:color w:val="000000"/>
          <w:sz w:val="24"/>
        </w:rPr>
        <w:t>四路融合的150条统计Top-3中，强稳健、中等稳健和探索性候选分别为38、52和60条；50个目标中，22个折外R²不低于0.20，12个介于0.10与0.20之间，16个低于0.10。题面要求每个维度输出3项，因此弱预测目标仍保留候选，但必须标明探索性。</w:t>
      </w:r>
    </w:p>
    <w:p>
      <w:pPr>
        <w:pStyle w:val="BodyText"/>
        <w:keepNext/>
        <w:spacing w:before="60" w:after="40"/>
        <w:ind w:firstLine="0"/>
        <w:jc w:val="center"/>
      </w:pPr>
      <w:r>
        <w:rPr>
          <w:rFonts w:ascii="Times New Roman" w:hAnsi="Times New Roman" w:eastAsia="宋体"/>
          <w:sz w:val="21"/>
        </w:rPr>
        <w:t>表3 化学证据较充分的代表性关键关系</w:t>
      </w:r>
    </w:p>
    <w:tbl>
      <w:tblPr>
        <w:tblW w:type="auto" w:w="0"/>
        <w:jc w:val="center"/>
        <w:tblLayout w:type="fixed"/>
        <w:tblLook w:firstColumn="1" w:firstRow="1" w:lastColumn="0" w:lastRow="0" w:noHBand="0" w:noVBand="1" w:val="04A0"/>
      </w:tblPr>
      <w:tblGrid>
        <w:gridCol w:w="1757"/>
        <w:gridCol w:w="737"/>
        <w:gridCol w:w="2154"/>
        <w:gridCol w:w="1474"/>
        <w:gridCol w:w="1474"/>
        <w:gridCol w:w="1247"/>
      </w:tblGrid>
      <w:tr>
        <w:trPr>
          <w:cantSplit/>
          <w:trHeight w:hRule="atLeast"/>
          <w:tblHeader/>
        </w:trPr>
        <w:tc>
          <w:tcPr>
            <w:tcW w:type="dxa" w:w="1757"/>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感官维度</w:t>
            </w:r>
          </w:p>
        </w:tc>
        <w:tc>
          <w:tcPr>
            <w:tcW w:type="dxa" w:w="737"/>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名次</w:t>
            </w:r>
          </w:p>
        </w:tc>
        <w:tc>
          <w:tcPr>
            <w:tcW w:type="dxa" w:w="215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关键化合物</w:t>
            </w:r>
          </w:p>
        </w:tc>
        <w:tc>
          <w:tcPr>
            <w:tcW w:type="dxa" w:w="147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自助入选频率</w:t>
            </w:r>
          </w:p>
        </w:tc>
        <w:tc>
          <w:tcPr>
            <w:tcW w:type="dxa" w:w="147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留一风格保留率</w:t>
            </w:r>
          </w:p>
        </w:tc>
        <w:tc>
          <w:tcPr>
            <w:tcW w:type="dxa" w:w="1247"/>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6"/>
              </w:rPr>
              <w:t>中位OAV</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指甲油样香气</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乙酸乙酯</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0.774</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1.000</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1.203</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指甲油样风味</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乙酸乙酯</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0.878</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1.000</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1.203</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4-乙烯基愈创木酚</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4-乙烯基愈创木酚</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0.992</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1.000</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0.000</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酸度</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乳酸</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0.900</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0.955</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0.346</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酒精感</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1</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乙醇</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0.920</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0.955</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4.140</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酒体</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2</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乙醇</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0.812</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0.955</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4.140</w:t>
            </w:r>
          </w:p>
        </w:tc>
      </w:tr>
      <w:tr>
        <w:trPr>
          <w:cantSplit/>
          <w:trHeight w:hRule="atLeast"/>
        </w:trPr>
        <w:tc>
          <w:tcPr>
            <w:tcW w:type="dxa" w:w="175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碳酸感</w:t>
            </w:r>
          </w:p>
        </w:tc>
        <w:tc>
          <w:tcPr>
            <w:tcW w:type="dxa" w:w="73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3</w:t>
            </w:r>
          </w:p>
        </w:tc>
        <w:tc>
          <w:tcPr>
            <w:tcW w:type="dxa" w:w="215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二氧化碳</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0.318</w:t>
            </w:r>
          </w:p>
        </w:tc>
        <w:tc>
          <w:tcPr>
            <w:tcW w:type="dxa" w:w="147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0.500</w:t>
            </w:r>
          </w:p>
        </w:tc>
        <w:tc>
          <w:tcPr>
            <w:tcW w:type="dxa" w:w="1247"/>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6"/>
              </w:rPr>
              <w:t>不可比</w:t>
            </w:r>
          </w:p>
        </w:tc>
      </w:tr>
      <w:tr>
        <w:trPr>
          <w:cantSplit/>
          <w:trHeight w:hRule="atLeast"/>
        </w:trPr>
        <w:tc>
          <w:tcPr>
            <w:tcW w:type="dxa" w:w="1757"/>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乳酸感</w:t>
            </w:r>
          </w:p>
        </w:tc>
        <w:tc>
          <w:tcPr>
            <w:tcW w:type="dxa" w:w="737"/>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1</w:t>
            </w:r>
          </w:p>
        </w:tc>
        <w:tc>
          <w:tcPr>
            <w:tcW w:type="dxa" w:w="215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乳酸</w:t>
            </w:r>
          </w:p>
        </w:tc>
        <w:tc>
          <w:tcPr>
            <w:tcW w:type="dxa" w:w="147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0.992</w:t>
            </w:r>
          </w:p>
        </w:tc>
        <w:tc>
          <w:tcPr>
            <w:tcW w:type="dxa" w:w="147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1.000</w:t>
            </w:r>
          </w:p>
        </w:tc>
        <w:tc>
          <w:tcPr>
            <w:tcW w:type="dxa" w:w="1247"/>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6"/>
              </w:rPr>
              <w:t>0.346</w:t>
            </w:r>
          </w:p>
        </w:tc>
      </w:tr>
    </w:tbl>
    <w:p>
      <w:pPr>
        <w:pStyle w:val="BodyText"/>
        <w:spacing w:before="0" w:after="0" w:line="300" w:lineRule="auto"/>
        <w:ind w:firstLine="480" w:left="0"/>
        <w:jc w:val="both"/>
      </w:pPr>
      <w:r>
        <w:rPr>
          <w:rFonts w:hint="eastAsia" w:ascii="Times New Roman" w:hAnsi="Times New Roman" w:eastAsia="宋体"/>
          <w:i w:val="0"/>
          <w:color w:val="000000"/>
          <w:sz w:val="24"/>
        </w:rPr>
        <w:t>150条候选的A/B/C/D级数量分别为8、16、78和48，其中73条具备可比的浓度与阈值，23条的中位OAV不低于1。表3列出的8条A级关系包括乙酸乙酯—指甲油样酯香、4-乙烯基愈创木酚—同名感官、乳酸—酸度/乳酸感、乙醇—酒精感/酒体以及二氧化碳—碳酸感。图4展示这些关系在四路证据中的名次和可计算的中位OAV。</w:t>
      </w:r>
    </w:p>
    <w:p>
      <w:pPr>
        <w:pStyle w:val="BodyText"/>
        <w:keepNext/>
        <w:keepLines/>
        <w:spacing w:before="60" w:after="0"/>
        <w:ind w:firstLine="0"/>
        <w:jc w:val="center"/>
      </w:pPr>
      <w:r>
        <w:drawing>
          <wp:inline>
            <wp:extent cx="5616000" cy="3150439"/>
            <wp:docPr id="4" name="Picture 4"/>
            <wp:cNvGraphicFramePr>
              <a:graphicFrameLocks noChangeAspect="1"/>
            </wp:cNvGraphicFramePr>
            <a:graphic>
              <a:graphicData uri="http://schemas.openxmlformats.org/drawingml/2006/picture">
                <pic:pic>
                  <pic:nvPicPr>
                    <pic:cNvPr id="0" name="图4_A级关系四路排名与OAV_v3.png"/>
                    <pic:cNvPicPr/>
                  </pic:nvPicPr>
                  <pic:blipFill>
                    <a:blip r:embed="rId13"/>
                    <a:stretch>
                      <a:fillRect/>
                    </a:stretch>
                  </pic:blipFill>
                  <pic:spPr>
                    <a:xfrm>
                      <a:off x="0" y="0"/>
                      <a:ext cx="5616000" cy="3150439"/>
                    </a:xfrm>
                    <a:prstGeom prst="rect"/>
                  </pic:spPr>
                </pic:pic>
              </a:graphicData>
            </a:graphic>
          </wp:inline>
        </w:drawing>
      </w:r>
    </w:p>
    <w:p>
      <w:pPr>
        <w:pStyle w:val="BodyText"/>
        <w:keepNext w:val="0"/>
        <w:spacing w:before="40" w:after="100"/>
        <w:ind w:firstLine="0"/>
        <w:jc w:val="center"/>
      </w:pPr>
      <w:r>
        <w:rPr>
          <w:rFonts w:ascii="Times New Roman" w:hAnsi="Times New Roman" w:eastAsia="宋体"/>
          <w:sz w:val="21"/>
        </w:rPr>
        <w:t>图4 A级化合物—感官关系的四路名次与气味活性值</w:t>
      </w:r>
    </w:p>
    <w:p>
      <w:pPr>
        <w:pStyle w:val="BodyText"/>
        <w:spacing w:before="40" w:after="100"/>
        <w:ind w:firstLine="0"/>
      </w:pPr>
      <w:r>
        <w:rPr>
          <w:rFonts w:ascii="Times New Roman" w:hAnsi="Times New Roman" w:eastAsia="宋体"/>
          <w:sz w:val="18"/>
          <w:szCs w:val="18"/>
        </w:rPr>
        <w:t>注：左侧名次越小越靠前；右侧点为OAV中位数，横线为四分位区间。OAV为无量纲浓度/阈值比，采用含零伪对数轴，虚线为OAV=1；N/A表示单位或阈值不可比，0为零值，二者不等同。两面板关系按行对齐。4VG为4-乙烯基愈创木酚。</w:t>
      </w:r>
    </w:p>
    <w:p>
      <w:pPr>
        <w:pStyle w:val="Heading2"/>
        <w:spacing w:before="140" w:after="140" w:line="300" w:lineRule="auto"/>
        <w:ind w:left="0" w:firstLine="0"/>
        <w:jc w:val="both"/>
      </w:pPr>
      <w:r>
        <w:rPr>
          <w:rFonts w:hint="eastAsia" w:ascii="Times New Roman" w:hAnsi="Times New Roman" w:eastAsia="黑体"/>
          <w:b/>
          <w:i w:val="0"/>
          <w:color w:val="000000"/>
          <w:sz w:val="28"/>
        </w:rPr>
        <w:t>模型检验与结果讨论</w:t>
      </w:r>
    </w:p>
    <w:p>
      <w:pPr>
        <w:pStyle w:val="Heading3"/>
        <w:spacing w:before="120" w:after="120" w:line="300" w:lineRule="auto"/>
        <w:ind w:left="0" w:firstLine="0"/>
        <w:jc w:val="both"/>
      </w:pPr>
      <w:r>
        <w:rPr>
          <w:rFonts w:hint="eastAsia" w:ascii="Times New Roman" w:hAnsi="Times New Roman" w:eastAsia="黑体"/>
          <w:b/>
          <w:i w:val="0"/>
          <w:color w:val="000000"/>
          <w:sz w:val="24"/>
        </w:rPr>
        <w:t>泄漏与稳健性检验</w:t>
      </w:r>
    </w:p>
    <w:p>
      <w:pPr>
        <w:pStyle w:val="BodyText"/>
        <w:spacing w:before="0" w:after="0" w:line="300" w:lineRule="auto"/>
        <w:ind w:firstLine="480" w:left="0"/>
        <w:jc w:val="both"/>
      </w:pPr>
      <w:r>
        <w:rPr>
          <w:rFonts w:hint="eastAsia" w:ascii="Times New Roman" w:hAnsi="Times New Roman" w:eastAsia="宋体"/>
          <w:i w:val="0"/>
          <w:color w:val="000000"/>
          <w:sz w:val="24"/>
        </w:rPr>
        <w:t>验证折不参与缺失填补、尺度估计、图构建、风格均值、条件分组或参数选择；全量附件2仅用于数据定义核验与描述图。分层自助、风格校正和留一风格三种扰动从不同方向检验名次稳定性，字段级结果同时报告所属稳定模块，避免把同模块替代误写为唯一关键成分。</w:t>
      </w:r>
    </w:p>
    <w:p>
      <w:pPr>
        <w:pStyle w:val="Heading3"/>
        <w:spacing w:before="120" w:after="120" w:line="300" w:lineRule="auto"/>
        <w:ind w:left="0" w:firstLine="0"/>
        <w:jc w:val="both"/>
      </w:pPr>
      <w:r>
        <w:rPr>
          <w:rFonts w:hint="eastAsia" w:ascii="Times New Roman" w:hAnsi="Times New Roman" w:eastAsia="黑体"/>
          <w:b/>
          <w:i w:val="0"/>
          <w:color w:val="000000"/>
          <w:sz w:val="24"/>
        </w:rPr>
        <w:t>模型对比与消融</w:t>
      </w:r>
    </w:p>
    <w:p>
      <w:pPr>
        <w:pStyle w:val="BodyText"/>
        <w:spacing w:before="0" w:after="0" w:line="300" w:lineRule="auto"/>
        <w:ind w:firstLine="480" w:left="0"/>
        <w:jc w:val="both"/>
      </w:pPr>
      <w:r>
        <w:rPr>
          <w:rFonts w:hint="eastAsia" w:ascii="Times New Roman" w:hAnsi="Times New Roman" w:eastAsia="宋体"/>
          <w:i w:val="0"/>
          <w:color w:val="000000"/>
          <w:sz w:val="24"/>
        </w:rPr>
        <w:t>边际相关的宏平均R²为0.1064，说明单变量排序不足以概括多维感官信号；PLS/VIP与ElasticNet提高到约0.209，而加入有符号图惩罚后R²为0.2084、MAE为0.3530，未获得额外预测收益。独立ExtraTrees验证器达到0.2359，最终感官模型提高到0.2564。图结构因此只承担模块、条件依赖和敏感性解释，不被写成预测增益。</w:t>
      </w:r>
    </w:p>
    <w:p>
      <w:pPr>
        <w:pStyle w:val="BodyText"/>
        <w:spacing w:before="0" w:after="0" w:line="300" w:lineRule="auto"/>
        <w:ind w:firstLine="480" w:left="0"/>
        <w:jc w:val="both"/>
      </w:pPr>
      <w:r>
        <w:rPr>
          <w:rFonts w:hint="eastAsia" w:ascii="Times New Roman" w:hAnsi="Times New Roman" w:eastAsia="宋体"/>
          <w:i w:val="0"/>
          <w:color w:val="000000"/>
          <w:sz w:val="24"/>
        </w:rPr>
        <w:t>将最终模型条件归因、折内偏相关和稳定模块三类证据等权融合后，候选Top-3的CPSS频率中位数、互补半样本Jaccard和留一风格生存率分别由0.1425、0.1669、0.6591降至0.0750、0.1151、0.4091，并遗漏碳酸感的直接锚点。该方案作为失败消融保留，不进入正式排序；后续自动化化学分级也不生成正式答案。问题二最终结论仍是四路稳健统计Top-3，最终感官模型归因只作为独立预测依赖证据。</w:t>
      </w:r>
    </w:p>
    <w:p>
      <w:pPr>
        <w:pStyle w:val="BodyText"/>
        <w:spacing w:before="0" w:after="0" w:line="300" w:lineRule="auto"/>
        <w:ind w:firstLine="480" w:left="0"/>
        <w:jc w:val="both"/>
      </w:pPr>
      <w:r>
        <w:rPr>
          <w:rFonts w:hint="eastAsia" w:ascii="Times New Roman" w:hAnsi="Times New Roman" w:eastAsia="宋体"/>
          <w:i w:val="0"/>
          <w:color w:val="000000"/>
          <w:sz w:val="24"/>
        </w:rPr>
        <w:t>表4把本文各方法家族与公开文献中的相应技术目的并列。文献数据的研究对象、样本尺度和评价任务与本题不同，因此文献指标不可直接横比；本表只比较方法能回答的问题、本文中的证据角色及采用边界。</w:t>
      </w:r>
    </w:p>
    <w:p>
      <w:pPr>
        <w:pStyle w:val="BodyText"/>
        <w:keepNext/>
        <w:spacing w:before="60" w:after="40"/>
        <w:ind w:firstLine="0"/>
        <w:jc w:val="center"/>
      </w:pPr>
      <w:r>
        <w:rPr>
          <w:rFonts w:ascii="Times New Roman" w:hAnsi="Times New Roman" w:eastAsia="宋体"/>
          <w:sz w:val="21"/>
        </w:rPr>
        <w:t>表4 公开方法与本文方法链的功能对照及消融结论</w:t>
      </w:r>
    </w:p>
    <w:tbl>
      <w:tblPr>
        <w:tblW w:type="auto" w:w="0"/>
        <w:jc w:val="center"/>
        <w:tblLayout w:type="fixed"/>
        <w:tblLook w:firstColumn="1" w:firstRow="1" w:lastColumn="0" w:lastRow="0" w:noHBand="0" w:noVBand="1" w:val="04A0"/>
      </w:tblPr>
      <w:tblGrid>
        <w:gridCol w:w="2041"/>
        <w:gridCol w:w="1814"/>
        <w:gridCol w:w="2494"/>
        <w:gridCol w:w="2835"/>
      </w:tblGrid>
      <w:tr>
        <w:trPr>
          <w:cantSplit/>
          <w:trHeight w:hRule="atLeast"/>
          <w:tblHeader/>
        </w:trPr>
        <w:tc>
          <w:tcPr>
            <w:tcW w:type="dxa" w:w="2041"/>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5"/>
              </w:rPr>
              <w:t>方法家族</w:t>
            </w:r>
          </w:p>
        </w:tc>
        <w:tc>
          <w:tcPr>
            <w:tcW w:type="dxa" w:w="181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5"/>
              </w:rPr>
              <w:t>回答的问题</w:t>
            </w:r>
          </w:p>
        </w:tc>
        <w:tc>
          <w:tcPr>
            <w:tcW w:type="dxa" w:w="2494"/>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5"/>
              </w:rPr>
              <w:t>本文对应结果</w:t>
            </w:r>
          </w:p>
        </w:tc>
        <w:tc>
          <w:tcPr>
            <w:tcW w:type="dxa" w:w="2835"/>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sz w:val="15"/>
              </w:rPr>
              <w:t>差异与采用判断</w:t>
            </w:r>
          </w:p>
        </w:tc>
      </w:tr>
      <w:tr>
        <w:trPr>
          <w:cantSplit/>
          <w:trHeight w:hRule="atLeast"/>
        </w:trPr>
        <w:tc>
          <w:tcPr>
            <w:tcW w:type="dxa" w:w="204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Spearman/加权相关网络</w:t>
              <w:br/>
              <w:t>Zhang与Horvath（2005）</w:t>
            </w:r>
          </w:p>
        </w:tc>
        <w:tc>
          <w:tcPr>
            <w:tcW w:type="dxa" w:w="181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描述成对共变及模块结构</w:t>
            </w:r>
          </w:p>
        </w:tc>
        <w:tc>
          <w:tcPr>
            <w:tcW w:type="dxa" w:w="249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边际基线R²=0.1064；|ρ|=0.60时保留266条描述性边</w:t>
            </w:r>
          </w:p>
        </w:tc>
        <w:tc>
          <w:tcPr>
            <w:tcW w:type="dxa" w:w="2835"/>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相关网络不区分直接与间接联系；全量图只作描述，监督验证中的图均由训练折估计。</w:t>
            </w:r>
          </w:p>
        </w:tc>
      </w:tr>
      <w:tr>
        <w:trPr>
          <w:cantSplit/>
          <w:trHeight w:hRule="atLeast"/>
        </w:trPr>
        <w:tc>
          <w:tcPr>
            <w:tcW w:type="dxa" w:w="204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稀疏回归与graphical lasso</w:t>
              <w:br/>
              <w:t>Friedman等（2008）</w:t>
            </w:r>
          </w:p>
        </w:tc>
        <w:tc>
          <w:tcPr>
            <w:tcW w:type="dxa" w:w="181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估计条件线性效应和稀疏条件依赖</w:t>
            </w:r>
          </w:p>
        </w:tc>
        <w:tc>
          <w:tcPr>
            <w:tcW w:type="dxa" w:w="249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ElasticNet R²=0.2086；图正则R²=0.2084，折内偏相关模块用于结构审计</w:t>
            </w:r>
          </w:p>
        </w:tc>
        <w:tc>
          <w:tcPr>
            <w:tcW w:type="dxa" w:w="2835"/>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稀疏精度矩阵有助于排除部分间接边，但未改善正式排名的综合稳定性，故不替换四路排序。</w:t>
            </w:r>
          </w:p>
        </w:tc>
      </w:tr>
      <w:tr>
        <w:trPr>
          <w:cantSplit/>
          <w:trHeight w:hRule="atLeast"/>
        </w:trPr>
        <w:tc>
          <w:tcPr>
            <w:tcW w:type="dxa" w:w="204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树模型条件置换与SHAP</w:t>
              <w:br/>
              <w:t>Strobl等（2008）；Lundberg与Lee（2017）</w:t>
            </w:r>
          </w:p>
        </w:tc>
        <w:tc>
          <w:tcPr>
            <w:tcW w:type="dxa" w:w="181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解释非线性预测器依赖哪些变量</w:t>
            </w:r>
          </w:p>
        </w:tc>
        <w:tc>
          <w:tcPr>
            <w:tcW w:type="dxa" w:w="249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ExtraTrees R²=0.2359；最终感官模型R²=0.2564，并完成模块—字段两级条件归因</w:t>
            </w:r>
          </w:p>
        </w:tc>
        <w:tc>
          <w:tcPr>
            <w:tcW w:type="dxa" w:w="2835"/>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SHAP回答加性预测归因；本文共线性较强，采用模块联合与条件置换，归因只作预测依赖证据。</w:t>
            </w:r>
          </w:p>
        </w:tc>
      </w:tr>
      <w:tr>
        <w:trPr>
          <w:cantSplit/>
          <w:trHeight w:hRule="atLeast"/>
        </w:trPr>
        <w:tc>
          <w:tcPr>
            <w:tcW w:type="dxa" w:w="2041"/>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稳定选择与互补半样本</w:t>
              <w:br/>
              <w:t>Meinshausen与Bühlmann（2010）；Shah与Samworth（2013）</w:t>
            </w:r>
          </w:p>
        </w:tc>
        <w:tc>
          <w:tcPr>
            <w:tcW w:type="dxa" w:w="181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评价变量选择在重采样下的可重复性与误选风险</w:t>
            </w:r>
          </w:p>
        </w:tc>
        <w:tc>
          <w:tcPr>
            <w:tcW w:type="dxa" w:w="2494"/>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 xml:space="preserve">bootstrap频率选出集中位0.428；最终融合Top-3中位0.395；互补半样本与风格内置换用于补充检验</w:t>
            </w:r>
          </w:p>
        </w:tc>
        <w:tc>
          <w:tcPr>
            <w:tcW w:type="dxa" w:w="2835"/>
            <w:tcBorders>
              <w:left w:val="nil"/>
              <w:right w:val="nil"/>
              <w:insideH w:val="nil"/>
              <w:insideV w:val="nil"/>
            </w:tcBorders>
            <w:tcMar>
              <w:top w:w="45" w:type="dxa"/>
              <w:start w:w="70" w:type="dxa"/>
              <w:bottom w:w="45" w:type="dxa"/>
              <w:end w:w="70" w:type="dxa"/>
            </w:tcMar>
            <w:vAlign w:val="center"/>
          </w:tcPr>
          <w:p>
            <w:pPr>
              <w:pStyle w:val="BodyText"/>
              <w:keepNext/>
              <w:keepLines/>
              <w:spacing w:before="30" w:after="30"/>
              <w:ind w:firstLine="0"/>
              <w:jc w:val="center"/>
            </w:pPr>
            <w:r>
              <w:rPr>
                <w:rFonts w:ascii="Times New Roman" w:hAnsi="Times New Roman" w:eastAsia="宋体"/>
                <w:b w:val="0"/>
                <w:sz w:val="15"/>
              </w:rPr>
              <w:t>理论误选界依赖相应假设；本文将稳定频率用于分层和不确定性说明，不单独决定强制Top-3。</w:t>
            </w:r>
          </w:p>
        </w:tc>
      </w:tr>
      <w:tr>
        <w:trPr>
          <w:cantSplit/>
          <w:trHeight w:hRule="atLeast"/>
        </w:trPr>
        <w:tc>
          <w:tcPr>
            <w:tcW w:type="dxa" w:w="2041"/>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5"/>
              </w:rPr>
              <w:t>四路稳健秩融合（本文）</w:t>
            </w:r>
          </w:p>
        </w:tc>
        <w:tc>
          <w:tcPr>
            <w:tcW w:type="dxa" w:w="181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5"/>
              </w:rPr>
              <w:t>综合总关联、样本扰动、风格内关系与跨风格生存性</w:t>
            </w:r>
          </w:p>
        </w:tc>
        <w:tc>
          <w:tcPr>
            <w:tcW w:type="dxa" w:w="2494"/>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5"/>
              </w:rPr>
              <w:t>输出50×3完整答案；R1/R2/R3为38/52/60条，A/B/C/D为8/16/78/48条</w:t>
            </w:r>
          </w:p>
        </w:tc>
        <w:tc>
          <w:tcPr>
            <w:tcW w:type="dxa" w:w="2835"/>
            <w:tcBorders>
              <w:left w:val="nil"/>
              <w:bottom w:val="single" w:sz="10" w:color="000000"/>
              <w:right w:val="nil"/>
              <w:insideH w:val="nil"/>
              <w:insideV w:val="nil"/>
            </w:tcBorders>
            <w:tcMar>
              <w:top w:w="45" w:type="dxa"/>
              <w:start w:w="70" w:type="dxa"/>
              <w:bottom w:w="45" w:type="dxa"/>
              <w:end w:w="70" w:type="dxa"/>
            </w:tcMar>
            <w:vAlign w:val="center"/>
          </w:tcPr>
          <w:p>
            <w:pPr>
              <w:pStyle w:val="BodyText"/>
              <w:keepLines/>
              <w:spacing w:before="30" w:after="30"/>
              <w:ind w:firstLine="0"/>
              <w:jc w:val="center"/>
            </w:pPr>
            <w:r>
              <w:rPr>
                <w:rFonts w:ascii="Times New Roman" w:hAnsi="Times New Roman" w:eastAsia="宋体"/>
                <w:b w:val="0"/>
                <w:sz w:val="15"/>
              </w:rPr>
              <w:t>各路径只融合名次，不直接相加异质量纲的重要性；三证据等权方案稳定性下降，未被采用。</w:t>
            </w:r>
          </w:p>
        </w:tc>
      </w:tr>
    </w:tbl>
    <w:p>
      <w:pPr>
        <w:pStyle w:val="Heading3"/>
        <w:keepNext/>
        <w:keepLines/>
        <w:spacing w:before="120" w:after="120" w:line="300" w:lineRule="auto"/>
        <w:ind w:left="0" w:firstLine="0"/>
        <w:jc w:val="both"/>
      </w:pPr>
      <w:r>
        <w:rPr>
          <w:rFonts w:hint="eastAsia" w:ascii="Times New Roman" w:hAnsi="Times New Roman" w:eastAsia="黑体"/>
          <w:b/>
          <w:i w:val="0"/>
          <w:color w:val="000000"/>
          <w:sz w:val="24"/>
        </w:rPr>
        <w:t xml:space="preserve">补充检验：负对照、直接锚点与遮蔽敏感性</w:t>
      </w:r>
    </w:p>
    <w:p>
      <w:pPr>
        <w:pStyle w:val="BodyText"/>
        <w:keepLines/>
        <w:spacing w:before="0" w:after="0" w:line="300" w:lineRule="auto"/>
        <w:ind w:firstLine="480" w:left="0"/>
        <w:jc w:val="both"/>
      </w:pPr>
      <w:r>
        <w:rPr>
          <w:rFonts w:hint="eastAsia" w:ascii="Times New Roman" w:hAnsi="Times New Roman" w:eastAsia="宋体"/>
          <w:i w:val="0"/>
          <w:color w:val="000000"/>
          <w:sz w:val="24"/>
        </w:rPr>
        <w:t xml:space="preserve">为检验选择结果是否依赖真实信号，表5汇总目标置换、影子字段、直接锚点与字段遮蔽检验。目标置换在0.60、0.70、0.80和0.90四个入选频率阈值下均无关系通过；但影子字段在2,000条目标—重复—半样本记录中占1,524个入选槽，真实字段占4,476个槽。每条记录共有3个槽，影子字段占全部6,000个槽的25.4%。图5(a)比较两类字段每条记录的平均入选槽数，分别为2.238和0.762；该检验支持真实字段整体占优，同时表明局部前三仍存在非零噪声入选。</w:t>
      </w:r>
    </w:p>
    <w:p>
      <w:pPr>
        <w:pStyle w:val="BodyText"/>
        <w:keepLines/>
        <w:spacing w:before="0" w:after="0" w:line="300" w:lineRule="auto"/>
        <w:ind w:firstLine="480" w:left="0"/>
        <w:jc w:val="both"/>
      </w:pPr>
      <w:r>
        <w:rPr>
          <w:rFonts w:hint="eastAsia" w:ascii="Times New Roman" w:hAnsi="Times New Roman" w:eastAsia="宋体"/>
          <w:i w:val="0"/>
          <w:color w:val="000000"/>
          <w:sz w:val="24"/>
        </w:rPr>
        <w:t xml:space="preserve">图5(b)按bootstrap名次展示直接锚点。最终融合前三保留4VG、酒精感—乙醇、酒体—乙醇和碳酸感—二氧化碳4对关系。CO₂的bootstrap名次为第4，而最终融合名次为第3；DMS、双乙酰和反-2-壬烯醛分别为第29、92和61名，未进入最终融合前三。已知锚点的部分恢复支持方法能够识别若干已知关联，但不能将弱缺陷目标的前三字段解释为已验证的缺陷来源。</w:t>
      </w:r>
    </w:p>
    <w:p>
      <w:pPr>
        <w:pStyle w:val="BodyText"/>
        <w:keepLines/>
        <w:spacing w:before="0" w:after="0" w:line="300" w:lineRule="auto"/>
        <w:ind w:firstLine="480" w:left="0"/>
        <w:jc w:val="both"/>
      </w:pPr>
      <w:r>
        <w:rPr>
          <w:rFonts w:hint="eastAsia" w:ascii="Times New Roman" w:hAnsi="Times New Roman" w:eastAsia="宋体"/>
          <w:i w:val="0"/>
          <w:color w:val="000000"/>
          <w:sz w:val="24"/>
        </w:rPr>
        <w:t xml:space="preserve">字段遮蔽检验固定最终感官模型，将各外层训练折中条件效应排名前三的字段在验证集里替换为训练折中位数。50个目标的平均ΔMAE为0.0005806，目标均值的中位数为−0.00009657，22/50个目标误差上升；酒精感、酒花总体和苦度分别增加0.02244、0.01143和0.00501，其中酒精感相对增加6.99%。被遮蔽字段来自同折条件效应排名，与正式融合Top-3对应不同集合；本项只衡量冻结预测器对这些字段遮蔽的敏感程度，不包含重训不确定性，也不证明三字段具有充分性。</w:t>
      </w:r>
    </w:p>
    <w:p>
      <w:pPr>
        <w:pStyle w:val="BodyText"/>
        <w:keepNext/>
        <w:keepLines/>
        <w:spacing w:before="40" w:after="100"/>
        <w:ind w:firstLine="0"/>
        <w:jc w:val="center"/>
      </w:pPr>
      <w:r>
        <w:rPr>
          <w:rFonts w:ascii="Times New Roman" w:hAnsi="Times New Roman" w:eastAsia="宋体"/>
          <w:sz w:val="21"/>
        </w:rPr>
        <w:t xml:space="preserve">表5 补充检验的数值结果与解释范围</w:t>
      </w:r>
    </w:p>
    <w:tbl>
      <w:tblPr>
        <w:tblW w:type="dxa" w:w="8640"/>
        <w:jc w:val="center"/>
        <w:tblLayout w:type="fixed"/>
        <w:tblLook w:firstColumn="1" w:firstRow="1" w:lastColumn="0" w:lastRow="0" w:noHBand="0" w:noVBand="1" w:val="04A0"/>
      </w:tblPr>
      <w:tblGrid>
        <w:gridCol w:w="2100"/>
        <w:gridCol w:w="3600"/>
        <w:gridCol w:w="2940"/>
      </w:tblGrid>
      <w:tr>
        <w:trPr>
          <w:cantSplit/>
          <w:trHeight w:hRule="atLeast"/>
          <w:tblHeader/>
        </w:trPr>
        <w:tc>
          <w:tcPr>
            <w:tcW w:type="dxa" w:w="2100"/>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b/>
              </w:rPr>
              <w:t xml:space="preserve">检验项</w:t>
            </w:r>
          </w:p>
        </w:tc>
        <w:tc>
          <w:tcPr>
            <w:tcW w:type="dxa" w:w="3600"/>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b/>
              </w:rPr>
              <w:t xml:space="preserve">结果</w:t>
            </w:r>
          </w:p>
        </w:tc>
        <w:tc>
          <w:tcPr>
            <w:tcW w:type="dxa" w:w="2940"/>
            <w:tcBorders>
              <w:top w:val="single" w:sz="10" w:color="000000"/>
              <w:left w:val="nil"/>
              <w:bottom w:val="single" w:sz="6" w:color="000000"/>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b/>
              </w:rPr>
              <w:t xml:space="preserve">口径与解释</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bootstrap候选稳定性</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中位0.428；43/150≥0.60；留一风格均值0.6582</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按bootstrap频率选出的150对关系；集合对应后支持候选稳定性描述</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最终融合稳定性</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中位0.395；40/150≥0.60；留一风格均值0.6076、中位0.6591</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正式150对关系；尾部仍有替代与风格敏感性</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目标置换</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0/0/0/0条</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入选频率阈值0.60/0.70/0.80/0.90；仅针对所列阈值</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影子字段</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真实4,476槽；影子1,524槽（25.4%）</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2,000条记录，共6,000个前三槽；真实字段占优，噪声入选非零</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直接锚点</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最终保留4对；CO₂ bootstrap第4、最终第3</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7对单体锚点中4对保留；DMS/双乙酰/反-2-壬烯醛为29/92/61</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折内前三字段遮蔽</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平均ΔMAE +0.0005806；中位−0.00009657；22/50退化</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Next/>
              <w:keepLines/>
              <w:spacing w:before="0" w:after="0" w:line="220" w:lineRule="auto"/>
              <w:ind w:firstLine="0"/>
              <w:jc w:val="left"/>
            </w:pPr>
            <w:r>
              <w:rPr>
                <w:rFonts w:hint="eastAsia" w:ascii="Times New Roman" w:hAnsi="Times New Roman" w:eastAsia="宋体"/>
                <w:i w:val="0"/>
                <w:color w:val="000000"/>
                <w:sz w:val="18"/>
                <w:szCs w:val="18"/>
              </w:rPr>
              <w:t xml:space="preserve">固定最终感官模型，附件感官标准化尺度；对象为同折条件效应前三，不是充分性</w:t>
            </w:r>
          </w:p>
        </w:tc>
      </w:tr>
      <w:tr>
        <w:trPr>
          <w:cantSplit/>
          <w:trHeight w:hRule="atLeast"/>
        </w:trPr>
        <w:tc>
          <w:tcPr>
            <w:tcW w:type="dxa" w:w="2100"/>
            <w:tcBorders>
              <w:left w:val="nil"/>
              <w:right w:val="nil"/>
              <w:insideH w:val="nil"/>
              <w:insideV w:val="nil"/>
            </w:tcBorders>
            <w:tcMar>
              <w:top w:w="45" w:type="dxa"/>
              <w:start w:w="70" w:type="dxa"/>
              <w:bottom w:w="45" w:type="dxa"/>
              <w:end w:w="70" w:type="dxa"/>
            </w:tcMar>
            <w:vAlign w:val="center"/>
          </w:tcPr>
          <w:p>
            <w:pPr>
              <w:pStyle w:val="BodyText"/>
              <w:keepLines/>
              <w:spacing w:before="0" w:after="0" w:line="220" w:lineRule="auto"/>
              <w:ind w:firstLine="0"/>
              <w:jc w:val="left"/>
            </w:pPr>
            <w:r>
              <w:rPr>
                <w:rFonts w:hint="eastAsia" w:ascii="Times New Roman" w:hAnsi="Times New Roman" w:eastAsia="宋体"/>
                <w:i w:val="0"/>
                <w:color w:val="000000"/>
                <w:sz w:val="18"/>
                <w:szCs w:val="18"/>
              </w:rPr>
              <w:t xml:space="preserve">遮蔽后较大退化</w:t>
            </w:r>
          </w:p>
        </w:tc>
        <w:tc>
          <w:tcPr>
            <w:tcW w:type="dxa" w:w="3600"/>
            <w:tcBorders>
              <w:left w:val="nil"/>
              <w:right w:val="nil"/>
              <w:insideH w:val="nil"/>
              <w:insideV w:val="nil"/>
            </w:tcBorders>
            <w:tcMar>
              <w:top w:w="45" w:type="dxa"/>
              <w:start w:w="70" w:type="dxa"/>
              <w:bottom w:w="45" w:type="dxa"/>
              <w:end w:w="70" w:type="dxa"/>
            </w:tcMar>
            <w:vAlign w:val="center"/>
          </w:tcPr>
          <w:p>
            <w:pPr>
              <w:pStyle w:val="BodyText"/>
              <w:keepLines/>
              <w:spacing w:before="0" w:after="0" w:line="220" w:lineRule="auto"/>
              <w:ind w:firstLine="0"/>
              <w:jc w:val="left"/>
            </w:pPr>
            <w:r>
              <w:rPr>
                <w:rFonts w:hint="eastAsia" w:ascii="Times New Roman" w:hAnsi="Times New Roman" w:eastAsia="宋体"/>
                <w:i w:val="0"/>
                <w:color w:val="000000"/>
                <w:sz w:val="18"/>
                <w:szCs w:val="18"/>
              </w:rPr>
              <w:t xml:space="preserve">酒精感+0.02244（+6.99%）；酒花总体+0.01143；苦度+0.00501</w:t>
            </w:r>
          </w:p>
        </w:tc>
        <w:tc>
          <w:tcPr>
            <w:tcW w:type="dxa" w:w="2940"/>
            <w:tcBorders>
              <w:left w:val="nil"/>
              <w:right w:val="nil"/>
              <w:insideH w:val="nil"/>
              <w:insideV w:val="nil"/>
            </w:tcBorders>
            <w:tcMar>
              <w:top w:w="45" w:type="dxa"/>
              <w:start w:w="70" w:type="dxa"/>
              <w:bottom w:w="45" w:type="dxa"/>
              <w:end w:w="70" w:type="dxa"/>
            </w:tcMar>
            <w:vAlign w:val="center"/>
          </w:tcPr>
          <w:p>
            <w:pPr>
              <w:pStyle w:val="BodyText"/>
              <w:keepLines/>
              <w:spacing w:before="0" w:after="0" w:line="220" w:lineRule="auto"/>
              <w:ind w:firstLine="0"/>
              <w:jc w:val="left"/>
            </w:pPr>
            <w:r>
              <w:rPr>
                <w:rFonts w:hint="eastAsia" w:ascii="Times New Roman" w:hAnsi="Times New Roman" w:eastAsia="宋体"/>
                <w:i w:val="0"/>
                <w:color w:val="000000"/>
                <w:sz w:val="18"/>
                <w:szCs w:val="18"/>
              </w:rPr>
              <w:t xml:space="preserve">30折分别计算，再按目标平均；不包含重训或重新选择字段的变化</w:t>
            </w:r>
          </w:p>
        </w:tc>
      </w:tr>
    </w:tbl>
    <w:p>
      <w:pPr>
        <w:pStyle w:val="BodyText"/>
        <w:keepLines/>
        <w:spacing w:before="0" w:after="0" w:line="300" w:lineRule="auto"/>
        <w:ind w:firstLine="480" w:left="0"/>
        <w:jc w:val="both"/>
      </w:pPr>
      <w:r>
        <w:rPr>
          <w:rFonts w:hint="eastAsia" w:ascii="Times New Roman" w:hAnsi="Times New Roman" w:eastAsia="宋体"/>
          <w:i w:val="0"/>
          <w:color w:val="000000"/>
          <w:sz w:val="24"/>
        </w:rPr>
        <w:t xml:space="preserve">注：总关联共识参考集、bootstrap频率选出集与四路融合最终Top-3是不同集合。目标置换的通过关系数与影子记录的入选槽数分母不同。遮蔽敏感性使用每个训练折内条件效应前三字段和训练中位数，不改动正式答案排序。</w:t>
      </w:r>
    </w:p>
    <w:p>
      <w:pPr>
        <w:pStyle w:val="BodyText"/>
        <w:keepNext/>
        <w:keepLines/>
        <w:spacing w:before="60" w:after="0"/>
        <w:ind w:firstLine="0"/>
        <w:jc w:val="center"/>
      </w:pPr>
      <w:r>
        <w:drawing>
          <wp:inline>
            <wp:extent cx="5580000" cy="2790000"/>
            <wp:docPr id="1012" name="图5 负对照、影子字段与直接锚点恢复" descr="图5 负对照、影子字段与直接锚点恢复"/>
            <wp:cNvGraphicFramePr>
              <a:graphicFrameLocks noChangeAspect="1"/>
            </wp:cNvGraphicFramePr>
            <a:graphic>
              <a:graphicData uri="http://schemas.openxmlformats.org/drawingml/2006/picture">
                <pic:pic>
                  <pic:nvPicPr>
                    <pic:cNvPr id="0" name="图1_共表达图阈值敏感性_v3.png"/>
                    <pic:cNvPicPr/>
                  </pic:nvPicPr>
                  <pic:blipFill>
                    <a:blip r:embed="rIdReview12"/>
                    <a:stretch>
                      <a:fillRect/>
                    </a:stretch>
                  </pic:blipFill>
                  <pic:spPr>
                    <a:xfrm>
                      <a:off x="0" y="0"/>
                      <a:ext cx="5580000" cy="2790000"/>
                    </a:xfrm>
                    <a:prstGeom prst="rect"/>
                  </pic:spPr>
                </pic:pic>
              </a:graphicData>
            </a:graphic>
          </wp:inline>
        </w:drawing>
      </w:r>
    </w:p>
    <w:p>
      <w:pPr>
        <w:pStyle w:val="BodyText"/>
        <w:keepLines/>
        <w:spacing w:before="40" w:after="100"/>
        <w:ind w:firstLine="0"/>
        <w:jc w:val="center"/>
      </w:pPr>
      <w:r>
        <w:rPr>
          <w:rFonts w:ascii="Times New Roman" w:hAnsi="Times New Roman" w:eastAsia="宋体"/>
          <w:sz w:val="21"/>
        </w:rPr>
        <w:t xml:space="preserve">图5 负对照、影子字段与直接锚点恢复</w:t>
      </w:r>
    </w:p>
    <w:p>
      <w:pPr>
        <w:pStyle w:val="BodyText"/>
        <w:keepLines/>
        <w:spacing w:before="0" w:after="0" w:line="300" w:lineRule="auto"/>
        <w:ind w:firstLine="480" w:left="0"/>
        <w:jc w:val="both"/>
      </w:pPr>
      <w:r>
        <w:rPr>
          <w:rFonts w:hint="eastAsia" w:ascii="Times New Roman" w:hAnsi="Times New Roman" w:eastAsia="宋体"/>
          <w:i w:val="0"/>
          <w:color w:val="000000"/>
          <w:sz w:val="24"/>
        </w:rPr>
        <w:t xml:space="preserve">左图为2,000条目标—重复—半样本记录中每条记录的平均入选槽数；每条记录共有3个槽，真实字段与影子字段分别占4,476和1,524个槽，影子字段占全部6,000个槽的25.4%。右图为直接锚点的bootstrap名次，实心圆表示被最终融合前三保留，空心三角表示未被保留；虚线为bootstrap第3名，CO₂的bootstrap第4名与最终融合第3名属于不同排序。目标置换在0.60、0.70、0.80和0.90四个入选频率阈值下均无关系通过，不能据此将影子字段写成零误选。4VG为4-乙烯基愈创木酚，DMS为二甲基硫。</w:t>
      </w:r>
    </w:p>
    <w:p>
      <w:pPr>
        <w:pStyle w:val="Heading3"/>
        <w:spacing w:before="120" w:after="120" w:line="300" w:lineRule="auto"/>
        <w:ind w:left="0" w:firstLine="0"/>
        <w:jc w:val="both"/>
      </w:pPr>
      <w:r>
        <w:rPr>
          <w:rFonts w:hint="eastAsia" w:ascii="Times New Roman" w:hAnsi="Times New Roman" w:eastAsia="黑体"/>
          <w:b/>
          <w:i w:val="0"/>
          <w:color w:val="000000"/>
          <w:sz w:val="24"/>
        </w:rPr>
        <w:t>合理性与局限</w:t>
      </w:r>
    </w:p>
    <w:p>
      <w:pPr>
        <w:pStyle w:val="BodyText"/>
        <w:spacing w:before="0" w:after="0" w:line="300" w:lineRule="auto"/>
        <w:ind w:firstLine="480" w:left="0"/>
        <w:jc w:val="both"/>
      </w:pPr>
      <w:r>
        <w:rPr>
          <w:rFonts w:hint="eastAsia" w:ascii="Times New Roman" w:hAnsi="Times New Roman" w:eastAsia="宋体"/>
          <w:i w:val="0"/>
          <w:color w:val="000000"/>
          <w:sz w:val="24"/>
        </w:rPr>
        <w:t>4-乙烯基愈创木酚、乙醇、乳酸和二氧化碳等直接锚点进入最终Top-3，支持方法能够恢复部分已知关系。DMS、双乙酰和trans-2-nonenal的同名字段未进入前三，分别排在较后位置，因此相应目标的前三只能解释为当前样本中的预测关联，不能冒充已知缺陷化合物。</w:t>
      </w:r>
    </w:p>
    <w:p>
      <w:pPr>
        <w:pStyle w:val="BodyText"/>
        <w:spacing w:before="0" w:after="0" w:line="300" w:lineRule="auto"/>
        <w:ind w:firstLine="480" w:left="0"/>
        <w:jc w:val="both"/>
      </w:pPr>
      <w:r>
        <w:rPr>
          <w:rFonts w:hint="eastAsia" w:ascii="Times New Roman" w:hAnsi="Times New Roman" w:eastAsia="宋体"/>
          <w:i w:val="0"/>
          <w:color w:val="000000"/>
          <w:sz w:val="24"/>
        </w:rPr>
        <w:t>本问仍受250个样本、22种不均衡风格、共线替代和标准化感官信号限制。16个弱预测目标的Top-3为题面要求下的探索性输出；OAV仅在单位可比时计算，且不代表混合物中的实际贡献。若增加独立批次、原始评委评分或加标实验，应首先复核弱目标、风格敏感关系与缺陷味候选，再讨论可干预的工艺变量。</w:t>
      </w:r>
    </w:p>
    <w:p>
      <w:pPr>
        <w:pStyle w:val="BodyText"/>
        <w:spacing w:before="0" w:after="0" w:line="300" w:lineRule="auto"/>
        <w:ind w:firstLine="480" w:left="0"/>
        <w:jc w:val="both"/>
      </w:pPr>
      <w:r>
        <w:rPr>
          <w:rFonts w:hint="eastAsia" w:ascii="Times New Roman" w:hAnsi="Times New Roman" w:eastAsia="宋体"/>
          <w:i w:val="0"/>
          <w:color w:val="000000"/>
          <w:sz w:val="24"/>
        </w:rPr>
        <w:t>最终感官模型的模块与字段两级归因已完成30折复核。归因结果支持把预测依赖与统计稳健性分开报告：前者回答冻结模型依赖哪些化学信息，后者决定每个感官维度的Top-3。两类证据结论不一致时，以重采样和风格扰动下更稳定的排序作为题面答案。</w:t>
      </w:r>
    </w:p>
    <w:p>
      <w:pPr>
        <w:pStyle w:val="Heading2"/>
        <w:spacing w:before="140" w:after="140" w:line="300" w:lineRule="auto"/>
        <w:ind w:left="0" w:firstLine="0"/>
        <w:jc w:val="both"/>
      </w:pPr>
      <w:r>
        <w:rPr>
          <w:rFonts w:hint="eastAsia" w:ascii="Times New Roman" w:hAnsi="Times New Roman" w:eastAsia="黑体"/>
          <w:b/>
          <w:i w:val="0"/>
          <w:color w:val="000000"/>
          <w:sz w:val="28"/>
        </w:rPr>
        <w:t>问题二方法参考文献</w:t>
      </w:r>
    </w:p>
    <w:p>
      <w:pPr>
        <w:pStyle w:val="BodyText"/>
        <w:spacing w:before="0" w:after="0" w:line="300" w:lineRule="auto"/>
        <w:ind w:firstLine="480" w:left="0"/>
        <w:jc w:val="both"/>
      </w:pPr>
      <w:r>
        <w:rPr>
          <w:rFonts w:hint="eastAsia" w:ascii="Times New Roman" w:hAnsi="Times New Roman" w:eastAsia="宋体"/>
          <w:i w:val="0"/>
          <w:color w:val="000000"/>
          <w:sz w:val="24"/>
        </w:rPr>
        <w:t>[1] Zhang B, Horvath S. A general framework for weighted gene co-expression network analysis[J]. Statistical Applications in Genetics and Molecular Biology, 2005, 4: Article 17. DOI: 10.2202/1544-6115.1128.</w:t>
      </w:r>
    </w:p>
    <w:p>
      <w:pPr>
        <w:pStyle w:val="BodyText"/>
        <w:spacing w:before="0" w:after="0" w:line="300" w:lineRule="auto"/>
        <w:ind w:firstLine="480" w:left="0"/>
        <w:jc w:val="both"/>
      </w:pPr>
      <w:r>
        <w:rPr>
          <w:rFonts w:hint="eastAsia" w:ascii="Times New Roman" w:hAnsi="Times New Roman" w:eastAsia="宋体"/>
          <w:i w:val="0"/>
          <w:color w:val="000000"/>
          <w:sz w:val="24"/>
        </w:rPr>
        <w:t>[2] Friedman J, Hastie T, Tibshirani R. Sparse inverse covariance estimation with the graphical lasso[J]. Biostatistics, 2008, 9(3): 432-441. DOI: 10.1093/biostatistics/kxm045.</w:t>
      </w:r>
    </w:p>
    <w:p>
      <w:pPr>
        <w:pStyle w:val="BodyText"/>
        <w:spacing w:before="0" w:after="0" w:line="300" w:lineRule="auto"/>
        <w:ind w:firstLine="480" w:left="0"/>
        <w:jc w:val="both"/>
      </w:pPr>
      <w:r>
        <w:rPr>
          <w:rFonts w:hint="eastAsia" w:ascii="Times New Roman" w:hAnsi="Times New Roman" w:eastAsia="宋体"/>
          <w:i w:val="0"/>
          <w:color w:val="000000"/>
          <w:sz w:val="24"/>
        </w:rPr>
        <w:t>[3] Strobl C, Boulesteix A L, Kneib T, et al. Conditional variable importance for random forests[J]. BMC Bioinformatics, 2008, 9: 307. DOI: 10.1186/1471-2105-9-307.</w:t>
      </w:r>
    </w:p>
    <w:p>
      <w:pPr>
        <w:pStyle w:val="BodyText"/>
        <w:spacing w:before="0" w:after="0" w:line="300" w:lineRule="auto"/>
        <w:ind w:firstLine="480" w:left="0"/>
        <w:jc w:val="both"/>
      </w:pPr>
      <w:r>
        <w:rPr>
          <w:rFonts w:hint="eastAsia" w:ascii="Times New Roman" w:hAnsi="Times New Roman" w:eastAsia="宋体"/>
          <w:i w:val="0"/>
          <w:color w:val="000000"/>
          <w:sz w:val="24"/>
        </w:rPr>
        <w:t>[4] Meinshausen N, Bühlmann P. Stability selection[J]. Journal of the Royal Statistical Society: Series B, 2010, 72(4): 417-473. DOI: 10.1111/j.1467-9868.2010.00740.x.</w:t>
      </w:r>
    </w:p>
    <w:p>
      <w:pPr>
        <w:pStyle w:val="BodyText"/>
        <w:spacing w:before="0" w:after="0" w:line="300" w:lineRule="auto"/>
        <w:ind w:firstLine="480" w:left="0"/>
        <w:jc w:val="both"/>
      </w:pPr>
      <w:r>
        <w:rPr>
          <w:rFonts w:hint="eastAsia" w:ascii="Times New Roman" w:hAnsi="Times New Roman" w:eastAsia="宋体"/>
          <w:i w:val="0"/>
          <w:color w:val="000000"/>
          <w:sz w:val="24"/>
        </w:rPr>
        <w:t>[5] Shah R D, Samworth R J. Variable selection with error control: another look at stability selection[J]. Journal of the Royal Statistical Society: Series B, 2013, 75(1): 55-80. DOI: 10.1111/j.1467-9868.2011.01034.x.</w:t>
      </w:r>
    </w:p>
    <w:p>
      <w:pPr>
        <w:pStyle w:val="BodyText"/>
        <w:spacing w:before="0" w:after="0" w:line="300" w:lineRule="auto"/>
        <w:ind w:firstLine="480" w:left="0"/>
        <w:jc w:val="both"/>
      </w:pPr>
      <w:r>
        <w:rPr>
          <w:rFonts w:hint="eastAsia" w:ascii="Times New Roman" w:hAnsi="Times New Roman" w:eastAsia="宋体"/>
          <w:i w:val="0"/>
          <w:color w:val="000000"/>
          <w:sz w:val="24"/>
        </w:rPr>
        <w:t>[6] Lundberg S M, Lee S I. A unified approach to interpreting model predictions[C]//Advances in Neural Information Processing Systems 30. 2017: 4765-4774.</w:t>
      </w:r>
    </w:p>
    <w:sectPr>
      <w:footerReference w:type="default" r:id="rId9"/>
      <w:footnotePr>
        <w:numRestart w:val="eachSect"/>
      </w:footnotePr>
      <w:pgNumType w:start="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 PAGE </w:instrText>
      <w:fldChar w:fldCharType="separate"/>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i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Review12" Type="http://schemas.openxmlformats.org/officeDocument/2006/relationships/image" Target="media/review_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问题二模型建立与求解</dc:title>
  <dc:creator/>
  <cp:keywords/>
  <dcterms:created xsi:type="dcterms:W3CDTF">2026-10-24T07:07:43Z</dcterms:created>
  <dcterms:modified xsi:type="dcterms:W3CDTF">2026-10-24T07:07:43Z</dcterms:modified>
  <dc:subject>啤酒关键化合物的稳健识别与化学核验</dc:subject>
  <cp:lastModifiedBy/>
  <dc:description/>
  <cp:category/>
  <dc:identifier/>
</cp:coreProperties>
</file>