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摘要式结论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针对50个标准化感官维度的关键化合物识别，本文从250款啤酒的231项化学及理化测量中预先界定218个严格单体候选，在10次重复、每次3折的外层验证下比较边际关联、PLS/VIP、ElasticNet、图正则回归和非线性树模型，并对第一问最终感官模型开展模块与字段两级条件归因。最终答案采用总关联、500次分层自助、风格校正和22次留一风格删除的四路稳健秩融合，每个感官维度输出3项，共150条；分层自助候选集的入选频率中位数为0.428，四路融合最终Top-3为0.395。第一问最终感官模型的宏平均R²、MAE和Spearman为0.2564、0.3361和0.4302，其归因仅作为独立预测依赖证据。化学核验得到A/B/C/D级关系8/16/78/48条；补充的三证据等权融合稳定性下降，故不替换正式Top-3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问题二分析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研究背景与任务界定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难点与证据链设计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共线字段会在重采样中相互替代；啤酒风格同时影响化学组成和感官评分，容易形成风格间关联；部分缺陷味与细分香气的折外可预测性较弱。本文先冻结218个严格单体候选，在相同的10次重复、每次3折外层划分下比较边际相关、稀疏回归和图正则回归，并对第一问最终感官模型做模块与字段两级条件归因。最终排序仍采用经分层自助、风格内校正和留一风格检验的稳健秩融合；统计排名冻结后，再用阈值、OAV、同名锚点和化学文献分级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数据口径与候选范围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1与附件4按beer字段一一对齐，形成250×231的输入矩阵和250×50的连续感官矩阵。问题二不使用beer_id连接，不把风格字段作为候选化合物，也不对附件1中已给出的log10字段重复取对数。73个缺失单元仅在相应训练子样本内用中位数填补，缺失位置在预测模型中保留指示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候选资格先于统计建模冻结。色度、pH、苦度、蛋白质、总糖、热量、总酯、总酸、总硫及其他聚合或理化指标共13项不属于严格单体化合物，只参与全因素敏感性检查，不进入题面要求的最终Top-3。严格候选因此为218项；化学名称由字段映射表与附件8逐项核对。表1概括数据和证据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问题二数据契约与证据边界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2381"/>
        <w:gridCol w:w="3061"/>
      </w:tblGrid>
      <w:tr>
        <w:trPr>
          <w:trHeight w:hRule="atLeast"/>
          <w:cantSplit/>
          <w:tblHeader/>
        </w:trPr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30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解释边界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250款、50维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固定10×3外层划分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逐目标折外评价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231项、73个缺失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训练子样本内填补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严格候选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218个单体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排除13个聚合/理化指标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全因素仅作敏感性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共表达矩阵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231×231 Spearman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描述图与折内图分开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验证时不复用全量图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标准化连续值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按附件尺度建模</w:t>
            </w:r>
          </w:p>
        </w:tc>
        <w:tc>
          <w:tcPr>
            <w:tcW w:type="dxa" w:w="30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不声称恢复原始0—6分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化学证据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阈值、来源、异味、文献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排名冻结后追加</w:t>
            </w:r>
          </w:p>
        </w:tc>
        <w:tc>
          <w:tcPr>
            <w:tcW w:type="dxa" w:w="30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不作因果解释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记第i款啤酒的化学向量为x_i，第j个标准化感官值为y_ij。关键化合物识别以式(1)所示预测关系为共同评价对象，但最终名次由相互独立的统计证据融合决定，而不是直接把某一模型的重要性当作因果效应。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ε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1,…,250,  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1,…,50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边际关联、稀疏回归与折内图正则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第一类证据为逐目标Spearman边际关联。它保留单调非线性且对异常值较稳健，式(2)将化学字段和感官值的样本秩相关标准化。所有排名均先过滤为218个严格单体候选。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ρ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= 1</m:t>
                      </m:r>
                    </m:sub>
                    <m:sup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− </m:t>
                          </m:r>
                          <m:sSub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e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eastAsia="Cambria Math" w:cs="Cambria Math"/>
                                              <w:sz w:val="21"/>
                                              <w:szCs w:val="21"/>
                                            </w:rPr>
                                            <m:t>R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sup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二类证据为ElasticNet条件稀疏系数；第三类为加入有符号归一化图拉普拉斯的稀疏回归。图矩阵在每个外层训练折内重新估计，负边保留方向，缺失填补和标准化也只使用训练折。对目标j，图正则目标函数写为式(3)。其中L_s为有符号图拉普拉斯，λ_1控制稀疏度，λ_G控制共表达邻居的系数平滑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arg min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sub>
              </m:sSub>
              <m:d>
                <m:dPr>
                  <m:begChr m:val="{"/>
                  <m:endChr m:val="}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n</m:t>
                      </m:r>
                    </m:den>
                  </m:f>
                  <m:sSup>
                    <m:e>
                      <m:sSub>
                        <m:e>
                          <m:d>
                            <m:dPr>
                              <m:begChr m:val="‖"/>
                              <m:endChr m:val="‖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 − 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d>
                        <m:dPr>
                          <m:begChr m:val="‖"/>
                          <m:endChr m:val="‖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β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+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λ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  <m:sSup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T</m:t>
                      </m:r>
                    </m:sup>
                  </m:sSup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β</m:t>
                  </m:r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图正则模型用于检验代谢共表达结构是否提高预测与排名稳定性。若折外误差没有改善，图结构仍可用于模块联合置换和解释，但不据此宣称预测增益。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最终感官模型的分层条件归因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第一问最终模型由ExtraTrees、直方图梯度提升、秩高斯Ridge和秩高斯PLS2组成，并用带自由截距的非负最小二乘在香气、风味和味觉/口感/总体三个感官组内估计融合权重，再向共享权重收缩0.5。问题二沿用第一问的10×3外层划分，在每个外层训练折中固定基学习器参数和融合权重，重建同一折预测器；归因阶段不重新选参，也不重新估计非负融合权重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归因分两级进行。先将折内共表达模块整组置换，测量模块对50维感官预测的联合影响；再在模块内逐字段条件置换，只打乱观测值并保留原缺失掩码，以减弱模块内替代造成的重要性错配。若置换字段k后目标j的验证MAE上升，则式(4)的条件误差增量为正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Δ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cond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, 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−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MAE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30个外层折的预测重建最大绝对误差为1.998×10⁻¹⁵。模块置换和模块内条件置换分别形成13,900条与327,000条折级汇总记录。两类误差增量只刻画冻结预测器对字段或模块的依赖，不直接等同于感官机理或因果效应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四路稳健秩融合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三类基础方法先形成总关联共识，随后与分层自助稳定排名、风格校正排名、留一风格保留排名共同组成四路证据。对每个目标和候选，先比较四路Top-10与Top-3支持数，再计算式(5)的倒数秩分数；r_ℓkj表示候选k在第ℓ类证据中对目标j的名次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ℓ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4</m:t>
                  </m:r>
                </m:sup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60 +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ℓkj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稳定性检验在22种啤酒风格内保持样本数进行500次有放回抽样。每次重新完成预处理、候选排序和方法融合，候选的入选频率按式(6)计算。与此同时，逐一删除22种风格并重算排名，以检验某一风格是否主导关系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π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= 1</m:t>
                  </m:r>
                </m:sub>
                <m:sup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B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∈ 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b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j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化学合理性与证据分级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统计Top-3冻结后，才依据同名锚点、描述词特异性、附件来源/老化/异味注释及同行评议文献进行化学核验。仅当附件8同时提供原始校准浓度c_k和同字段、同单位感知阈值τ_k时，才按式(7)计算气味活性值。附件1中的log10数值不直接除以阈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OAV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f>
                <m:num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τ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&gt; 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A级表示统计关系较稳健且有直接身份或特异描述词证据；B级表示统计与化学类别证据较完整；C级至少有一侧证据但特异性不足；D级为弱预测背景或缺少特异化学支持。OAV达到1仅说明单体浓度达到阈值量级，不排除混合物协同、掩蔽、基质与个体差异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监督模型复用问题一冻结的10次重复、每次3折外层划分；每个重复中250款啤酒各作为一次验证样本。参数、缺失填补、图结构、风格均值和条件分组均只由外层训练折估计。表2报告六种候选方法及最终感官模型的重复宏平均结果。图1突出相关阈值变化对正负边和网络连通结构的影响；图2分开呈现候选模型性能与正式Top-3对四路证据的一致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相同外层划分下的候选模型与最终感官模型性能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71"/>
        <w:gridCol w:w="1871"/>
        <w:gridCol w:w="1417"/>
        <w:gridCol w:w="1531"/>
      </w:tblGrid>
      <w:tr>
        <w:trPr>
          <w:trHeight w:hRule="atLeast"/>
          <w:cantSplit/>
          <w:tblHeader/>
        </w:trPr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-0.0081±0.0024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0.4173±0.0005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0.5690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Spearman Top-3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0.1064±0.0043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0.3843±0.0010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0.5273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0.2969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PLS/VIP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0.2089±0.0069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0.3556±0.0015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0.4890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0.4023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0.2086±0.0046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0.3529±0.0012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0.4903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0.3917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有符号图ElasticNet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0.2084±0.0047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0.3530±0.0013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0.4905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0.3919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ExtraTrees条件归因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0.3422±0.0011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0.4794</w:t>
            </w:r>
          </w:p>
        </w:tc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0.4144</w:t>
            </w:r>
          </w:p>
        </w:tc>
      </w:tr>
      <w:tr>
        <w:trPr>
          <w:trHeight w:hRule="atLeast"/>
          <w:cantSplit/>
        </w:trPr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0.3361±0.0016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0.4714</w:t>
            </w:r>
          </w:p>
        </w:tc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宏平均R²、MAE和Spearman分别为0.2564、0.3361和0.4302，优于独立ExtraTrees验证器的0.2359、0.3422和0.4144。图正则模型相对ElasticNet的MAE增加0.00011，因此图结构只用于模块与敏感性分析。最终感官模型承担预测归因，关键化合物答案仍由跨方法、重采样和风格扰动下更稳定的四路秩融合给出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化合物共表达网络的阈值选择与结构敏感性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注：全量描述图；边数采用可包含零值的伪对数轴。虚线为既定阈值0.60，正负边数为264和2；全量描述图不参与折内监督验证。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491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模型性能与四路一致性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9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候选模型的折外性能与稳健排序的四路一致性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前三面板为10次重复的均值±标准差，短横线表示标准差。NNLS指感官组收缩NNLS，图正则EN指有符号图正则回归，ExtraTrees为独立树验证器，Spearman为边际关联Top-3预测器。点图坐标轴局部放大；MAE越低越好，R²与Spearman越高越好。末面板为正式Top-3与四路证据的平均Jaccard，不是预测性能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稳定性与风格敏感性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500次分层自助中，150条聚合Top-3的入选频率范围为0.182—0.992，中位数为0.428；四路融合最终Top-3的中位数为0.395；达到0.60、0.70和0.80的候选分别有43、31和23条。逐目标Top-3两两Jaccard均值为0.245，说明共线字段替代和样本扰动不可忽略。稳定共聚类得到170个模块，其中155个为单字段模块，最大模块含15个字段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相同参数下，未校正与风格校正Top-3的平均Jaccard为0.264，只有2/50个目标完全一致。逐一删除22种风格后，1,100个“风格—目标”组合的Top-3平均Jaccard为0.523；分层自助候选集的平均保留率为0.641；四路融合最终Top-3为0.608（中位0.659）。图3按化学证据等级分别展示样本扰动与风格扰动下的稳定性分布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补充的互补半样本检验按风格分层构造100对互补子样本，每个子样本重新填补、风格中心化并排序。入选频率不低于0.60的关系有24条；在0.60—0.90四个预设阈值下，风格内目标置换均未产生入选关系。互补Top-3的平均Jaccard仅为0.085，说明排名尾部仍有明显替代性。因此，论文同时报告确认关系与探索性关系，不把强制输出的150条关系写成同等可靠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候选稳定性与证据等级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不同化学证据等级的样本与风格扰动稳定性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注：两面板均纳入全部150条关系。每格为对应等级内的关系数，底色为等级内比例；五个区间依次左闭右开，末区间包含1。A/B/C/D为既有化学核验等级，分箱只用于呈现，不改变等级或排序。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关键化合物与化学核验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四路融合的150条统计Top-3中，强稳健、中等稳健和探索性候选分别为38、52和60条；50个目标中，22个折外R²不低于0.20，12个介于0.10与0.20之间，16个低于0.10。题面要求每个维度输出3项，因此弱预测目标仍保留候选，但必须标明探索性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化学证据较充分的代表性关键关系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"/>
        <w:gridCol w:w="2154"/>
        <w:gridCol w:w="1474"/>
        <w:gridCol w:w="1474"/>
        <w:gridCol w:w="1247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感官维度</w:t>
            </w:r>
          </w:p>
        </w:tc>
        <w:tc>
          <w:tcPr>
            <w:tcW w:type="dxa" w:w="73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名次</w:t>
            </w:r>
          </w:p>
        </w:tc>
        <w:tc>
          <w:tcPr>
            <w:tcW w:type="dxa" w:w="215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关键化合物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自助入选频率</w:t>
            </w:r>
          </w:p>
        </w:tc>
        <w:tc>
          <w:tcPr>
            <w:tcW w:type="dxa" w:w="147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留一风格保留率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中位OAV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指甲油样香气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指甲油样风味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乙酸乙酯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0.878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1.203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4-乙烯基愈创木酚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酸度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酒精感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酒体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乙醇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0.955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4.140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碳酸感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15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二氧化碳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不可比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乳酸感</w:t>
            </w:r>
          </w:p>
        </w:tc>
        <w:tc>
          <w:tcPr>
            <w:tcW w:type="dxa" w:w="73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15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乳酸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0.992</w:t>
            </w:r>
          </w:p>
        </w:tc>
        <w:tc>
          <w:tcPr>
            <w:tcW w:type="dxa" w:w="147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1.000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0.346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150条候选的A/B/C/D级数量分别为8、16、78和48，其中73条具备可比的浓度与阈值，23条的中位OAV不低于1。表3列出的8条A级关系包括乙酸乙酯—指甲油样酯香、4-乙烯基愈创木酚—同名感官、乳酸—酸度/乳酸感、乙醇—酒精感/酒体以及二氧化碳—碳酸感。图4展示这些关系在四路证据中的名次和可计算的中位OAV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0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级关系四路排名与OAV_v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A级化合物—感官关系的四路名次与气味活性值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左侧名次越小越靠前；右侧点为OAV中位数，横线为四分位区间。OAV为无量纲浓度/阈值比，采用含零伪对数轴，虚线为OAV=1；N/A表示单位或阈值不可比，0为零值，二者不等同。两面板关系按行对齐。4VG为4-乙烯基愈创木酚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尺度估计、图构建、风格均值、条件分组或参数选择；全量附件2仅用于数据定义核验与描述图。分层自助、风格校正和留一风格三种扰动从不同方向检验名次稳定性，字段级结果同时报告所属稳定模块，避免把同模块替代误写为唯一关键成分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边际相关的宏平均R²为0.1064，说明单变量排序不足以概括多维感官信号；PLS/VIP与ElasticNet提高到约0.209，而加入有符号图惩罚后R²为0.2084、MAE为0.3530，未获得额外预测收益。独立ExtraTrees验证器达到0.2359，最终感官模型提高到0.2564。图结构因此只承担模块、条件依赖和敏感性解释，不被写成预测增益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将最终模型条件归因、折内偏相关和稳定模块三类证据等权融合后，候选Top-3的CPSS频率中位数、互补半样本Jaccard和留一风格生存率分别由0.1425、0.1669、0.6591降至0.0750、0.1151、0.4091，并遗漏碳酸感的直接锚点。该方案作为失败消融保留，不进入正式排序；后续自动化化学分级也不生成正式答案。问题二最终结论仍是四路稳健统计Top-3，最终感官模型归因只作为独立预测依赖证据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表4把本文各方法家族与公开文献中的相应技术目的并列。文献数据的研究对象、样本尺度和评价任务与本题不同，因此文献指标不可直接横比；本表只比较方法能回答的问题、本文中的证据角色及采用边界。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公开方法与本文方法链的功能对照及消融结论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2494"/>
        <w:gridCol w:w="2835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方法家族</w:t>
            </w:r>
          </w:p>
        </w:tc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回答的问题</w:t>
            </w:r>
          </w:p>
        </w:tc>
        <w:tc>
          <w:tcPr>
            <w:tcW w:type="dxa" w:w="249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本文对应结果</w:t>
            </w:r>
          </w:p>
        </w:tc>
        <w:tc>
          <w:tcPr>
            <w:tcW w:type="dxa" w:w="283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差异与采用判断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Spearman/加权相关网络</w:t>
              <w:br/>
              <w:t>Zhang与Horvath（2005）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描述成对共变及模块结构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边际基线R²=0.1064；|ρ|=0.60时保留266条描述性边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相关网络不区分直接与间接联系；全量图只作描述，监督验证中的图均由训练折估计。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稀疏回归与graphical lasso</w:t>
              <w:br/>
              <w:t>Friedman等（2008）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估计条件线性效应和稀疏条件依赖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ElasticNet R²=0.2086；图正则R²=0.2084，折内偏相关模块用于结构审计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稀疏精度矩阵有助于排除部分间接边，但未改善正式排名的综合稳定性，故不替换四路排序。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树模型条件置换与SHAP</w:t>
              <w:br/>
              <w:t>Strobl等（2008）；Lundberg与Lee（2017）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解释非线性预测器依赖哪些变量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 R²=0.2359；最终感官模型R²=0.2564，并完成模块—字段两级条件归因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SHAP回答加性预测归因；本文共线性较强，采用模块联合与条件置换，归因只作预测依赖证据。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稳定选择与互补半样本</w:t>
              <w:br/>
              <w:t>Meinshausen与Bühlmann（2010）；Shah与Samworth（2013）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评价变量选择在重采样下的可重复性与误选风险</w:t>
            </w:r>
          </w:p>
        </w:tc>
        <w:tc>
          <w:tcPr>
            <w:tcW w:type="dxa" w:w="249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500次分层自助入选频率中位数0.428；互补半样本与风格内置换用于补充检验</w:t>
            </w:r>
          </w:p>
        </w:tc>
        <w:tc>
          <w:tcPr>
            <w:tcW w:type="dxa" w:w="283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理论误选界依赖相应假设；本文将稳定频率用于分层和不确定性说明，不单独决定强制Top-3。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四路稳健秩融合（本文）</w:t>
            </w:r>
          </w:p>
        </w:tc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综合总关联、样本扰动、风格内关系与跨风格生存性</w:t>
            </w:r>
          </w:p>
        </w:tc>
        <w:tc>
          <w:tcPr>
            <w:tcW w:type="dxa" w:w="249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输出50×3完整答案；R1/R2/R3为38/52/60条，A/B/C/D为8/16/78/48条</w:t>
            </w:r>
          </w:p>
        </w:tc>
        <w:tc>
          <w:tcPr>
            <w:tcW w:type="dxa" w:w="283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各路径只融合名次，不直接相加异质量纲的重要性；三证据等权方案稳定性下降，未被采用。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sz w:val="24"/>
        </w:rPr>
        <w:t>补充检验：负对照、直接锚点与删除敏感性</w:t>
      </w:r>
    </w:p>
    <w:p>
      <w:pPr>
        <w:pStyle w:val="BodyText"/>
      </w:pPr>
      <w:r>
        <w:t>为检验排名是否只是候选字段筛选的结果，补充目标置换、影子字段和直接锚点检查。四个预登记入选阈值下，目标置换均未产生入选关系；影子字段仍有1,524/2,000次局部Top-3入选，真实字段为4,476/2,000次。因此只能表述为真实字段整体占优，不能写成零误选。</w:t>
      </w:r>
    </w:p>
    <w:p>
      <w:pPr>
        <w:pStyle w:val="BodyText"/>
      </w:pPr>
      <w:r>
        <w:t>直接锚点方面，现行最终Top-3保留4-VG、酒精感、酒体和碳酸感四个既有锚点；DMS、双乙酰和反-2-壬烯醛分别位于第29、92和61名，只作探索性结论。删除Top-3后，50个目标的平均ΔMAE为0.00058，22/50个目标出现平均退化；最大退化为酒精感+0.02244（+6.99%），说明排序整体稳定但不是不可替代。</w:t>
      </w:r>
    </w:p>
    <w:p>
      <w:pPr>
        <w:pStyle w:val="BodyText"/>
      </w:pPr>
      <w:r>
        <w:t>稳定性口径需分开报告：分层自助候选集的入选频率中位数为0.428（43/150不低于0.60），四路融合最终Top-3为0.395（40/150不低于0.60）；留一风格平均保留率分别为0.641和0.608，最终Top-3的中位保留率为0.659。正式答案采用四路融合最终Top-3；0.428/43只描述自助候选集的稳定性。</w:t>
      </w:r>
    </w:p>
    <w:p>
      <w:pPr>
        <w:pStyle w:val="BodyText"/>
        <w:jc w:val="center"/>
      </w:pPr>
      <w:r>
        <w:drawing>
          <wp:inline>
            <wp:extent cx="5580000" cy="251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负对照与直接锚点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t>图5 负对照、影子字段与直接锚点恢复</w:t>
      </w:r>
    </w:p>
    <w:p>
      <w:pPr>
        <w:pStyle w:val="BodyText"/>
        <w:jc w:val="center"/>
      </w:pPr>
      <w:r>
        <w:t>表5 补充检验的数值结果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/>
                <w:sz w:val="17"/>
              </w:rPr>
              <w:t>检验项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/>
                <w:sz w:val="17"/>
              </w:rPr>
              <w:t>结果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SimSun" w:hAnsi="SimSun"/>
                <w:b/>
                <w:sz w:val="17"/>
              </w:rPr>
              <w:t>口径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目标置换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0/0/0/0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阈值0.60/0.70/0.80/0.90，风格内置换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影子字段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1,524 次；真实字段 4,476 次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2,000条目标—重复—半样本记录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现行直接锚点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4/4；CO2 bootstrap第4名</w:t>
            </w:r>
          </w:p>
        </w:tc>
        <w:tc>
          <w:tcPr>
            <w:tcW w:type="dxa" w:w="3175"/>
          </w:tcPr>
          <w:p>
            <w:r>
              <w:t>现行最终Top-3；三证据融合候选遗漏CO2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删除Top-3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平均ΔMAE 0.00058；22/50目标变差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50目标，ΔMAE=masked−baseline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稳定性口径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候选集0.428/43；最终Top-3 0.395/40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SimSun" w:hAnsi="SimSun"/>
                <w:b w:val="0"/>
                <w:sz w:val="17"/>
              </w:rPr>
              <w:t>频率中位数与≥0.60条数</w:t>
            </w:r>
          </w:p>
        </w:tc>
      </w:tr>
    </w:tbl>
    <w:p>
      <w:pPr>
        <w:pStyle w:val="BodyText"/>
      </w:pPr>
      <w:r>
        <w:t>注：影子字段入选不能解释为零误选；删除敏感性为固定最终模型下的Top-3遮蔽，不包含重训不确定性。DMS、双乙酰和反-2-壬烯醛未进入Top-3，不能写成已恢复的缺陷锚点。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4-乙烯基愈创木酚、乙醇、乳酸和二氧化碳等直接锚点进入最终Top-3，支持方法能够恢复部分已知关系。DMS、双乙酰和trans-2-nonenal的同名字段未进入前三，分别排在较后位置，因此相应目标的前三只能解释为当前样本中的预测关联，不能冒充已知缺陷化合物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共线替代和标准化感官信号限制。16个弱预测目标的Top-3为题面要求下的探索性输出；OAV仅在单位可比时计算，且不代表混合物中的实际贡献。若增加独立批次、原始评委评分或加标实验，应首先复核弱目标、风格敏感关系与缺陷味候选，再讨论可干预的工艺变量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感官模型的模块与字段两级归因已完成30折复核。归因结果支持把预测依赖与统计稳健性分开报告：前者回答冻结模型依赖哪些化学信息，后者决定每个感官维度的Top-3。两类证据结论不一致时，以重采样和风格扰动下更稳定的排序作为题面答案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问题二方法参考文献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Zhang B, Horvath S. A general framework for weighted gene co-expression network analysis[J]. Statistical Applications in Genetics and Molecular Biology, 2005, 4: Article 17. DOI: 10.2202/1544-6115.1128.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Friedman J, Hastie T, Tibshirani R. Sparse inverse covariance estimation with the graphical lasso[J]. Biostatistics, 2008, 9(3): 432-441. DOI: 10.1093/biostatistics/kxm045.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[3] Strobl C, Boulesteix A L, Kneib T, et al. Conditional variable importance for random forests[J]. BMC Bioinformatics, 2008, 9: 307. DOI: 10.1186/1471-2105-9-307.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[4] Meinshausen N, Bühlmann P. Stability selection[J]. Journal of the Royal Statistical Society: Series B, 2010, 72(4): 417-473. DOI: 10.1111/j.1467-9868.2010.00740.x.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[5] Shah R D, Samworth R J. Variable selection with error control: another look at stability selection[J]. Journal of the Royal Statistical Society: Series B, 2013, 75(1): 55-80. DOI: 10.1111/j.1467-9868.2011.01034.x.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[6] Lundberg S M, Lee S I. A unified approach to interpreting model predictions[C]//Advances in Neural Information Processing Systems 30. 2017: 4765-4774.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