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spacing w:before="480" w:after="480" w:line="300" w:lineRule="auto"/>
        <w:ind w:left="0" w:firstLine="0"/>
        <w:jc w:val="center"/>
      </w:pPr>
      <w:r>
        <w:rPr>
          <w:rFonts w:hint="eastAsia" w:ascii="黑体" w:hAnsi="黑体" w:eastAsia="黑体"/>
          <w:b/>
          <w:i w:val="0"/>
          <w:color w:val="000000"/>
          <w:sz w:val="32"/>
        </w:rPr>
        <w:t>问题三模型建立与求解</w:t>
      </w:r>
    </w:p>
    <w:p>
      <w:pPr>
        <w:pStyle w:val="Heading2"/>
        <w:spacing w:before="140" w:after="14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摘要式结论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本文针对风格条件化合物谱生成、感官画像和跨风格迁移三个目标，使用风格内经验边缘与收缩相关结构构建联合生成模型，并将生成谱输入第一问最终感官组收缩NNLS。每种目标风格生成300份谱，稳健尺度下W1、联合energy、留出覆盖率和对数离散误差分别为0.4762、0.5813、0.5580和0.2475；Tripel、Kriek、Lambic的画像呈现酒精/苦味/酒花/4VG与酸度/乳酸感的清晰差异。33组迁移任务中形成2条待实测统计候选，但未知浓度、检测地板和感官代理不稳定仍被单独标记，候选不等同于实测结果或物理安全认证。</w:t>
      </w:r>
    </w:p>
    <w:p>
      <w:pPr>
        <w:pStyle w:val="Heading2"/>
        <w:spacing w:before="140" w:after="14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问题三分析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研究背景与任务界定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问题三要求以tasting_category_fine为条件生成Tripel、Kriek和Lambic等风格的化合物谱，给出生成样本的感官画像，并把源啤酒迁移到目标风格，同时控制DMS、双乙酰、4VG、trans-2-nonenal和Stale hops等缺陷或代理指标不恶化。问题本质是高维联合分布生成、跨模型感官映射和带约束的化学空间搜索。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难点与证据链设计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本题的难点有三：231个化学及理化字段对应的风格样本数只有28、10、11；检测地板、缺失和参考值冲突使部分浓度不可直接比较；生成谱的感官画像与迁移收益都依赖第一问预测器，离开训练支持域后容易把模型外推误写成真实改善。本文先以折内边缘、相关结构和边界处理建立生成证据，再用留出分布指标、感官画像和化学可比性分层审计。</w:t>
      </w:r>
    </w:p>
    <w:p>
      <w:pPr>
        <w:pStyle w:val="Heading2"/>
        <w:spacing w:before="140" w:after="14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问题三模型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数据口径与预处理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以beer作为唯一连接键，beer_id不参与建模。保留250个样本、231个字段和原始缺失；对正值成对比对识别37个log10字段和33个原尺度字段，其余字段保持附件存储尺度。另行保存缺失掩码、校准零、参考冲突和可比观测状态。生成与迁移中的分位、尺度、相关阵和边界均在训练折内估计，全量描述量只用于最终画像和图表。</w:t>
      </w:r>
    </w:p>
    <w:p>
      <w:pPr>
        <w:pStyle w:val="BodyText"/>
        <w:keepNext/>
        <w:spacing w:before="60" w:after="40"/>
        <w:ind w:firstLine="0"/>
        <w:jc w:val="center"/>
      </w:pPr>
      <w:r>
        <w:rPr>
          <w:rFonts w:ascii="Times New Roman" w:hAnsi="Times New Roman" w:eastAsia="宋体"/>
          <w:sz w:val="21"/>
        </w:rPr>
        <w:t>表1  问题三数据口径与处理规则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3700"/>
        <w:gridCol w:w="3500"/>
      </w:tblGrid>
      <w:tr>
        <w:trPr>
          <w:cantSplit/>
          <w:trHeight w:hRule="atLeast"/>
          <w:tblHeader/>
        </w:trPr>
        <w:tc>
          <w:tcPr>
            <w:tcW w:type="dxa" w:w="1700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对象</w:t>
            </w:r>
          </w:p>
        </w:tc>
        <w:tc>
          <w:tcPr>
            <w:tcW w:type="dxa" w:w="3700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处理规则</w:t>
            </w:r>
          </w:p>
        </w:tc>
        <w:tc>
          <w:tcPr>
            <w:tcW w:type="dxa" w:w="3500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保留的边界</w:t>
            </w:r>
          </w:p>
        </w:tc>
      </w:tr>
      <w:tr>
        <w:trPr>
          <w:cantSplit/>
          <w:trHeight w:hRule="atLeast"/>
        </w:trPr>
        <w:tc>
          <w:tcPr>
            <w:tcW w:type="dxa" w:w="17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主键</w:t>
            </w:r>
          </w:p>
        </w:tc>
        <w:tc>
          <w:tcPr>
            <w:tcW w:type="dxa" w:w="37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按beer对齐化学谱、风格和感官数据</w:t>
            </w:r>
          </w:p>
        </w:tc>
        <w:tc>
          <w:tcPr>
            <w:tcW w:type="dxa" w:w="35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beer_id不连接、不建模</w:t>
            </w:r>
          </w:p>
        </w:tc>
      </w:tr>
      <w:tr>
        <w:trPr>
          <w:cantSplit/>
          <w:trHeight w:hRule="atLeast"/>
        </w:trPr>
        <w:tc>
          <w:tcPr>
            <w:tcW w:type="dxa" w:w="17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化学字段</w:t>
            </w:r>
          </w:p>
        </w:tc>
        <w:tc>
          <w:tcPr>
            <w:tcW w:type="dxa" w:w="37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按字段核验结果保留log10或原尺度</w:t>
            </w:r>
          </w:p>
        </w:tc>
        <w:tc>
          <w:tcPr>
            <w:tcW w:type="dxa" w:w="35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不对所有字段统一指数化</w:t>
            </w:r>
          </w:p>
        </w:tc>
      </w:tr>
      <w:tr>
        <w:trPr>
          <w:cantSplit/>
          <w:trHeight w:hRule="atLeast"/>
        </w:trPr>
        <w:tc>
          <w:tcPr>
            <w:tcW w:type="dxa" w:w="17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缺失/地板</w:t>
            </w:r>
          </w:p>
        </w:tc>
        <w:tc>
          <w:tcPr>
            <w:tcW w:type="dxa" w:w="37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保留缺失掩码和地板状态</w:t>
            </w:r>
          </w:p>
        </w:tc>
        <w:tc>
          <w:tcPr>
            <w:tcW w:type="dxa" w:w="35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未知浓度不作为安全上限</w:t>
            </w:r>
          </w:p>
        </w:tc>
      </w:tr>
      <w:tr>
        <w:trPr>
          <w:cantSplit/>
          <w:trHeight w:hRule="atLeast"/>
        </w:trPr>
        <w:tc>
          <w:tcPr>
            <w:tcW w:type="dxa" w:w="17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感官画像</w:t>
            </w:r>
          </w:p>
        </w:tc>
        <w:tc>
          <w:tcPr>
            <w:tcW w:type="dxa" w:w="37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使用第一问最终感官组收缩NNLS</w:t>
            </w:r>
          </w:p>
        </w:tc>
        <w:tc>
          <w:tcPr>
            <w:tcW w:type="dxa" w:w="35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0–6仅作训练折经验映射</w:t>
            </w:r>
          </w:p>
        </w:tc>
      </w:tr>
      <w:tr>
        <w:trPr>
          <w:cantSplit/>
          <w:trHeight w:hRule="atLeast"/>
        </w:trPr>
        <w:tc>
          <w:tcPr>
            <w:tcW w:type="dxa" w:w="17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迁移约束</w:t>
            </w:r>
          </w:p>
        </w:tc>
        <w:tc>
          <w:tcPr>
            <w:tcW w:type="dxa" w:w="37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已知直接浓度逐项比较，未知项返回未知</w:t>
            </w:r>
          </w:p>
        </w:tc>
        <w:tc>
          <w:tcPr>
            <w:tcW w:type="dxa" w:w="35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未知不计入通过分母</w:t>
            </w:r>
          </w:p>
        </w:tc>
      </w:tr>
    </w:tbl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风格条件收缩Copula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设风格为s，第k个字段的风格内经验分位函数为Qsk。对风格内观测按字段取平均秩，并把秩映射到标准正态空间。</w:t>
      </w:r>
    </w:p>
    <w:tbl>
      <w:tblPr>
        <w:tblW w:type="pct" w:w="5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578"/>
        <w:gridCol w:w="7483"/>
        <w:gridCol w:w="578"/>
      </w:tblGrid>
      <w:tr>
        <w:trPr>
          <w:cantSplit/>
        </w:trP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Lines/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Lines/>
              <w:spacing w:before="40" w:after="40"/>
              <w:ind w:firstLine="0"/>
              <w:jc w:val="center"/>
            </w:pPr>
            <m:oMath>
              <m:sSub>
                <m:e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z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ik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 = </m:t>
              </m:r>
              <m:sSup>
                <m:e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Φ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−1</m:t>
                  </m:r>
                </m:sup>
              </m:sSup>
              <m:d>
                <m:dPr>
                  <m:begChr m:val="("/>
                  <m:endChr m:val=")"/>
                </m:dPr>
                <m:e>
                  <m:f>
                    <m:num>
                      <m:sSub>
                        <m:e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r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ik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 − 0.5</m:t>
                      </m:r>
                    </m:num>
                    <m:den>
                      <m:sSub>
                        <m:e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n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s</m:t>
                          </m:r>
                        </m:sub>
                      </m:sSub>
                    </m:den>
                  </m:f>
                </m:e>
              </m:d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Lines/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(1)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在潜在空间中，对风格内协方差向总体对角结构收缩；αs由训练折内的稳定性准则确定，Ds为协方差的对角阵，p为字段数。</w:t>
      </w:r>
    </w:p>
    <w:tbl>
      <w:tblPr>
        <w:tblW w:type="pct" w:w="5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578"/>
        <w:gridCol w:w="7483"/>
        <w:gridCol w:w="578"/>
      </w:tblGrid>
      <w:tr>
        <w:trPr>
          <w:cantSplit/>
        </w:trP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Lines/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Lines/>
              <w:spacing w:before="40" w:after="40"/>
              <w:ind w:firstLine="0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Σ</m:t>
                      </m:r>
                    </m:e>
                  </m:acc>
                </m:e>
                <m:sub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 = (1 − </m:t>
              </m:r>
              <m:sSub>
                <m:e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α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)</m:t>
              </m:r>
              <m:sSub>
                <m:e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Σ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 + </m:t>
              </m:r>
              <m:sSub>
                <m:e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α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s</m:t>
                  </m:r>
                </m:sub>
              </m:sSub>
              <m:f>
                <m:num>
                  <m:func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tr</m:t>
                      </m:r>
                    </m:fName>
                    <m:e>
                      <m:d>
                        <m:dPr>
                          <m:begChr m:val="("/>
                          <m:endChr m:val=")"/>
                        </m:dPr>
                        <m:e>
                          <m:sSub>
                            <m:e>
                              <m:r>
                                <m:rPr>
                                  <m:sty m:val="i"/>
                                </m:rPr>
                                <w:rPr>
                                  <w:rFonts w:ascii="Cambria Math" w:hAnsi="Cambria Math" w:eastAsia="Cambria Math" w:cs="Cambria Math"/>
                                  <w:sz w:val="21"/>
                                  <w:szCs w:val="21"/>
                                </w:rPr>
                                <m:t>Σ</m:t>
                              </m:r>
                            </m:e>
                            <m:sub>
                              <m:r>
                                <m:rPr>
                                  <m:sty m:val="i"/>
                                </m:rPr>
                                <w:rPr>
                                  <w:rFonts w:ascii="Cambria Math" w:hAnsi="Cambria Math" w:eastAsia="Cambria Math" w:cs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sub>
                          </m:sSub>
                        </m:e>
                      </m:d>
                    </m:e>
                  </m:func>
                </m:num>
                <m:den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p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I</m:t>
              </m:r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Lines/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(2)</w:t>
            </w:r>
          </w:p>
        </w:tc>
      </w:tr>
    </w:tbl>
    <w:tbl>
      <w:tblPr>
        <w:tblW w:type="pct" w:w="5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578"/>
        <w:gridCol w:w="7483"/>
        <w:gridCol w:w="578"/>
      </w:tblGrid>
      <w:tr>
        <w:trPr>
          <w:cantSplit/>
        </w:trP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Lines/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Lines/>
              <w:spacing w:before="40" w:after="40"/>
              <w:ind w:firstLine="0"/>
              <w:jc w:val="center"/>
            </w:pPr>
            <m:oMath>
              <m:sSub>
                <m:e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R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 = </m:t>
              </m:r>
              <m:sSup>
                <m:e>
                  <m:sSub>
                    <m:e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D</m:t>
                      </m:r>
                    </m:e>
                    <m:sub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s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−1/2</m:t>
                  </m:r>
                </m:sup>
              </m:sSup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Σ</m:t>
                      </m:r>
                    </m:e>
                  </m:acc>
                </m:e>
                <m:sub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s</m:t>
                  </m:r>
                </m:sub>
              </m:sSub>
              <m:sSup>
                <m:e>
                  <m:sSub>
                    <m:e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D</m:t>
                      </m:r>
                    </m:e>
                    <m:sub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s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−1/2</m:t>
                  </m:r>
                </m:sup>
              </m:sSup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Lines/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(3)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从标准正态相关分布采样后，按训练风格的经验边缘分位函数反变换，保留每个字段的非正态边缘并共享稳定的依赖结构。</w:t>
      </w:r>
    </w:p>
    <w:tbl>
      <w:tblPr>
        <w:tblW w:type="pct" w:w="5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578"/>
        <w:gridCol w:w="7483"/>
        <w:gridCol w:w="578"/>
      </w:tblGrid>
      <w:tr>
        <w:trPr>
          <w:cantSplit/>
        </w:trP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Lines/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Lines/>
              <w:spacing w:before="40" w:after="40"/>
              <w:ind w:firstLine="0"/>
              <w:jc w:val="center"/>
            </w:pPr>
            <m:oMath>
              <m:sSubSup>
                <m:e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k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*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 = </m:t>
              </m:r>
              <m:sSub>
                <m:e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Q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sk</m:t>
                  </m:r>
                </m:sub>
              </m:sSub>
              <m:d>
                <m:dPr>
                  <m:begChr m:val="("/>
                  <m:endChr m:val=")"/>
                </m:dPr>
                <m:e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Φ</m:t>
                  </m:r>
                  <m:d>
                    <m:dPr>
                      <m:begChr m:val="("/>
                      <m:endChr m:val=")"/>
                    </m:dPr>
                    <m:e>
                      <m:sSubSup>
                        <m:e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z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k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*</m:t>
                          </m:r>
                        </m:sup>
                      </m:sSubSup>
                    </m:e>
                  </m:d>
                </m:e>
              </m:d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Lines/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(4)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该模型不把三个目标风格的均值简单平移到同一空间，也不将生成尾部解释为实测浓度；评价同时使用边缘W1、联合energy、留出覆盖率、对数离散误差、秩相关误差和近训练复制率。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感官画像与相对等级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每个生成谱通过第一问最终感官组收缩NNLS得到50维标准化感官预测，再按对应训练折的经验分布做单调0–6映射。每种风格汇总300份生成谱的均值和第10–90百分位范围，该区间描述合成样本散布，不是均值置信区间。</w:t>
      </w:r>
    </w:p>
    <w:p>
      <w:pPr>
        <w:pStyle w:val="BodyText"/>
        <w:keepNext/>
        <w:spacing w:before="60" w:after="40"/>
        <w:ind w:firstLine="0"/>
        <w:jc w:val="center"/>
      </w:pPr>
      <w:r>
        <w:rPr>
          <w:rFonts w:ascii="Times New Roman" w:hAnsi="Times New Roman" w:eastAsia="宋体"/>
          <w:sz w:val="21"/>
        </w:rPr>
        <w:t>表2  三种风格生成样本的六维相对画像均值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2350"/>
        <w:gridCol w:w="2350"/>
        <w:gridCol w:w="2500"/>
      </w:tblGrid>
      <w:tr>
        <w:trPr>
          <w:cantSplit/>
          <w:trHeight w:hRule="atLeast"/>
          <w:tblHeader/>
        </w:trPr>
        <w:tc>
          <w:tcPr>
            <w:tcW w:type="dxa" w:w="1700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维度</w:t>
            </w:r>
          </w:p>
        </w:tc>
        <w:tc>
          <w:tcPr>
            <w:tcW w:type="dxa" w:w="2350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Tripel</w:t>
            </w:r>
          </w:p>
        </w:tc>
        <w:tc>
          <w:tcPr>
            <w:tcW w:type="dxa" w:w="2350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Kriek</w:t>
            </w:r>
          </w:p>
        </w:tc>
        <w:tc>
          <w:tcPr>
            <w:tcW w:type="dxa" w:w="2500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Lambic</w:t>
            </w:r>
          </w:p>
        </w:tc>
      </w:tr>
      <w:tr>
        <w:trPr>
          <w:cantSplit/>
          <w:trHeight w:hRule="atLeast"/>
        </w:trPr>
        <w:tc>
          <w:tcPr>
            <w:tcW w:type="dxa" w:w="17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酒精感</w:t>
            </w:r>
          </w:p>
        </w:tc>
        <w:tc>
          <w:tcPr>
            <w:tcW w:type="dxa" w:w="235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4.4</w:t>
            </w:r>
          </w:p>
        </w:tc>
        <w:tc>
          <w:tcPr>
            <w:tcW w:type="dxa" w:w="235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0.9</w:t>
            </w:r>
          </w:p>
        </w:tc>
        <w:tc>
          <w:tcPr>
            <w:tcW w:type="dxa" w:w="25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1.1</w:t>
            </w:r>
          </w:p>
        </w:tc>
      </w:tr>
      <w:tr>
        <w:trPr>
          <w:cantSplit/>
          <w:trHeight w:hRule="atLeast"/>
        </w:trPr>
        <w:tc>
          <w:tcPr>
            <w:tcW w:type="dxa" w:w="17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苦味</w:t>
            </w:r>
          </w:p>
        </w:tc>
        <w:tc>
          <w:tcPr>
            <w:tcW w:type="dxa" w:w="235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3.9</w:t>
            </w:r>
          </w:p>
        </w:tc>
        <w:tc>
          <w:tcPr>
            <w:tcW w:type="dxa" w:w="235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0.6</w:t>
            </w:r>
          </w:p>
        </w:tc>
        <w:tc>
          <w:tcPr>
            <w:tcW w:type="dxa" w:w="25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1.1</w:t>
            </w:r>
          </w:p>
        </w:tc>
      </w:tr>
      <w:tr>
        <w:trPr>
          <w:cantSplit/>
          <w:trHeight w:hRule="atLeast"/>
        </w:trPr>
        <w:tc>
          <w:tcPr>
            <w:tcW w:type="dxa" w:w="17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酒花味</w:t>
            </w:r>
          </w:p>
        </w:tc>
        <w:tc>
          <w:tcPr>
            <w:tcW w:type="dxa" w:w="235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3.7</w:t>
            </w:r>
          </w:p>
        </w:tc>
        <w:tc>
          <w:tcPr>
            <w:tcW w:type="dxa" w:w="235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0.8</w:t>
            </w:r>
          </w:p>
        </w:tc>
        <w:tc>
          <w:tcPr>
            <w:tcW w:type="dxa" w:w="25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1.6</w:t>
            </w:r>
          </w:p>
        </w:tc>
      </w:tr>
      <w:tr>
        <w:trPr>
          <w:cantSplit/>
          <w:trHeight w:hRule="atLeast"/>
        </w:trPr>
        <w:tc>
          <w:tcPr>
            <w:tcW w:type="dxa" w:w="17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4VG</w:t>
            </w:r>
          </w:p>
        </w:tc>
        <w:tc>
          <w:tcPr>
            <w:tcW w:type="dxa" w:w="235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4.6</w:t>
            </w:r>
          </w:p>
        </w:tc>
        <w:tc>
          <w:tcPr>
            <w:tcW w:type="dxa" w:w="235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0.8</w:t>
            </w:r>
          </w:p>
        </w:tc>
        <w:tc>
          <w:tcPr>
            <w:tcW w:type="dxa" w:w="25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1.3</w:t>
            </w:r>
          </w:p>
        </w:tc>
      </w:tr>
      <w:tr>
        <w:trPr>
          <w:cantSplit/>
          <w:trHeight w:hRule="atLeast"/>
        </w:trPr>
        <w:tc>
          <w:tcPr>
            <w:tcW w:type="dxa" w:w="17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酸度</w:t>
            </w:r>
          </w:p>
        </w:tc>
        <w:tc>
          <w:tcPr>
            <w:tcW w:type="dxa" w:w="235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3.0</w:t>
            </w:r>
          </w:p>
        </w:tc>
        <w:tc>
          <w:tcPr>
            <w:tcW w:type="dxa" w:w="235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5.6</w:t>
            </w:r>
          </w:p>
        </w:tc>
        <w:tc>
          <w:tcPr>
            <w:tcW w:type="dxa" w:w="25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5.6</w:t>
            </w:r>
          </w:p>
        </w:tc>
      </w:tr>
      <w:tr>
        <w:trPr>
          <w:cantSplit/>
          <w:trHeight w:hRule="atLeast"/>
        </w:trPr>
        <w:tc>
          <w:tcPr>
            <w:tcW w:type="dxa" w:w="17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乳酸感</w:t>
            </w:r>
          </w:p>
        </w:tc>
        <w:tc>
          <w:tcPr>
            <w:tcW w:type="dxa" w:w="235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2.9</w:t>
            </w:r>
          </w:p>
        </w:tc>
        <w:tc>
          <w:tcPr>
            <w:tcW w:type="dxa" w:w="235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5.6</w:t>
            </w:r>
          </w:p>
        </w:tc>
        <w:tc>
          <w:tcPr>
            <w:tcW w:type="dxa" w:w="25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5.7</w:t>
            </w:r>
          </w:p>
        </w:tc>
      </w:tr>
    </w:tbl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受约束迁移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设源谱为x0，目标风格候选端点为a，在化学设计空间中沿线性路径搜索候选谱。</w:t>
      </w:r>
    </w:p>
    <w:tbl>
      <w:tblPr>
        <w:tblW w:type="pct" w:w="5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578"/>
        <w:gridCol w:w="7483"/>
        <w:gridCol w:w="578"/>
      </w:tblGrid>
      <w:tr>
        <w:trPr>
          <w:cantSplit/>
        </w:trP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Lines/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Lines/>
              <w:spacing w:before="40" w:after="40"/>
              <w:ind w:firstLine="0"/>
              <w:jc w:val="center"/>
            </w:pPr>
            <m:oMath>
              <m:r>
                <m:rPr>
                  <m:sty m:val="i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x</m:t>
              </m:r>
              <m:d>
                <m:dPr>
                  <m:begChr m:val="("/>
                  <m:endChr m:val=")"/>
                </m:dPr>
                <m:e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λ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 = (1 − </m:t>
              </m:r>
              <m:r>
                <m:rPr>
                  <m:sty m:val="i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)</m:t>
              </m:r>
              <m:sSub>
                <m:e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 + </m:t>
              </m:r>
              <m:r>
                <m:rPr>
                  <m:sty m:val="i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λ</m:t>
              </m:r>
              <m:r>
                <m:rPr>
                  <m:sty m:val="i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,  0 ≤ </m:t>
              </m:r>
              <m:r>
                <m:rPr>
                  <m:sty m:val="i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 ≤ 1</m:t>
              </m:r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Lines/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(5)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对DMS、双乙酰、4VG和trans-2-nonenal，仅在源浓度可核验时施加不升约束；未知源值不填补为安全上限。</w:t>
      </w:r>
    </w:p>
    <w:tbl>
      <w:tblPr>
        <w:tblW w:type="pct" w:w="5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578"/>
        <w:gridCol w:w="7483"/>
        <w:gridCol w:w="578"/>
      </w:tblGrid>
      <w:tr>
        <w:trPr>
          <w:cantSplit/>
        </w:trP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Lines/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Lines/>
              <w:spacing w:before="40" w:after="40"/>
              <w:ind w:firstLine="0"/>
              <w:jc w:val="center"/>
            </w:pPr>
            <m:oMath>
              <m:sSubSup>
                <m:e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c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k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*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(λ) = </m:t>
              </m:r>
              <m:func>
                <m:fNam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min</m:t>
                  </m:r>
                </m:fName>
                <m:e>
                  <m:d>
                    <m:dPr>
                      <m:begChr m:val="("/>
                      <m:endChr m:val=")"/>
                    </m:dPr>
                    <m:e>
                      <m:sSub>
                        <m:e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c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k</m:t>
                          </m:r>
                        </m:sub>
                      </m:sSub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x</m:t>
                          </m:r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λ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, 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c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k</m:t>
                          </m:r>
                        </m:sub>
                      </m:sSub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0</m:t>
                          </m:r>
                        </m:e>
                      </m:d>
                    </m:e>
                  </m:d>
                </m:e>
              </m:func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Lines/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(6)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目标接近用目标风格相关结构下的距离衡量，谱改动用标准差归一化RMS衡量；两者是化学设计空间距离，不等同于酿造成本或实测迁移真值。</w:t>
      </w:r>
    </w:p>
    <w:tbl>
      <w:tblPr>
        <w:tblW w:type="pct" w:w="5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578"/>
        <w:gridCol w:w="7483"/>
        <w:gridCol w:w="578"/>
      </w:tblGrid>
      <w:tr>
        <w:trPr>
          <w:cantSplit/>
        </w:trP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Lines/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Lines/>
              <w:spacing w:before="40" w:after="40"/>
              <w:ind w:firstLine="0"/>
              <w:jc w:val="center"/>
            </w:pPr>
            <m:oMath>
              <m:sSub>
                <m:e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d</m:t>
                  </m:r>
                </m:e>
                <m:sub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s</m:t>
                  </m:r>
                </m:sub>
              </m:sSub>
              <m:d>
                <m:dPr>
                  <m:begChr m:val="("/>
                  <m:endChr m:val=")"/>
                </m:dPr>
                <m:e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 = </m:t>
              </m:r>
              <m:sSup>
                <m:e>
                  <m:d>
                    <m:dPr>
                      <m:begChr m:val="("/>
                      <m:endChr m:val=")"/>
                    </m:dPr>
                    <m:e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 − 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μ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s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T</m:t>
                  </m:r>
                </m:sup>
              </m:sSup>
              <m:sSup>
                <m:e>
                  <m:sSub>
                    <m:e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R</m:t>
                      </m:r>
                    </m:e>
                    <m:sub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s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−1</m:t>
                  </m:r>
                </m:sup>
              </m:sSup>
              <m:d>
                <m:dPr>
                  <m:begChr m:val="("/>
                  <m:endChr m:val=")"/>
                </m:dPr>
                <m:e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 − </m:t>
                  </m:r>
                  <m:sSub>
                    <m:e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μ</m:t>
                      </m:r>
                    </m:e>
                    <m:sub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s</m:t>
                      </m:r>
                    </m:sub>
                  </m:sSub>
                </m:e>
              </m:d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Lines/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(7)</w:t>
            </w:r>
          </w:p>
        </w:tc>
      </w:tr>
    </w:tbl>
    <w:tbl>
      <w:tblPr>
        <w:tblW w:type="pct" w:w="5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578"/>
        <w:gridCol w:w="7483"/>
        <w:gridCol w:w="578"/>
      </w:tblGrid>
      <w:tr>
        <w:trPr>
          <w:cantSplit/>
        </w:trP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Lines/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Lines/>
              <w:spacing w:before="40" w:after="40"/>
              <w:ind w:firstLine="0"/>
              <w:jc w:val="center"/>
            </w:pPr>
            <m:oMath>
              <m:r>
                <m:rPr>
                  <m:sty m:val="i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Δ</m:t>
              </m:r>
              <m:d>
                <m:dPr>
                  <m:begChr m:val="("/>
                  <m:endChr m:val=")"/>
                </m:dPr>
                <m:e>
                  <m:r>
                    <m:rPr>
                      <m:sty m:val="i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1"/>
                      <w:szCs w:val="21"/>
                    </w:rPr>
                    <m:t>, </m:t>
                  </m:r>
                  <m:sSub>
                    <m:e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1"/>
                  <w:szCs w:val="21"/>
                </w:rPr>
                <m:t> = </m:t>
              </m:r>
              <m:rad>
                <m:radPr>
                  <m:degHide m:val="1"/>
                </m:radPr>
                <m:deg/>
                <m:e>
                  <m:f>
                    <m:num>
                      <m:nary>
                        <m:naryPr>
                          <m:chr m:val="∑"/>
                          <m:limLoc m:val="undOvr"/>
                          <m:grow m:val="1"/>
                        </m:naryPr>
                        <m:sub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k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 = 1</m:t>
                          </m:r>
                        </m:sub>
                        <m:sup>
                          <m:r>
                            <m:rPr>
                              <m:sty m:val="i"/>
                            </m:rPr>
                            <w:rPr>
                              <w:rFonts w:ascii="Cambria Math" w:hAnsi="Cambria Math" w:eastAsia="Cambria Math" w:cs="Cambria Math"/>
                              <w:sz w:val="21"/>
                              <w:szCs w:val="21"/>
                            </w:rPr>
                            <m:t>p</m:t>
                          </m:r>
                        </m:sup>
                        <m:e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</m:dPr>
                                <m:e>
                                  <m:sSub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w:rPr>
                                          <w:rFonts w:ascii="Cambria Math" w:hAnsi="Cambria Math" w:eastAsia="Cambria Math" w:cs="Cambria Math"/>
                                          <w:sz w:val="21"/>
                                          <w:szCs w:val="21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i"/>
                                        </m:rPr>
                                        <w:rPr>
                                          <w:rFonts w:ascii="Cambria Math" w:hAnsi="Cambria Math" w:eastAsia="Cambria Math" w:cs="Cambria Math"/>
                                          <w:sz w:val="21"/>
                                          <w:szCs w:val="21"/>
                                        </w:rPr>
                                        <m:t>k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eastAsia="Cambria Math" w:cs="Cambria Math"/>
                                      <w:sz w:val="21"/>
                                      <w:szCs w:val="21"/>
                                    </w:rPr>
                                    <m:t> − </m:t>
                                  </m:r>
                                  <m:sSub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w:rPr>
                                          <w:rFonts w:ascii="Cambria Math" w:hAnsi="Cambria Math" w:eastAsia="Cambria Math" w:cs="Cambria Math"/>
                                          <w:sz w:val="21"/>
                                          <w:szCs w:val="21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i"/>
                                        </m:rPr>
                                        <w:rPr>
                                          <w:rFonts w:ascii="Cambria Math" w:hAnsi="Cambria Math" w:eastAsia="Cambria Math" w:cs="Cambria Math"/>
                                          <w:sz w:val="21"/>
                                          <w:szCs w:val="21"/>
                                        </w:rPr>
                                        <m:t>0k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eastAsia="Cambria Math" w:cs="Cambria Math"/>
                                  <w:sz w:val="21"/>
                                  <w:szCs w:val="21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</m:num>
                    <m:den>
                      <m:r>
                        <m:rPr>
                          <m:sty m:val="i"/>
                        </m:rPr>
                        <w:rPr>
                          <w:rFonts w:ascii="Cambria Math" w:hAnsi="Cambria Math" w:eastAsia="Cambria Math" w:cs="Cambria Math"/>
                          <w:sz w:val="21"/>
                          <w:szCs w:val="21"/>
                        </w:rPr>
                        <m:t>p</m:t>
                      </m:r>
                    </m:den>
                  </m:f>
                </m:e>
              </m:rad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Lines/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(8)</w:t>
            </w:r>
          </w:p>
        </w:tc>
      </w:tr>
    </w:tbl>
    <w:p>
      <w:pPr>
        <w:pStyle w:val="Heading2"/>
        <w:spacing w:before="140" w:after="14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问题三求解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交叉验证与模型比较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所有生成方法复用相同的10次重复、每次3折外层划分；边缘、相关阵、缺失处理和风格内参数均只由训练折估计。全数据最终生成仅用于三种目标风格的画像，不回写外层评价。</w:t>
      </w:r>
    </w:p>
    <w:p>
      <w:pPr>
        <w:pStyle w:val="BodyText"/>
        <w:keepNext/>
        <w:spacing w:before="60" w:after="40"/>
        <w:ind w:firstLine="0"/>
        <w:jc w:val="center"/>
      </w:pPr>
      <w:r>
        <w:rPr>
          <w:rFonts w:ascii="Times New Roman" w:hAnsi="Times New Roman" w:eastAsia="宋体"/>
          <w:sz w:val="21"/>
        </w:rPr>
        <w:t>表3  生成方法的稳健尺度比较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00"/>
        <w:gridCol w:w="1450"/>
        <w:gridCol w:w="1600"/>
        <w:gridCol w:w="1700"/>
        <w:gridCol w:w="1800"/>
      </w:tblGrid>
      <w:tr>
        <w:trPr>
          <w:cantSplit/>
          <w:trHeight w:hRule="atLeast"/>
          <w:tblHeader/>
        </w:trPr>
        <w:tc>
          <w:tcPr>
            <w:tcW w:type="dxa" w:w="2700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方法</w:t>
            </w:r>
          </w:p>
        </w:tc>
        <w:tc>
          <w:tcPr>
            <w:tcW w:type="dxa" w:w="1450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W1↓</w:t>
            </w:r>
          </w:p>
        </w:tc>
        <w:tc>
          <w:tcPr>
            <w:tcW w:type="dxa" w:w="1600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energy↓</w:t>
            </w:r>
          </w:p>
        </w:tc>
        <w:tc>
          <w:tcPr>
            <w:tcW w:type="dxa" w:w="1700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覆盖率↑</w:t>
            </w:r>
          </w:p>
        </w:tc>
        <w:tc>
          <w:tcPr>
            <w:tcW w:type="dxa" w:w="1800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离散误差↓</w:t>
            </w:r>
          </w:p>
        </w:tc>
      </w:tr>
      <w:tr>
        <w:trPr>
          <w:cantSplit/>
          <w:trHeight w:hRule="atLeast"/>
        </w:trPr>
        <w:tc>
          <w:tcPr>
            <w:tcW w:type="dxa" w:w="27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风格收缩Copula</w:t>
            </w:r>
          </w:p>
        </w:tc>
        <w:tc>
          <w:tcPr>
            <w:tcW w:type="dxa" w:w="145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0.4762</w:t>
            </w:r>
          </w:p>
        </w:tc>
        <w:tc>
          <w:tcPr>
            <w:tcW w:type="dxa" w:w="16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0.5813</w:t>
            </w:r>
          </w:p>
        </w:tc>
        <w:tc>
          <w:tcPr>
            <w:tcW w:type="dxa" w:w="17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0.5580</w:t>
            </w:r>
          </w:p>
        </w:tc>
        <w:tc>
          <w:tcPr>
            <w:tcW w:type="dxa" w:w="18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0.2475</w:t>
            </w:r>
          </w:p>
        </w:tc>
      </w:tr>
      <w:tr>
        <w:trPr>
          <w:cantSplit/>
          <w:trHeight w:hRule="atLeast"/>
        </w:trPr>
        <w:tc>
          <w:tcPr>
            <w:tcW w:type="dxa" w:w="27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整行局部混合</w:t>
            </w:r>
          </w:p>
        </w:tc>
        <w:tc>
          <w:tcPr>
            <w:tcW w:type="dxa" w:w="145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0.4740</w:t>
            </w:r>
          </w:p>
        </w:tc>
        <w:tc>
          <w:tcPr>
            <w:tcW w:type="dxa" w:w="16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0.5772</w:t>
            </w:r>
          </w:p>
        </w:tc>
        <w:tc>
          <w:tcPr>
            <w:tcW w:type="dxa" w:w="17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0.6599</w:t>
            </w:r>
          </w:p>
        </w:tc>
        <w:tc>
          <w:tcPr>
            <w:tcW w:type="dxa" w:w="18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0.2925</w:t>
            </w:r>
          </w:p>
        </w:tc>
      </w:tr>
      <w:tr>
        <w:trPr>
          <w:cantSplit/>
          <w:trHeight w:hRule="atLeast"/>
        </w:trPr>
        <w:tc>
          <w:tcPr>
            <w:tcW w:type="dxa" w:w="27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PCA邻域混合</w:t>
            </w:r>
          </w:p>
        </w:tc>
        <w:tc>
          <w:tcPr>
            <w:tcW w:type="dxa" w:w="145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0.4768</w:t>
            </w:r>
          </w:p>
        </w:tc>
        <w:tc>
          <w:tcPr>
            <w:tcW w:type="dxa" w:w="16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0.5805</w:t>
            </w:r>
          </w:p>
        </w:tc>
        <w:tc>
          <w:tcPr>
            <w:tcW w:type="dxa" w:w="17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0.6660</w:t>
            </w:r>
          </w:p>
        </w:tc>
        <w:tc>
          <w:tcPr>
            <w:tcW w:type="dxa" w:w="18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0.3026</w:t>
            </w:r>
          </w:p>
        </w:tc>
      </w:tr>
      <w:tr>
        <w:trPr>
          <w:cantSplit/>
          <w:trHeight w:hRule="atLeast"/>
        </w:trPr>
        <w:tc>
          <w:tcPr>
            <w:tcW w:type="dxa" w:w="27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基函数邻域混合</w:t>
            </w:r>
          </w:p>
        </w:tc>
        <w:tc>
          <w:tcPr>
            <w:tcW w:type="dxa" w:w="145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0.4786</w:t>
            </w:r>
          </w:p>
        </w:tc>
        <w:tc>
          <w:tcPr>
            <w:tcW w:type="dxa" w:w="16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0.5834</w:t>
            </w:r>
          </w:p>
        </w:tc>
        <w:tc>
          <w:tcPr>
            <w:tcW w:type="dxa" w:w="17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0.6580</w:t>
            </w:r>
          </w:p>
        </w:tc>
        <w:tc>
          <w:tcPr>
            <w:tcW w:type="dxa" w:w="18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0.3014</w:t>
            </w:r>
          </w:p>
        </w:tc>
      </w:tr>
    </w:tbl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收缩Copula在W1、联合energy和对数离散误差之间取得较均衡的结果；局部混合覆盖率更高，但离散误差同步增加。因此正文主线保留风格条件收缩Copula，把局部混合作为覆盖敏感性比较。</w:t>
      </w:r>
    </w:p>
    <w:p>
      <w:pPr>
        <w:pStyle w:val="BodyText"/>
        <w:keepNext/>
        <w:keepLines/>
        <w:spacing w:before="60" w:after="0"/>
        <w:ind w:firstLine="0"/>
        <w:jc w:val="center"/>
      </w:pPr>
      <w:r>
        <w:drawing>
          <wp:inline>
            <wp:extent cx="5616000" cy="30736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共表达图阈值敏感性_v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073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spacing w:before="40" w:after="100"/>
        <w:ind w:firstLine="0"/>
        <w:jc w:val="center"/>
      </w:pPr>
      <w:r>
        <w:rPr>
          <w:rFonts w:ascii="Times New Roman" w:hAnsi="Times New Roman" w:eastAsia="宋体"/>
          <w:sz w:val="21"/>
        </w:rPr>
        <w:t>图1  风格条件生成方法在外层重复验证中的分布保真与多样性</w:t>
      </w:r>
    </w:p>
    <w:p>
      <w:pPr>
        <w:pStyle w:val="BodyText"/>
        <w:spacing w:before="40" w:after="100"/>
        <w:ind w:firstLine="0"/>
      </w:pPr>
      <w:r>
        <w:rPr>
          <w:rFonts w:ascii="Times New Roman" w:hAnsi="Times New Roman" w:eastAsia="宋体"/>
          <w:sz w:val="18"/>
          <w:szCs w:val="18"/>
        </w:rPr>
        <w:t>注：箱线为外层重复分布，点为重复结果，菱形为均值；W1、energy和离散误差越低越好，覆盖率越高越好。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三风格感官画像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Tripel在酒精感、苦味、酒花味和4VG上较高，Kriek与Lambic在酸度和乳酸感上较高。图中误差棒表示300份生成样本的第10–90百分位范围；4VG的第一问外折解释度约为0.255，画像用于相对比较，不能替代真实品评。</w:t>
      </w:r>
    </w:p>
    <w:p>
      <w:pPr>
        <w:pStyle w:val="BodyText"/>
        <w:keepNext/>
        <w:keepLines/>
        <w:spacing w:before="60" w:after="0"/>
        <w:ind w:firstLine="0"/>
        <w:jc w:val="center"/>
      </w:pPr>
      <w:r>
        <w:drawing>
          <wp:inline>
            <wp:extent cx="5616000" cy="30736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共表达图阈值敏感性_v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073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spacing w:before="40" w:after="100"/>
        <w:ind w:firstLine="0"/>
        <w:jc w:val="center"/>
      </w:pPr>
      <w:r>
        <w:rPr>
          <w:rFonts w:ascii="Times New Roman" w:hAnsi="Times New Roman" w:eastAsia="宋体"/>
          <w:sz w:val="21"/>
        </w:rPr>
        <w:t>图2  三目标风格生成样本的相对感官画像</w:t>
      </w:r>
    </w:p>
    <w:p>
      <w:pPr>
        <w:pStyle w:val="BodyText"/>
        <w:spacing w:before="40" w:after="100"/>
        <w:ind w:firstLine="0"/>
      </w:pPr>
      <w:r>
        <w:rPr>
          <w:rFonts w:ascii="Times New Roman" w:hAnsi="Times New Roman" w:eastAsia="宋体"/>
          <w:sz w:val="18"/>
          <w:szCs w:val="18"/>
        </w:rPr>
        <w:t>注：柱高为生成样本均值，黑色误差棒为第10–90百分位范围；0–6为训练折经验映射后的相对等级。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跨风格迁移与缺陷约束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33组源—目标任务中，固定最小改动规则得到29条有谱候选：2条进入待实测统计候选，26条直接化学证据不足，1条感官代理不稳定，4组未找到搜索可行谱。两条候选均来自源啤酒230，分别指向Tripel和Kriek；目标距离分别下降38.36%和37.36%，谱RMS改动分别为0.4862和0.5822。两条候选均未取得物理安全认证。</w:t>
      </w:r>
    </w:p>
    <w:p>
      <w:pPr>
        <w:pStyle w:val="BodyText"/>
        <w:keepNext/>
        <w:spacing w:before="60" w:after="40"/>
        <w:ind w:firstLine="0"/>
        <w:jc w:val="center"/>
      </w:pPr>
      <w:r>
        <w:rPr>
          <w:rFonts w:ascii="Times New Roman" w:hAnsi="Times New Roman" w:eastAsia="宋体"/>
          <w:sz w:val="21"/>
        </w:rPr>
        <w:t>表4  两条待实测统计候选的迁移结果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1900"/>
        <w:gridCol w:w="1500"/>
        <w:gridCol w:w="2600"/>
        <w:gridCol w:w="2600"/>
      </w:tblGrid>
      <w:tr>
        <w:trPr>
          <w:cantSplit/>
          <w:trHeight w:hRule="atLeast"/>
          <w:tblHeader/>
        </w:trPr>
        <w:tc>
          <w:tcPr>
            <w:tcW w:type="dxa" w:w="1900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目标风格</w:t>
            </w:r>
          </w:p>
        </w:tc>
        <w:tc>
          <w:tcPr>
            <w:tcW w:type="dxa" w:w="1900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目标距离下降</w:t>
            </w:r>
          </w:p>
        </w:tc>
        <w:tc>
          <w:tcPr>
            <w:tcW w:type="dxa" w:w="1500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谱RMS改动</w:t>
            </w:r>
          </w:p>
        </w:tc>
        <w:tc>
          <w:tcPr>
            <w:tcW w:type="dxa" w:w="2600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代理模型状态</w:t>
            </w:r>
          </w:p>
        </w:tc>
        <w:tc>
          <w:tcPr>
            <w:tcW w:type="dxa" w:w="2600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化学状态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Tripel</w:t>
            </w:r>
          </w:p>
        </w:tc>
        <w:tc>
          <w:tcPr>
            <w:tcW w:type="dxa" w:w="19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38.36%</w:t>
            </w:r>
          </w:p>
        </w:tc>
        <w:tc>
          <w:tcPr>
            <w:tcW w:type="dxa" w:w="15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0.4862</w:t>
            </w:r>
          </w:p>
        </w:tc>
        <w:tc>
          <w:tcPr>
            <w:tcW w:type="dxa" w:w="26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两模型预测不升</w:t>
            </w:r>
          </w:p>
        </w:tc>
        <w:tc>
          <w:tcPr>
            <w:tcW w:type="dxa" w:w="26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仍有待核验状态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Kriek</w:t>
            </w:r>
          </w:p>
        </w:tc>
        <w:tc>
          <w:tcPr>
            <w:tcW w:type="dxa" w:w="19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37.36%</w:t>
            </w:r>
          </w:p>
        </w:tc>
        <w:tc>
          <w:tcPr>
            <w:tcW w:type="dxa" w:w="15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0.5822</w:t>
            </w:r>
          </w:p>
        </w:tc>
        <w:tc>
          <w:tcPr>
            <w:tcW w:type="dxa" w:w="26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两模型预测不升</w:t>
            </w:r>
          </w:p>
        </w:tc>
        <w:tc>
          <w:tcPr>
            <w:tcW w:type="dxa" w:w="26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仍有待核验状态</w:t>
            </w:r>
          </w:p>
        </w:tc>
      </w:tr>
    </w:tbl>
    <w:p>
      <w:pPr>
        <w:pStyle w:val="BodyText"/>
        <w:keepNext/>
        <w:keepLines/>
        <w:spacing w:before="60" w:after="0"/>
        <w:ind w:firstLine="0"/>
        <w:jc w:val="center"/>
      </w:pPr>
      <w:r>
        <w:drawing>
          <wp:inline>
            <wp:extent cx="5616000" cy="30736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共表达图阈值敏感性_v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073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spacing w:before="40" w:after="100"/>
        <w:ind w:firstLine="0"/>
        <w:jc w:val="center"/>
      </w:pPr>
      <w:r>
        <w:rPr>
          <w:rFonts w:ascii="Times New Roman" w:hAnsi="Times New Roman" w:eastAsia="宋体"/>
          <w:sz w:val="21"/>
        </w:rPr>
        <w:t>图3  跨风格迁移候选的目标接近程度与证据状态</w:t>
      </w:r>
    </w:p>
    <w:p>
      <w:pPr>
        <w:pStyle w:val="BodyText"/>
        <w:spacing w:before="40" w:after="100"/>
        <w:ind w:firstLine="0"/>
      </w:pPr>
      <w:r>
        <w:rPr>
          <w:rFonts w:ascii="Times New Roman" w:hAnsi="Times New Roman" w:eastAsia="宋体"/>
          <w:sz w:val="18"/>
          <w:szCs w:val="18"/>
        </w:rPr>
        <w:t>注：目标距离下降越大表示越接近目标风格；颜色和点形同时标记统计候选、直接证据不足、代理不稳定及无可行谱。</w:t>
      </w:r>
    </w:p>
    <w:p>
      <w:pPr>
        <w:pStyle w:val="Heading2"/>
        <w:spacing w:before="140" w:after="14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模型检验与结果讨论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泄漏与稳健性检验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验证折不参与缺失填补、边缘分位、尺度估计、相关阵、风格均值或迁移边界计算；近训练复制率为0，完整谱重构误差处于10⁻¹²量级。未知浓度、检测地板和绝对阈值缺失分别保留未知状态，不能把缺失值计入缺陷约束通过率。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模型对比与消融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经验重采样和收缩高斯分别用于检查边缘与相关结构的必要性；局部混合、共享低秩、地板感知边缘和神经残差作为消融。局部混合提高覆盖率但增加离散误差，共享低秩和神经残差没有形成稳定的联合指标增益，故保留收缩Copula作为正文主线。公开文献中的Copula生成、协方差收缩、Mahalanobis距离和约束搜索只用于说明方法边界，文献数字与本题任务不可直接横比。</w:t>
      </w:r>
    </w:p>
    <w:p>
      <w:pPr>
        <w:pStyle w:val="BodyText"/>
        <w:keepNext/>
        <w:spacing w:before="60" w:after="40"/>
        <w:ind w:firstLine="0"/>
        <w:jc w:val="center"/>
      </w:pPr>
      <w:r>
        <w:rPr>
          <w:rFonts w:ascii="Times New Roman" w:hAnsi="Times New Roman" w:eastAsia="宋体"/>
          <w:sz w:val="21"/>
        </w:rPr>
        <w:t>表5  生成与迁移方法的功能对照及消融结论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2350"/>
        <w:gridCol w:w="2600"/>
        <w:gridCol w:w="2100"/>
      </w:tblGrid>
      <w:tr>
        <w:trPr>
          <w:cantSplit/>
          <w:trHeight w:hRule="atLeast"/>
          <w:tblHeader/>
        </w:trPr>
        <w:tc>
          <w:tcPr>
            <w:tcW w:type="dxa" w:w="1800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方法家族</w:t>
            </w:r>
          </w:p>
        </w:tc>
        <w:tc>
          <w:tcPr>
            <w:tcW w:type="dxa" w:w="2350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回答的问题</w:t>
            </w:r>
          </w:p>
        </w:tc>
        <w:tc>
          <w:tcPr>
            <w:tcW w:type="dxa" w:w="2600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本文对应结果</w:t>
            </w:r>
          </w:p>
        </w:tc>
        <w:tc>
          <w:tcPr>
            <w:tcW w:type="dxa" w:w="2100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采用边界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经验边缘与Copula</w:t>
            </w:r>
          </w:p>
        </w:tc>
        <w:tc>
          <w:tcPr>
            <w:tcW w:type="dxa" w:w="235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如何保持非正态边缘和联合依赖</w:t>
            </w:r>
          </w:p>
        </w:tc>
        <w:tc>
          <w:tcPr>
            <w:tcW w:type="dxa" w:w="26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收缩Copula作为主生成方法</w:t>
            </w:r>
          </w:p>
        </w:tc>
        <w:tc>
          <w:tcPr>
            <w:tcW w:type="dxa" w:w="21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目标风格样本稀疏时依赖收缩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协方差收缩</w:t>
            </w:r>
          </w:p>
        </w:tc>
        <w:tc>
          <w:tcPr>
            <w:tcW w:type="dxa" w:w="235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如何稳定估计高维相关结构</w:t>
            </w:r>
          </w:p>
        </w:tc>
        <w:tc>
          <w:tcPr>
            <w:tcW w:type="dxa" w:w="26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风格内协方差向对角结构收缩</w:t>
            </w:r>
          </w:p>
        </w:tc>
        <w:tc>
          <w:tcPr>
            <w:tcW w:type="dxa" w:w="21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不把收缩后的相关解释为机理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局部混合/低秩结构</w:t>
            </w:r>
          </w:p>
        </w:tc>
        <w:tc>
          <w:tcPr>
            <w:tcW w:type="dxa" w:w="235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如何扩大覆盖或降维采样</w:t>
            </w:r>
          </w:p>
        </w:tc>
        <w:tc>
          <w:tcPr>
            <w:tcW w:type="dxa" w:w="26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作为消融，覆盖提升伴随离散误差</w:t>
            </w:r>
          </w:p>
        </w:tc>
        <w:tc>
          <w:tcPr>
            <w:tcW w:type="dxa" w:w="21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不能只凭覆盖率替换主模型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Mahalanobis约束搜索</w:t>
            </w:r>
          </w:p>
        </w:tc>
        <w:tc>
          <w:tcPr>
            <w:tcW w:type="dxa" w:w="235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如何度量目标接近与限制谱改动</w:t>
            </w:r>
          </w:p>
        </w:tc>
        <w:tc>
          <w:tcPr>
            <w:tcW w:type="dxa" w:w="26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用于迁移候选排序</w:t>
            </w:r>
          </w:p>
        </w:tc>
        <w:tc>
          <w:tcPr>
            <w:tcW w:type="dxa" w:w="21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候选须经过直接化学核验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强化学习或深度生成</w:t>
            </w:r>
          </w:p>
        </w:tc>
        <w:tc>
          <w:tcPr>
            <w:tcW w:type="dxa" w:w="235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如何学习长期动作或复杂生成策略</w:t>
            </w:r>
          </w:p>
        </w:tc>
        <w:tc>
          <w:tcPr>
            <w:tcW w:type="dxa" w:w="26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当前数据缺少动作—状态转移和独立实测</w:t>
            </w:r>
          </w:p>
        </w:tc>
        <w:tc>
          <w:tcPr>
            <w:tcW w:type="dxa" w:w="21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Lines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登记为后续研究，不进入本问主结果</w:t>
            </w:r>
          </w:p>
        </w:tc>
      </w:tr>
    </w:tbl>
    <w:p>
      <w:pPr>
        <w:pStyle w:val="Heading3"/>
        <w:keepNext/>
        <w:keepLines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 xml:space="preserve">补充检验：联合一致性、结构消融与迁移边界</w:t>
      </w:r>
    </w:p>
    <w:p>
      <w:pPr>
        <w:pStyle w:val="BodyText"/>
        <w:keepLines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 xml:space="preserve">为检验生成结果是否满足任务中的联合一致性要求，在冻结的三十个外层划分、三个目标风格和五个生成种子上核对完整性，并将检验结果汇总于表6。全部450组生成记录与各自风格留出样本数匹配，训练与验证啤酒无交叉；900份全数据描述画像的45,000个目标值全部有限。近训练复制率和整组塌缩标记均为0。检测地板造成的原有恒定字段单独保留，不能用全部字段均有方差作为有效性条件。</w:t>
      </w:r>
    </w:p>
    <w:p>
      <w:pPr>
        <w:pStyle w:val="BodyText"/>
        <w:keepLines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 xml:space="preserve">进一步在每个固定缓存组内逐字段独立置换生成样本行，重复五次，保持每个字段的边缘值而打散化合物间配对。沿用训练折中位数、分位边界和尺度，逐组重算后原始稳健诊断与存档最大差为2.22×10⁻¹⁶；置换前后的W1完全相同。图4显示，置换后energy平均增加0.00109，相关结构RMSE平均增加0.00851，覆盖率在三种风格均下降。Tripel的energy增加0.00275，但Kriek为−0.00009，说明保留联合配对得到的是有限且风格不一致的支持，不能据此声称所有风格的依赖结构均已准确恢复。</w:t>
      </w:r>
    </w:p>
    <w:p>
      <w:pPr>
        <w:pStyle w:val="BodyText"/>
        <w:keepLines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 xml:space="preserve">表7按实际结构比较共享低秩、风格残差收缩及风格残差与地板状态三种变体。三者的相关RMSE略有降低，但边缘W1和联合energy均增加，energy相对主模型增加0.0658–0.0703，故本题继续使用风格条件收缩Copula。该结构消融说明，改善某一相关诊断并不必然改善联合分布。同时，原尺度与分位稳健尺度的距离差别明显，表6并列保留两种口径，避免由少量极端观测决定单一结论。</w:t>
      </w:r>
    </w:p>
    <w:p>
      <w:pPr>
        <w:pStyle w:val="BodyText"/>
        <w:keepLines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 xml:space="preserve">迁移检验区分策略记录和源—目标任务。早期直接约束阶段891条记录中844条有谱、47条结构拒绝；293条Pareto标记是并行属性。15条等待代理接入记录代表当时尚未完成代理检查。当前固定最小改动主规则的33组任务仍按2条待实测统计候选、26条直接证据不足、1条代理不稳定和4条无谱报告。两条统计候选来自同一源；对同一锁定候选追加0.01z或0.02z的双模型下降裕量后，满足数均由2降为0，表明结论处于代理误差边界。</w:t>
      </w:r>
    </w:p>
    <w:p>
      <w:pPr>
        <w:pStyle w:val="BodyText"/>
        <w:keepLines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 xml:space="preserve">全部重复标准差和图4横线只描述划分及随机扰动，折、种子或置换均不作为独立实测样本。当前验证限于已知目标风格内留出，未见风格外推、独立批次及实际酿造尚未检验；小风格画像只作描述，生成谱是与训练分布相容的统计设计，需在直接浓度、感官与工艺层面进一步验证。</w:t>
      </w:r>
    </w:p>
    <w:p>
      <w:pPr>
        <w:pStyle w:val="BodyText"/>
        <w:keepNext/>
        <w:keepLines/>
        <w:spacing w:before="40" w:after="100"/>
        <w:ind w:firstLine="0"/>
        <w:jc w:val="center"/>
      </w:pPr>
      <w:r>
        <w:rPr>
          <w:rFonts w:ascii="Times New Roman" w:hAnsi="Times New Roman" w:eastAsia="宋体"/>
          <w:sz w:val="21"/>
        </w:rPr>
        <w:t xml:space="preserve">表6 问题三补充检验与适用范围</w:t>
      </w:r>
    </w:p>
    <w:tbl>
      <w:tblPr>
        <w:tblW w:type="dxa" w:w="864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3800"/>
        <w:gridCol w:w="2940"/>
      </w:tblGrid>
      <w:tr>
        <w:trPr>
          <w:cantSplit/>
          <w:trHeight w:hRule="atLeast"/>
          <w:tblHeader/>
        </w:trPr>
        <w:tc>
          <w:tcPr>
            <w:tcW w:type="dxa" w:w="1900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0" w:after="0" w:line="22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i w:val="0"/>
                <w:color w:val="000000"/>
                <w:sz w:val="18"/>
                <w:szCs w:val="18"/>
                <w:b/>
              </w:rPr>
              <w:t xml:space="preserve">检验项</w:t>
            </w:r>
          </w:p>
        </w:tc>
        <w:tc>
          <w:tcPr>
            <w:tcW w:type="dxa" w:w="3800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0" w:after="0" w:line="22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i w:val="0"/>
                <w:color w:val="000000"/>
                <w:sz w:val="18"/>
                <w:szCs w:val="18"/>
                <w:b/>
              </w:rPr>
              <w:t xml:space="preserve">结果</w:t>
            </w:r>
          </w:p>
        </w:tc>
        <w:tc>
          <w:tcPr>
            <w:tcW w:type="dxa" w:w="2940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0" w:after="0" w:line="22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i w:val="0"/>
                <w:color w:val="000000"/>
                <w:sz w:val="18"/>
                <w:szCs w:val="18"/>
                <w:b/>
              </w:rPr>
              <w:t xml:space="preserve">口径与结论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0" w:after="0" w:line="22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i w:val="0"/>
                <w:color w:val="000000"/>
                <w:sz w:val="18"/>
                <w:szCs w:val="18"/>
              </w:rPr>
              <w:t xml:space="preserve">完整性与划分</w:t>
            </w:r>
          </w:p>
        </w:tc>
        <w:tc>
          <w:tcPr>
            <w:tcW w:type="dxa" w:w="38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0" w:after="0" w:line="22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i w:val="0"/>
                <w:color w:val="000000"/>
                <w:sz w:val="18"/>
                <w:szCs w:val="18"/>
              </w:rPr>
              <w:t xml:space="preserve">30折×3风格×5种子共450组齐全，生成数逐组匹配留出数；900份画像×50目标全部有限</w:t>
            </w:r>
          </w:p>
        </w:tc>
        <w:tc>
          <w:tcPr>
            <w:tcW w:type="dxa" w:w="294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0" w:after="0" w:line="22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i w:val="0"/>
                <w:color w:val="000000"/>
                <w:sz w:val="18"/>
                <w:szCs w:val="18"/>
              </w:rPr>
              <w:t xml:space="preserve">训练与验证beer无交叉；支持程序一致性和画像完整性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0" w:after="0" w:line="22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i w:val="0"/>
                <w:color w:val="000000"/>
                <w:sz w:val="18"/>
                <w:szCs w:val="18"/>
              </w:rPr>
              <w:t xml:space="preserve">复制与退化</w:t>
            </w:r>
          </w:p>
        </w:tc>
        <w:tc>
          <w:tcPr>
            <w:tcW w:type="dxa" w:w="38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0" w:after="0" w:line="22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i w:val="0"/>
                <w:color w:val="000000"/>
                <w:sz w:val="18"/>
                <w:szCs w:val="18"/>
              </w:rPr>
              <w:t xml:space="preserve">近训练复制率0，整组塌缩标记0</w:t>
            </w:r>
          </w:p>
        </w:tc>
        <w:tc>
          <w:tcPr>
            <w:tcW w:type="dxa" w:w="294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0" w:after="0" w:line="22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i w:val="0"/>
                <w:color w:val="000000"/>
                <w:sz w:val="18"/>
                <w:szCs w:val="18"/>
              </w:rPr>
              <w:t xml:space="preserve">复制按规范化RMS≤10⁻⁶；实测本已恒定的地板维度保留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0" w:after="0" w:line="22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i w:val="0"/>
                <w:color w:val="000000"/>
                <w:sz w:val="18"/>
                <w:szCs w:val="18"/>
              </w:rPr>
              <w:t xml:space="preserve">尺度敏感性</w:t>
            </w:r>
          </w:p>
        </w:tc>
        <w:tc>
          <w:tcPr>
            <w:tcW w:type="dxa" w:w="38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0" w:after="0" w:line="22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i w:val="0"/>
                <w:color w:val="000000"/>
                <w:sz w:val="18"/>
                <w:szCs w:val="18"/>
              </w:rPr>
              <w:t xml:space="preserve">原尺度W1/energy=1.0773/6.3933；稳健尺度0.4762/0.5813</w:t>
            </w:r>
          </w:p>
        </w:tc>
        <w:tc>
          <w:tcPr>
            <w:tcW w:type="dxa" w:w="294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0" w:after="0" w:line="22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i w:val="0"/>
                <w:color w:val="000000"/>
                <w:sz w:val="18"/>
                <w:szCs w:val="18"/>
              </w:rPr>
              <w:t xml:space="preserve">稳健边界仅来自训练折1%–99%分位；极端记录影响显著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0" w:after="0" w:line="22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i w:val="0"/>
                <w:color w:val="000000"/>
                <w:sz w:val="18"/>
                <w:szCs w:val="18"/>
              </w:rPr>
              <w:t xml:space="preserve">逐风格一致性</w:t>
            </w:r>
          </w:p>
        </w:tc>
        <w:tc>
          <w:tcPr>
            <w:tcW w:type="dxa" w:w="38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0" w:after="0" w:line="22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i w:val="0"/>
                <w:color w:val="000000"/>
                <w:sz w:val="18"/>
                <w:szCs w:val="18"/>
              </w:rPr>
              <w:t xml:space="preserve">Tripel/Kriek/Lambic稳健W1为0.4114/0.5684/0.4487；覆盖0.3356/0.7389/0.5994</w:t>
            </w:r>
          </w:p>
        </w:tc>
        <w:tc>
          <w:tcPr>
            <w:tcW w:type="dxa" w:w="294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0" w:after="0" w:line="22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i w:val="0"/>
                <w:color w:val="000000"/>
                <w:sz w:val="18"/>
                <w:szCs w:val="18"/>
              </w:rPr>
              <w:t xml:space="preserve">风格等权；小风格相关RMSE较大，仅作描述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0" w:after="0" w:line="22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i w:val="0"/>
                <w:color w:val="000000"/>
                <w:sz w:val="18"/>
                <w:szCs w:val="18"/>
              </w:rPr>
              <w:t xml:space="preserve">保持边缘的独立置换</w:t>
            </w:r>
          </w:p>
        </w:tc>
        <w:tc>
          <w:tcPr>
            <w:tcW w:type="dxa" w:w="38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0" w:after="0" w:line="22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i w:val="0"/>
                <w:color w:val="000000"/>
                <w:sz w:val="18"/>
                <w:szCs w:val="18"/>
              </w:rPr>
              <w:t xml:space="preserve">W1变化0；energy差+0.00109，相关RMSE差+0.00851</w:t>
            </w:r>
          </w:p>
        </w:tc>
        <w:tc>
          <w:tcPr>
            <w:tcW w:type="dxa" w:w="294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0" w:after="0" w:line="22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i w:val="0"/>
                <w:color w:val="000000"/>
                <w:sz w:val="18"/>
                <w:szCs w:val="18"/>
              </w:rPr>
              <w:t xml:space="preserve">差为置换−原谱；五次置换先平均；Kriek的energy差为−0.00009，证据不一致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0" w:after="0" w:line="22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i w:val="0"/>
                <w:color w:val="000000"/>
                <w:sz w:val="18"/>
                <w:szCs w:val="18"/>
              </w:rPr>
              <w:t xml:space="preserve">早期分母核验</w:t>
            </w:r>
          </w:p>
        </w:tc>
        <w:tc>
          <w:tcPr>
            <w:tcW w:type="dxa" w:w="38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0" w:after="0" w:line="22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i w:val="0"/>
                <w:color w:val="000000"/>
                <w:sz w:val="18"/>
                <w:szCs w:val="18"/>
              </w:rPr>
              <w:t xml:space="preserve">891记录=844有谱+47结构拒绝；844=512直接证据不足+205无收益+112拒绝+15待代理</w:t>
            </w:r>
          </w:p>
        </w:tc>
        <w:tc>
          <w:tcPr>
            <w:tcW w:type="dxa" w:w="294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0" w:after="0" w:line="22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i w:val="0"/>
                <w:color w:val="000000"/>
                <w:sz w:val="18"/>
                <w:szCs w:val="18"/>
              </w:rPr>
              <w:t xml:space="preserve">Pareto标记293为并行属性；15条当时仅等待代理接入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0" w:after="0" w:line="22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i w:val="0"/>
                <w:color w:val="000000"/>
                <w:sz w:val="18"/>
                <w:szCs w:val="18"/>
              </w:rPr>
              <w:t xml:space="preserve">固定迁移与裕量</w:t>
            </w:r>
          </w:p>
        </w:tc>
        <w:tc>
          <w:tcPr>
            <w:tcW w:type="dxa" w:w="38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0" w:after="0" w:line="22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i w:val="0"/>
                <w:color w:val="000000"/>
                <w:sz w:val="18"/>
                <w:szCs w:val="18"/>
              </w:rPr>
              <w:t xml:space="preserve">33任务中2统计候选/26证据不足/1代理不稳/4无谱；裕量0/0.01/0.02z对应2/0/0</w:t>
            </w:r>
          </w:p>
        </w:tc>
        <w:tc>
          <w:tcPr>
            <w:tcW w:type="dxa" w:w="294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0" w:after="0" w:line="22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i w:val="0"/>
                <w:color w:val="000000"/>
                <w:sz w:val="18"/>
                <w:szCs w:val="18"/>
              </w:rPr>
              <w:t xml:space="preserve">固定候选不重新选择；两候选来自同一源，需独立实测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Lines/>
              <w:spacing w:before="0" w:after="0" w:line="22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i w:val="0"/>
                <w:color w:val="000000"/>
                <w:sz w:val="18"/>
                <w:szCs w:val="18"/>
              </w:rPr>
              <w:t xml:space="preserve">未验证范围</w:t>
            </w:r>
          </w:p>
        </w:tc>
        <w:tc>
          <w:tcPr>
            <w:tcW w:type="dxa" w:w="38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Lines/>
              <w:spacing w:before="0" w:after="0" w:line="22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i w:val="0"/>
                <w:color w:val="000000"/>
                <w:sz w:val="18"/>
                <w:szCs w:val="18"/>
              </w:rPr>
              <w:t xml:space="preserve">未见风格泛化、独立批次和实际酿造尚未验证</w:t>
            </w:r>
          </w:p>
        </w:tc>
        <w:tc>
          <w:tcPr>
            <w:tcW w:type="dxa" w:w="294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Lines/>
              <w:spacing w:before="0" w:after="0" w:line="22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i w:val="0"/>
                <w:color w:val="000000"/>
                <w:sz w:val="18"/>
                <w:szCs w:val="18"/>
              </w:rPr>
              <w:t xml:space="preserve">已知风格内留出；不支持可实际酿造、唯一或全局最优主张</w:t>
            </w:r>
          </w:p>
        </w:tc>
      </w:tr>
    </w:tbl>
    <w:p>
      <w:pPr>
        <w:pStyle w:val="BodyText"/>
        <w:keepLines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 xml:space="preserve">重复训练集高度重叠；种子、置换与折均先聚合到重复，重复标准差只描述扰动。覆盖率为真实留出点的近邻几何覆盖率，不是区间覆盖或安全率。早期记录和当前源—目标任务分母分别报告。</w:t>
      </w:r>
    </w:p>
    <w:p>
      <w:pPr>
        <w:pStyle w:val="BodyText"/>
        <w:keepNext/>
        <w:keepLines/>
        <w:spacing w:before="40" w:after="100"/>
        <w:ind w:firstLine="0"/>
        <w:jc w:val="center"/>
      </w:pPr>
      <w:r>
        <w:rPr>
          <w:rFonts w:ascii="Times New Roman" w:hAnsi="Times New Roman" w:eastAsia="宋体"/>
          <w:sz w:val="21"/>
        </w:rPr>
        <w:t xml:space="preserve">表7 共享结构变体的生成消融检验</w:t>
      </w:r>
    </w:p>
    <w:tbl>
      <w:tblPr>
        <w:tblW w:type="dxa" w:w="8640"/>
        <w:jc w:val="center"/>
        <w:tblLayout w:type="fixed"/>
        <w:tblLook w:firstColumn="1" w:firstRow="1" w:lastColumn="0" w:lastRow="0" w:noHBand="0" w:noVBand="1" w:val="04A0"/>
      </w:tblPr>
      <w:tblGrid>
        <w:gridCol w:w="2800"/>
        <w:gridCol w:w="3000"/>
        <w:gridCol w:w="2840"/>
      </w:tblGrid>
      <w:tr>
        <w:trPr>
          <w:cantSplit/>
          <w:trHeight w:hRule="atLeast"/>
          <w:tblHeader/>
        </w:trPr>
        <w:tc>
          <w:tcPr>
            <w:tcW w:type="dxa" w:w="2800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0" w:after="0" w:line="22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i w:val="0"/>
                <w:color w:val="000000"/>
                <w:sz w:val="18"/>
                <w:szCs w:val="18"/>
                <w:b/>
              </w:rPr>
              <w:t xml:space="preserve">方法</w:t>
            </w:r>
          </w:p>
        </w:tc>
        <w:tc>
          <w:tcPr>
            <w:tcW w:type="dxa" w:w="3000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0" w:after="0" w:line="22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i w:val="0"/>
                <w:color w:val="000000"/>
                <w:sz w:val="18"/>
                <w:szCs w:val="18"/>
                <w:b/>
              </w:rPr>
              <w:t xml:space="preserve">W1 / energy</w:t>
            </w:r>
          </w:p>
        </w:tc>
        <w:tc>
          <w:tcPr>
            <w:tcW w:type="dxa" w:w="2840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0" w:after="0" w:line="22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i w:val="0"/>
                <w:color w:val="000000"/>
                <w:sz w:val="18"/>
                <w:szCs w:val="18"/>
                <w:b/>
              </w:rPr>
              <w:t xml:space="preserve">覆盖率 / 相关RMSE</w:t>
            </w:r>
          </w:p>
        </w:tc>
      </w:tr>
      <w:tr>
        <w:trPr>
          <w:cantSplit/>
          <w:trHeight w:hRule="atLeast"/>
        </w:trPr>
        <w:tc>
          <w:tcPr>
            <w:tcW w:type="dxa" w:w="28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0" w:after="0" w:line="22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i w:val="0"/>
                <w:color w:val="000000"/>
                <w:sz w:val="18"/>
                <w:szCs w:val="18"/>
              </w:rPr>
              <w:t xml:space="preserve">风格收缩Copula</w:t>
            </w:r>
          </w:p>
        </w:tc>
        <w:tc>
          <w:tcPr>
            <w:tcW w:type="dxa" w:w="30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0" w:after="0" w:line="22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i w:val="0"/>
                <w:color w:val="000000"/>
                <w:sz w:val="18"/>
                <w:szCs w:val="18"/>
              </w:rPr>
              <w:t xml:space="preserve">0.4762 / 0.5813</w:t>
            </w:r>
          </w:p>
        </w:tc>
        <w:tc>
          <w:tcPr>
            <w:tcW w:type="dxa" w:w="284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0" w:after="0" w:line="22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i w:val="0"/>
                <w:color w:val="000000"/>
                <w:sz w:val="18"/>
                <w:szCs w:val="18"/>
              </w:rPr>
              <w:t xml:space="preserve">0.5580 / 0.7748</w:t>
            </w:r>
          </w:p>
        </w:tc>
      </w:tr>
      <w:tr>
        <w:trPr>
          <w:cantSplit/>
          <w:trHeight w:hRule="atLeast"/>
        </w:trPr>
        <w:tc>
          <w:tcPr>
            <w:tcW w:type="dxa" w:w="28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0" w:after="0" w:line="22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i w:val="0"/>
                <w:color w:val="000000"/>
                <w:sz w:val="18"/>
                <w:szCs w:val="18"/>
              </w:rPr>
              <w:t xml:space="preserve">共享低秩</w:t>
            </w:r>
          </w:p>
        </w:tc>
        <w:tc>
          <w:tcPr>
            <w:tcW w:type="dxa" w:w="30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0" w:after="0" w:line="22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i w:val="0"/>
                <w:color w:val="000000"/>
                <w:sz w:val="18"/>
                <w:szCs w:val="18"/>
              </w:rPr>
              <w:t xml:space="preserve">0.5648 / 0.6516</w:t>
            </w:r>
          </w:p>
        </w:tc>
        <w:tc>
          <w:tcPr>
            <w:tcW w:type="dxa" w:w="284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0" w:after="0" w:line="22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i w:val="0"/>
                <w:color w:val="000000"/>
                <w:sz w:val="18"/>
                <w:szCs w:val="18"/>
              </w:rPr>
              <w:t xml:space="preserve">0.5070 / 0.7706</w:t>
            </w:r>
          </w:p>
        </w:tc>
      </w:tr>
      <w:tr>
        <w:trPr>
          <w:cantSplit/>
          <w:trHeight w:hRule="atLeast"/>
        </w:trPr>
        <w:tc>
          <w:tcPr>
            <w:tcW w:type="dxa" w:w="28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0" w:after="0" w:line="22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i w:val="0"/>
                <w:color w:val="000000"/>
                <w:sz w:val="18"/>
                <w:szCs w:val="18"/>
              </w:rPr>
              <w:t xml:space="preserve">风格残差收缩</w:t>
            </w:r>
          </w:p>
        </w:tc>
        <w:tc>
          <w:tcPr>
            <w:tcW w:type="dxa" w:w="30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0" w:after="0" w:line="22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i w:val="0"/>
                <w:color w:val="000000"/>
                <w:sz w:val="18"/>
                <w:szCs w:val="18"/>
              </w:rPr>
              <w:t xml:space="preserve">0.5643 / 0.6471</w:t>
            </w:r>
          </w:p>
        </w:tc>
        <w:tc>
          <w:tcPr>
            <w:tcW w:type="dxa" w:w="284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Next/>
              <w:keepLines/>
              <w:spacing w:before="0" w:after="0" w:line="22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i w:val="0"/>
                <w:color w:val="000000"/>
                <w:sz w:val="18"/>
                <w:szCs w:val="18"/>
              </w:rPr>
              <w:t xml:space="preserve">0.4989 / 0.7723</w:t>
            </w:r>
          </w:p>
        </w:tc>
      </w:tr>
      <w:tr>
        <w:trPr>
          <w:cantSplit/>
          <w:trHeight w:hRule="atLeast"/>
        </w:trPr>
        <w:tc>
          <w:tcPr>
            <w:tcW w:type="dxa" w:w="28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Lines/>
              <w:spacing w:before="0" w:after="0" w:line="22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i w:val="0"/>
                <w:color w:val="000000"/>
                <w:sz w:val="18"/>
                <w:szCs w:val="18"/>
              </w:rPr>
              <w:t xml:space="preserve">风格残差与地板状态</w:t>
            </w:r>
          </w:p>
        </w:tc>
        <w:tc>
          <w:tcPr>
            <w:tcW w:type="dxa" w:w="300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Lines/>
              <w:spacing w:before="0" w:after="0" w:line="22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i w:val="0"/>
                <w:color w:val="000000"/>
                <w:sz w:val="18"/>
                <w:szCs w:val="18"/>
              </w:rPr>
              <w:t xml:space="preserve">0.5646 / 0.6471</w:t>
            </w:r>
          </w:p>
        </w:tc>
        <w:tc>
          <w:tcPr>
            <w:tcW w:type="dxa" w:w="284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keepLines/>
              <w:spacing w:before="0" w:after="0" w:line="22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i w:val="0"/>
                <w:color w:val="000000"/>
                <w:sz w:val="18"/>
                <w:szCs w:val="18"/>
              </w:rPr>
              <w:t xml:space="preserve">0.4992 / 0.7723</w:t>
            </w:r>
          </w:p>
        </w:tc>
      </w:tr>
    </w:tbl>
    <w:p>
      <w:pPr>
        <w:pStyle w:val="BodyText"/>
        <w:keepLines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 xml:space="preserve">同一10×3外层划分与五个生成种子，训练折分位稳健尺度；先对折和种子平均，再对三风格等权。W1、energy与相关RMSE越低越好；覆盖须与离散和联合距离共同解释。三结构相对主模型的energy增加0.0658–0.0703，相关RMSE略降。</w:t>
      </w:r>
    </w:p>
    <w:p>
      <w:pPr>
        <w:pStyle w:val="BodyText"/>
        <w:keepNext/>
        <w:keepLines/>
        <w:spacing w:before="60" w:after="0"/>
        <w:ind w:firstLine="0"/>
        <w:jc w:val="center"/>
      </w:pPr>
      <w:r>
        <w:drawing>
          <wp:inline>
            <wp:extent cx="5580000" cy="2989286"/>
            <wp:docPr id="1013" name="图4 保持边缘分布的独立置换下三种风格的联合结构检验" descr="图4 保持边缘分布的独立置换下三种风格的联合结构检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共表达图阈值敏感性_v3.png"/>
                    <pic:cNvPicPr/>
                  </pic:nvPicPr>
                  <pic:blipFill>
                    <a:blip r:embed="rIdReview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89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Lines/>
        <w:spacing w:before="40" w:after="100"/>
        <w:ind w:firstLine="0"/>
        <w:jc w:val="center"/>
      </w:pPr>
      <w:r>
        <w:rPr>
          <w:rFonts w:ascii="Times New Roman" w:hAnsi="Times New Roman" w:eastAsia="宋体"/>
          <w:sz w:val="21"/>
        </w:rPr>
        <w:t xml:space="preserve">图4 保持边缘分布的独立置换下三种风格的联合结构检验</w:t>
      </w:r>
    </w:p>
    <w:p>
      <w:pPr>
        <w:pStyle w:val="BodyText"/>
        <w:keepLines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 xml:space="preserve">差为置换减原谱；每点为一次外层重复，菱形与线段为十次重复均值±标准差。每折每风格五个生成种子、五次置换先平均；边缘W1按构造不变。正差支持保留联合配对，Kriek的energy非正差同样保留。训练重复重叠，横线不是独立置信区间。</w:t>
      </w:r>
    </w:p>
    <w:p>
      <w:pPr>
        <w:pStyle w:val="Heading3"/>
        <w:spacing w:before="120" w:after="12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合理性与局限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生成画像复现了三种目标风格在酒精感、苦味、酒花味、4VG、酸度和乳酸感上的相对差异，说明化学空间到感官空间的映射具有可解释的方向性。迁移候选的“预测不升”只针对冻结感官预测器；Stale hops的外层解释度约0.03、平均绝对误差约0.30 z，不能把预测变化直接等同于真实感官改善。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本问仍受250个样本、22种不均衡风格、缺失/地板状态和缺少完整配方工艺的限制。两条迁移候选应作为待补测的统计设计，而不是可直接执行的酿造处方；若增加独立批次、原始浓度、检测限和感官评价，应重新进行端到端验证。</w:t>
      </w:r>
    </w:p>
    <w:p>
      <w:pPr>
        <w:pStyle w:val="Heading2"/>
        <w:spacing w:before="140" w:after="14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问题三方法参考文献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[1] Sklar A. Fonctions de répartition à n dimensions et leurs marges[J]. Publications de l'Institut de Statistique de l'Université de Paris, 1959.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[2] Ledoit O, Wolf M. A well-conditioned estimator for large-dimensional covariance matrices[J]. Journal of Multivariate Analysis, 2004, 88(2): 365–411.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[3] Mahalanobis P C. On the generalized distance in statistics[J]. Proceedings of the National Institute of Sciences of India, 1936, 2: 49–55.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[4] Nelsen R B. An Introduction to Copulas[M]. 2nd ed. New York: Springer, 2006.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[5] Friedman J, Hastie T, Tibshirani R. Sparse inverse covariance estimation with the graphical lasso[J]. Biostatistics, 2008, 9(3): 432–441.</w:t>
      </w:r>
    </w:p>
    <w:sectPr>
      <w:footerReference w:type="default" r:id="rId9"/>
      <w:footnotePr>
        <w:numRestart w:val="eachSect"/>
      </w:footnotePr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1"/>
      </w:rP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宋体"/>
      <w:i w:val="0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" Type="http://schemas.openxmlformats.org/officeDocument/2006/relationships/image" Target="media/image5.png"/><Relationship Id="rIdReview13" Type="http://schemas.openxmlformats.org/officeDocument/2006/relationships/image" Target="media/review_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问题三模型建立与求解</dc:title>
  <dc:creator/>
  <cp:keywords/>
  <dcterms:created xsi:type="dcterms:W3CDTF">2026-10-24T07:07:43Z</dcterms:created>
  <dcterms:modified xsi:type="dcterms:W3CDTF">2026-10-24T07:07:43Z</dcterms:modified>
  <dc:subject>啤酒关键化合物的稳健识别与化学核验</dc:subject>
  <cp:lastModifiedBy/>
  <dc:description/>
  <cp:category/>
  <dc:identifier/>
</cp:coreProperties>
</file>