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模型假设（问题三）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为简化问题，本文做出以下假设：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假设1：同一化学字段在250款啤酒之间具有可比的测量含义。依据是附件1字段、附件2相关矩阵和附件8参考字段可以按beer对齐；若单位或批次漂移无法校准，则该字段只保留相对分布，不做绝对阈值判断。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假设2：风格内经验边缘与收缩相关结构足以描述生成任务所需的联合变化。若留出联合距离或覆盖率明显恶化，则回退到经验重采样，并降低该风格画像的解释强度。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假设3：检测地板、缺失值和参考冲突可以作为观测状态单独保留。若获得检测限、原始浓度或批次校准资料，应重建边缘并重新计算化学约束。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假设4：第一问最终感官模型在训练支持域附近可提供带误差的相对画像。若迁移候选离开支持域或代理模型方向不稳定，则只保留为探索性统计候选，不写成真实感官改善。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假设5：已知直接浓度约束下的最小改动路径可作为迁移候选的统计设计。该假设不代表配方、发酵工艺或物理安全；若要形成生产建议，必须增加独立批次、实测浓度和感官验证。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模型假设（问题二）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