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问题二模型建立与求解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问题二分析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二要求对50个感官维度分别给出3个关键单体化合物，并同时论证结果的统计稳定性与化学合理性。附件1提供250款啤酒的231项化学及理化测量，附件2给出同一批字段的Spearman共表达矩阵，附件4提供50维标准化感官值。候选变量数与样本量接近，化合物又因共同代谢途径而高度共线，因此边际相关靠前并不等同于独立贡献，更不能直接解释为因果作用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题的难点有三：共线字段会在重采样中相互替代；啤酒风格同时影响化学组成和感官评分，容易形成风格间关联；部分缺陷味与细分香气的折外可预测性较弱。本文先冻结218个严格单体候选，在相同的10次重复、每次3折外层划分下比较边际相关、稀疏回归和图正则回归，并对第一问最终感官模型做模块与字段两级条件归因。最终排序仍采用经分层自助、风格内校正和留一风格检验的稳健秩融合；统计排名冻结后，再用阈值、OAV、同名锚点和化学文献分级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问题二模型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数据口径与候选范围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附件1与附件4按beer字段一一对齐，形成250×231的输入矩阵和250×50的连续感官矩阵。问题二不使用beer_id连接，不把风格字段作为候选化合物，也不对附件1中已给出的log10字段重复取对数。73个缺失单元仅在相应训练子样本内用中位数填补，缺失位置在预测模型中保留指示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候选资格先于统计建模冻结。色度、pH、苦度、蛋白质、总糖、热量、总酯、总酸、总硫及其他聚合或理化指标共13项不属于严格单体化合物，只参与全因素敏感性检查，不进入题面要求的最终Top-3。严格候选因此为218项；化学名称由字段映射表与附件8逐项核对。表1概括数据和证据边界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问题二数据契约与证据边界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2381"/>
        <w:gridCol w:w="3061"/>
      </w:tblGrid>
      <w:tr>
        <w:trPr>
          <w:trHeight w:hRule="atLeast"/>
          <w:cantSplit/>
          <w:tblHeader/>
        </w:trPr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198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审计结果</w:t>
            </w:r>
          </w:p>
        </w:tc>
        <w:tc>
          <w:tcPr>
            <w:tcW w:type="dxa" w:w="238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处理方式</w:t>
            </w:r>
          </w:p>
        </w:tc>
        <w:tc>
          <w:tcPr>
            <w:tcW w:type="dxa" w:w="30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解释边界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样本与目标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250款、50维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固定10×3外层划分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逐目标折外评价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输入字段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231项、73个缺失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训练子样本内填补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不删除含缺失样本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严格候选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218个单体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排除13个聚合/理化指标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全因素仅作敏感性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共表达矩阵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231×231 Spearman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描述图与折内图分开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验证时不复用全量图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感官值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标准化连续值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按附件尺度建模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不声称恢复原始0—6分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化学证据</w:t>
            </w:r>
          </w:p>
        </w:tc>
        <w:tc>
          <w:tcPr>
            <w:tcW w:type="dxa" w:w="198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阈值、来源、异味、文献</w:t>
            </w:r>
          </w:p>
        </w:tc>
        <w:tc>
          <w:tcPr>
            <w:tcW w:type="dxa" w:w="238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排名冻结后追加</w:t>
            </w:r>
          </w:p>
        </w:tc>
        <w:tc>
          <w:tcPr>
            <w:tcW w:type="dxa" w:w="30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不作因果解释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记第i款啤酒的化学向量为x_i，第j个标准化感官值为y_ij。关键化合物识别以式(1)所示预测关系为共同评价对象，但最终名次由相互独立的统计证据融合决定，而不是直接把某一模型的重要性当作因果效应。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ij</m:t>
                  </m:r>
                </m:sub>
              </m:sSub>
              <m:r>
                <m:t> = </m:t>
              </m:r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 + </m:t>
              </m:r>
              <m:sSub>
                <m:e>
                  <m:r>
                    <m:t>ε</m:t>
                  </m:r>
                </m:e>
                <m:sub>
                  <m:r>
                    <m:t>ij</m:t>
                  </m:r>
                </m:sub>
              </m:sSub>
              <m:r>
                <m:t>,    i=1,…,250,    j=1,…,50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边际关联、稀疏回归与折内图正则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第一类证据为逐目标Spearman边际关联。它保留单调非线性且对异常值较稳健，式(2)将化学字段和感官值的样本秩相关标准化。所有排名均先过滤为218个严格单体候选。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kj</m:t>
                  </m:r>
                </m:sub>
              </m:sSub>
              <m:r>
                <m:t> = </m:t>
              </m:r>
              <m:f>
                <m:num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t>−</m:t>
                          </m:r>
                          <m:bar>
                            <m:barPr>
                              <m:pos m:val="top"/>
                            </m:barPr>
                            <m:e/>
                          </m:bar>
                        </m:e>
                      </m:d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t>−</m:t>
                          </m:r>
                          <m:bar>
                            <m:barPr>
                              <m:pos m:val="top"/>
                            </m:barPr>
                            <m:e/>
                          </m:bar>
                        </m:e>
                      </m:d>
                    </m:e>
                  </m:nary>
                </m:num>
                <m:den>
                  <m:sSup>
                    <m:e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t>i=1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t>R</m:t>
                                      </m:r>
                                    </m:e>
                                    <m:sub>
                                      <m:r>
                                        <m:t>k</m:t>
                                      </m:r>
                                    </m:sub>
                                  </m:sSub>
                                  <m: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sSub>
                                        <m:e>
                                          <m: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  <m:sup>
                      <m:r>
                        <m:t>1/2</m:t>
                      </m:r>
                    </m:sup>
                  </m:sSup>
                  <m:sSup>
                    <m:e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t>i=1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t>R</m:t>
                                      </m: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  <m: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sSub>
                                        <m:e>
                                          <m: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  <m:sup>
                      <m:r>
                        <m:t>1/2</m:t>
                      </m:r>
                    </m:sup>
                  </m:sSup>
                </m:den>
              </m:f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二类证据为ElasticNet条件稀疏系数；第三类为加入有符号归一化图拉普拉斯的稀疏回归。图矩阵在每个外层训练折内重新估计，负边保留方向，缺失填补和标准化也只使用训练折。对目标j，图正则目标函数写为式(3)。其中L_s为有符号图拉普拉斯，λ_1控制稀疏度，λ_G控制共表达邻居的系数平滑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 = arg min </m:t>
              </m:r>
              <m:f>
                <m:num>
                  <m:r>
                    <m:t>1</m:t>
                  </m:r>
                </m:num>
                <m:den>
                  <m:r>
                    <m:t>2n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t>−X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 + 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t>‖β‖₁ + </m:t>
              </m:r>
              <m:sSub>
                <m:e>
                  <m:r>
                    <m:t>λ</m:t>
                  </m:r>
                </m:e>
                <m:sub>
                  <m:r>
                    <m:t>G</m:t>
                  </m:r>
                </m:sub>
              </m:sSub>
              <m:sSup>
                <m:e>
                  <m:r>
                    <m:t>β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  <m:r>
                <m:t>β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图正则模型用于检验代谢共表达结构是否提高预测与排名稳定性。若折外误差没有改善，图结构仍可用于模块联合置换和解释，但不据此宣称预测增益。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最终感官模型的分层条件归因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一问最终模型由ExtraTrees、直方图梯度提升、秩高斯Ridge和秩高斯PLS2组成，并用带自由截距的非负最小二乘在香气、风味和味觉/口感/总体三个感官组内估计融合权重，再向共享权重收缩0.5。问题二沿用第一问的10×3外层划分，在每个外层训练折中固定基学习器参数和融合权重，重建同一折预测器；归因阶段不重新选参，也不重新估计非负融合权重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归因分两级进行。先将折内共表达模块整组置换，测量模块对50维感官预测的联合影响；再在模块内逐字段条件置换，只打乱观测值并保留原缺失掩码，以减弱模块内替代造成的重要性错配。若置换字段k后目标j的验证MAE上升，则式(4)的条件误差增量为正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kj</m:t>
                      </m:r>
                    </m:sub>
                  </m:sSub>
                </m:e>
                <m:sup>
                  <m:r>
                    <m:t>cond</m:t>
                  </m:r>
                </m:sup>
              </m:sSup>
              <m:r>
                <m:t> = MAE(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,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(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−k</m:t>
                  </m:r>
                </m:sub>
              </m:sSub>
              <m:r>
                <m:t>,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)) − MAE(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,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(X)</m:t>
                  </m:r>
                </m:e>
                <m:sub>
                  <m:r>
                    <m:t>j</m:t>
                  </m:r>
                </m:sub>
              </m:sSub>
              <m:r>
                <m:t>)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30个外层折的预测重建最大绝对误差为1.998×10⁻¹⁵。模块置换和模块内条件置换分别形成13,900条与327,000条折级汇总记录。两类误差增量只刻画冻结预测器对字段或模块的依赖，不直接等同于感官机理或因果效应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四路稳健秩融合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三类基础方法先形成总关联共识，随后与分层自助稳定排名、风格校正排名、留一风格保留排名共同组成四路证据。对每个目标和候选，先比较四路Top-10与Top-3支持数，再计算式(5)的倒数秩分数；r_ℓkj表示候选k在第ℓ类证据中对目标j的名次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kj</m:t>
                  </m:r>
                </m:sub>
              </m:sSub>
              <m:r>
                <m:t> =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ℓ=1</m:t>
                  </m:r>
                </m:sub>
                <m:sup>
                  <m:r>
                    <m:t>4</m:t>
                  </m:r>
                </m:sup>
                <m:e>
                  <m:f>
                    <m:num>
                      <m:r>
                        <m:t>1</m:t>
                      </m:r>
                    </m:num>
                    <m:den>
                      <m:r>
                        <m:t>60+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ℓkj</m:t>
                          </m:r>
                        </m:sub>
                      </m:sSub>
                    </m:den>
                  </m:f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稳定性检验在22种啤酒风格内保持样本数进行500次有放回抽样。每次重新完成预处理、候选排序和方法融合，候选的入选频率按式(6)计算。与此同时，逐一删除22种风格并重算排名，以检验某一风格是否主导关系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t/>
                  </m:r>
                </m:e>
                <m:sub>
                  <m:r>
                    <m:t>kj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t>b=1</m:t>
                  </m:r>
                </m:sub>
                <m:sup>
                  <m:r>
                    <m:t>B</m:t>
                  </m:r>
                </m:sup>
                <m:e>
                  <m:r>
                    <m:t>I(</m:t>
                  </m:r>
                  <m:r>
                    <m:t>k∈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bj</m:t>
                      </m:r>
                    </m:sub>
                  </m:sSub>
                  <m:r>
                    <m:t>)</m:t>
                  </m:r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化学合理性与证据分级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统计Top-3冻结后，才依据同名锚点、描述词特异性、附件来源/老化/异味注释及同行评议文献进行化学核验。仅当附件8同时提供原始校准浓度c_k和同字段、同单位感知阈值τ_k时，才按式(7)计算气味活性值。附件1中的log10数值不直接除以阈值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OAV</m:t>
                  </m:r>
                </m:e>
                <m:sub>
                  <m:r>
                    <m:t>k</m:t>
                  </m:r>
                </m:sub>
              </m:sSub>
              <m:r>
                <m:t> = </m:t>
              </m:r>
              <m:f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t>,    </m:t>
              </m:r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  <m:r>
                <m:t>&gt;0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(7)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A级表示统计关系较稳健且有直接身份或特异描述词证据；B级表示统计与化学类别证据较完整；C级至少有一侧证据但特异性不足；D级为弱预测背景或缺少特异化学支持。OAV达到1仅说明单体浓度达到阈值量级，不排除混合物协同、掩蔽、基质与个体差异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问题二求解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交叉验证与模型比较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所有监督模型复用问题一冻结的10次重复、每次3折外层划分；每个重复中250款啤酒各作为一次验证样本。参数、缺失填补、图结构、风格均值和条件分组均只由外层训练折估计。表2报告六种候选方法及最终感官模型的重复宏平均结果，图1给出共表达描述图的阈值敏感性，图2展示候选模型性能和最终排名对四路证据的一致性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相同外层划分下的候选模型与最终感官模型性能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871"/>
        <w:gridCol w:w="1871"/>
        <w:gridCol w:w="1417"/>
        <w:gridCol w:w="1531"/>
      </w:tblGrid>
      <w:tr>
        <w:trPr>
          <w:trHeight w:hRule="atLeast"/>
          <w:cantSplit/>
          <w:tblHeader/>
        </w:trPr>
        <w:tc>
          <w:tcPr>
            <w:tcW w:type="dxa" w:w="215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R²（均值±SD）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MAE（均值±SD）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RMSE</w:t>
            </w:r>
          </w:p>
        </w:tc>
        <w:tc>
          <w:tcPr>
            <w:tcW w:type="dxa" w:w="153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Spearman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全局均值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-0.0081±0.0024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0.4173±0.0005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0.5690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-0.0576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Spearman Top-3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0.1064±0.0043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0.3843±0.0010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0.5273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0.2969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PLS/VIP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0.2089±0.0069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0.3556±0.0015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0.4890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0.4023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ElasticNet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0.2086±0.0046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0.3529±0.0012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0.4903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0.3917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有符号图ElasticNet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0.2084±0.0047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0.3530±0.0013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0.4905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0.3919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ExtraTrees条件归因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0.2359±0.0058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0.3422±0.0011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0.4794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0.4144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感官组收缩NNLS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0.2564±0.0070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0.3361±0.0016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0.4714</w:t>
            </w:r>
          </w:p>
        </w:tc>
        <w:tc>
          <w:tcPr>
            <w:tcW w:type="dxa" w:w="153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0.4302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最终感官模型的宏平均R²、MAE和Spearman分别为0.2564、0.3361和0.4302，优于独立ExtraTrees验证器的0.2359、0.3422和0.4144。图正则模型相对ElasticNet的MAE增加0.00011，因此图结构只用于模块与敏感性分析。最终感官模型承担预测归因，关键化合物答案仍由跨方法、重采样和风格扰动下更稳定的四路秩融合给出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935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3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化合物共表达图的阈值敏感性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4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模型性能与四路一致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候选模型的折外性能与最终排名的一致性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稳定性与风格敏感性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500次分层自助中，150条聚合Top-3的入选频率范围为0.182—0.992，中位数为0.428；达到0.60、0.70和0.80的候选分别有43、31和23条。逐目标Top-3两两Jaccard均值为0.245，说明共线字段替代和样本扰动不可忽略。稳定共聚类得到170个模块，其中155个为单字段模块，最大模块含15个字段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相同参数下，未校正与风格校正Top-3的平均Jaccard为0.264，只有2/50个目标完全一致。逐一删除22种风格后，1,100个“风格—目标”组合的Top-3平均Jaccard为0.523；当前150条候选在22次删除中的平均保留率为0.641。图3将入选频率、留一风格保留率、预测层级与化学等级放在同一证据框架下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补充的互补半样本检验按风格分层构造100对互补子样本，每个子样本重新填补、风格中心化并排序。入选频率不低于0.60的关系有24条；在0.60—0.90四个预设阈值下，风格内目标置换均未产生入选关系。互补Top-3的平均Jaccard仅为0.085，说明排名尾部仍有明显替代性。因此，论文同时报告确认关系与探索性关系，不把强制输出的150条关系写成同等可靠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742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候选稳定性与证据等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74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最终候选的重采样稳定性、风格敏感性与证据等级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关键化合物与化学核验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四路融合的150条统计Top-3中，强稳健、中等稳健和探索性候选分别为38、52和60条；50个目标中，22个折外R²不低于0.20，12个介于0.10与0.20之间，16个低于0.10。题面要求每个维度输出3项，因此弱预测目标仍保留候选，但必须标明探索性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化学证据较充分的代表性关键关系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"/>
        <w:gridCol w:w="2154"/>
        <w:gridCol w:w="1474"/>
        <w:gridCol w:w="1474"/>
        <w:gridCol w:w="1247"/>
      </w:tblGrid>
      <w:tr>
        <w:trPr>
          <w:trHeight w:hRule="atLeast"/>
          <w:cantSplit/>
          <w:tblHeader/>
        </w:trPr>
        <w:tc>
          <w:tcPr>
            <w:tcW w:type="dxa" w:w="175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感官维度</w:t>
            </w:r>
          </w:p>
        </w:tc>
        <w:tc>
          <w:tcPr>
            <w:tcW w:type="dxa" w:w="73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名次</w:t>
            </w:r>
          </w:p>
        </w:tc>
        <w:tc>
          <w:tcPr>
            <w:tcW w:type="dxa" w:w="215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关键化合物</w:t>
            </w:r>
          </w:p>
        </w:tc>
        <w:tc>
          <w:tcPr>
            <w:tcW w:type="dxa" w:w="147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自助入选频率</w:t>
            </w:r>
          </w:p>
        </w:tc>
        <w:tc>
          <w:tcPr>
            <w:tcW w:type="dxa" w:w="147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留一风格保留率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中位OAV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指甲油样香气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乙酸乙酯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0.774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1.203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指甲油样风味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乙酸乙酯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0.878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1.203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4-乙烯基愈创木酚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4-乙烯基愈创木酚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0.992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酸度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0.900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0.346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酒精感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乙醇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0.920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4.140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酒体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乙醇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0.812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4.140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碳酸感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二氧化碳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0.318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不可比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乳酸感</w:t>
            </w:r>
          </w:p>
        </w:tc>
        <w:tc>
          <w:tcPr>
            <w:tcW w:type="dxa" w:w="73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</w:t>
            </w:r>
          </w:p>
        </w:tc>
        <w:tc>
          <w:tcPr>
            <w:tcW w:type="dxa" w:w="147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0.992</w:t>
            </w:r>
          </w:p>
        </w:tc>
        <w:tc>
          <w:tcPr>
            <w:tcW w:type="dxa" w:w="147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0.346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150条候选的A/B/C/D级数量分别为8、16、78和48，其中73条具备可比的浓度与阈值，23条的中位OAV不低于1。表3列出的8条A级关系包括乙酸乙酯—指甲油样酯香、4-乙烯基愈创木酚—同名感官、乳酸—酸度/乳酸感、乙醇—酒精感/酒体以及二氧化碳—碳酸感。图4展示这些关系在四路证据中的名次和可计算的中位OAV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A级关系四路排名与OA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图4 A级化合物—感官关系的四路排名与气味活性值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模型检验与结果讨论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泄漏与稳健性检验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验证折不参与缺失填补、尺度估计、图构建、风格均值、条件分组或参数选择；全量附件2仅用于数据定义核验与描述图。分层自助、风格校正和留一风格三种扰动从不同方向检验名次稳定性，字段级结果同时报告所属稳定模块，避免把同模块替代误写为唯一关键成分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模型对比与消融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边际相关的宏平均R²为0.1064，单变量排序不足以解释多维感官；PLS/VIP和ElasticNet提高到约0.209，图正则没有继续降低误差。独立ExtraTrees验证器达到0.2359，最终感官模型提高到0.2564。另将最终模型条件归因、折内偏相关和稳定模块三类证据等权融合后，候选Top-3的CPSS频率中位数、互补半样本Jaccard和留一风格生存率分别由0.1425、0.1669、0.6591降至0.0750、0.1151、0.4091，并遗漏碳酸感的直接锚点。该融合方案不作为最终排序；四路稳健秩融合保持为问题二答案，最终感官模型归因作为独立解释证据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合理性与局限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4-乙烯基愈创木酚、乙醇、乳酸和二氧化碳等直接锚点进入最终Top-3，支持方法能够恢复部分已知关系。DMS、双乙酰和trans-2-nonenal的同名字段未进入前三，分别排在较后位置，因此相应目标的前三只能解释为当前样本中的预测关联，不能冒充已知缺陷化合物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问仍受250个样本、22种不均衡风格、共线替代和标准化感官信号限制。16个弱预测目标的Top-3为题面要求下的探索性输出；OAV仅在单位可比时计算，且不代表混合物中的实际贡献。若增加独立批次、原始评委评分或加标实验，应首先复核弱目标、风格敏感关系与缺陷味候选，再讨论可干预的工艺变量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最终感官模型的模块与字段两级归因已完成30折复核。归因结果支持把预测依赖与统计稳健性分开报告：前者回答冻结模型依赖哪些化学信息，后者决定每个感官维度的Top-3。两类证据结论不一致时，以重采样和风格扰动下更稳定的排序作为题面答案。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问题二模型建立与求解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