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6525A" w14:textId="77777777" w:rsidR="00EA41C4" w:rsidRDefault="00000000">
      <w:pPr>
        <w:pStyle w:val="Ttulo"/>
        <w:spacing w:after="480"/>
        <w:jc w:val="center"/>
      </w:pPr>
      <w:r>
        <w:t>Informe Técnico de Práctica:</w:t>
      </w:r>
      <w:r>
        <w:br/>
        <w:t>Orquestación de Smart Contract en Kubernetes</w:t>
      </w:r>
    </w:p>
    <w:p w14:paraId="1DE20629" w14:textId="77777777" w:rsidR="00EA41C4" w:rsidRDefault="00000000">
      <w:pPr>
        <w:jc w:val="center"/>
      </w:pPr>
      <w:r>
        <w:rPr>
          <w:b/>
          <w:sz w:val="24"/>
        </w:rPr>
        <w:t>Autor: Andrés Alejandro Silva Aguilar</w:t>
      </w:r>
      <w:r>
        <w:rPr>
          <w:b/>
          <w:sz w:val="24"/>
        </w:rPr>
        <w:br/>
      </w:r>
      <w:r>
        <w:t>Institución: Universidad Técnica Particular de Loja (UTPL)</w:t>
      </w:r>
      <w:r>
        <w:br/>
        <w:t>Programa: Especialización en Arquitectura Cloud y Blockchain</w:t>
      </w:r>
      <w:r>
        <w:br/>
        <w:t>Fecha de Ejecución: Julio 2026</w:t>
      </w:r>
      <w:r>
        <w:br/>
      </w:r>
    </w:p>
    <w:p w14:paraId="031326F8" w14:textId="77777777" w:rsidR="00EA41C4" w:rsidRDefault="00000000">
      <w:pPr>
        <w:jc w:val="center"/>
      </w:pPr>
      <w:r>
        <w:rPr>
          <w:b/>
        </w:rPr>
        <w:t>Repositorio GitHub Oficial:</w:t>
      </w:r>
      <w:r>
        <w:rPr>
          <w:b/>
        </w:rPr>
        <w:br/>
      </w:r>
      <w:r>
        <w:t>https://github.com/aalejos3626/smartcontract_kubernetes_andres_silva</w:t>
      </w:r>
    </w:p>
    <w:p w14:paraId="10CAA3EE" w14:textId="77777777" w:rsidR="00EA41C4" w:rsidRDefault="00000000">
      <w:r>
        <w:br w:type="page"/>
      </w:r>
    </w:p>
    <w:p w14:paraId="48FF9EE7" w14:textId="77777777" w:rsidR="00EA41C4" w:rsidRDefault="00000000">
      <w:pPr>
        <w:pStyle w:val="Ttulo1"/>
      </w:pPr>
      <w:r>
        <w:lastRenderedPageBreak/>
        <w:t>1. Introducción y Objetivos del Smart Contract</w:t>
      </w:r>
    </w:p>
    <w:p w14:paraId="117FF2AA" w14:textId="77777777" w:rsidR="00EA41C4" w:rsidRDefault="00000000">
      <w:r>
        <w:t>El presente informe documenta la implementación y orquestación de un contrato inteligente desarrollado en Solidity (SmartContract_AndresSilva.sol), desplegado sobre un clúster de Kubernetes local utilizando Docker Desktop.</w:t>
      </w:r>
    </w:p>
    <w:p w14:paraId="748D2910" w14:textId="77777777" w:rsidR="00EA41C4" w:rsidRDefault="00000000">
      <w:pPr>
        <w:pStyle w:val="Listaconvietas"/>
      </w:pPr>
      <w:r>
        <w:t>Objetivos principales:</w:t>
      </w:r>
    </w:p>
    <w:p w14:paraId="666D4BB0" w14:textId="77777777" w:rsidR="00EA41C4" w:rsidRDefault="00000000">
      <w:pPr>
        <w:pStyle w:val="Listaconvietas2"/>
      </w:pPr>
      <w:r>
        <w:t>Garantizar alta disponibilidad mediante un controlador ReplicaSet y despliegue automatizado.</w:t>
      </w:r>
    </w:p>
    <w:p w14:paraId="09FD88F7" w14:textId="77777777" w:rsidR="00EA41C4" w:rsidRDefault="00000000">
      <w:pPr>
        <w:pStyle w:val="Listaconvietas2"/>
      </w:pPr>
      <w:r>
        <w:t>Validar operaciones de escalado horizontal en caliente y actualizaciones continuas sin tiempo de inactividad (Rolling Updates).</w:t>
      </w:r>
    </w:p>
    <w:p w14:paraId="5E7C2007" w14:textId="77777777" w:rsidR="00EA41C4" w:rsidRDefault="00000000">
      <w:pPr>
        <w:pStyle w:val="Ttulo1"/>
      </w:pPr>
      <w:r>
        <w:t>2. Arquitectura de Despliegue y Diagrama</w:t>
      </w:r>
    </w:p>
    <w:p w14:paraId="5AE5A480" w14:textId="77777777" w:rsidR="00EA41C4" w:rsidRDefault="00000000">
      <w:r>
        <w:t>La solución se apoya en un diseño desacoplado donde un objeto de tipo Service (ClusterIP) expone el puerto estándar de EVM (8545) hacia el clúster, conectándose directamente al Deployment que administra las réplicas del nodo Ganache CLI que aloja el contrato inteligente.</w:t>
      </w:r>
    </w:p>
    <w:p w14:paraId="36E4BB49" w14:textId="77777777" w:rsidR="00EA41C4" w:rsidRDefault="00000000">
      <w:r>
        <w:t>Nota de Diseño: La arquitectura completa se encuentra modelada de forma vectorial y editable en el archivo "arquitectura_kubernetes_andres_silva.drawio" almacenado en la raíz del repositorio oficial.</w:t>
      </w:r>
    </w:p>
    <w:p w14:paraId="7FF1B1DD" w14:textId="77777777" w:rsidR="00EA41C4" w:rsidRDefault="00000000">
      <w:pPr>
        <w:jc w:val="center"/>
      </w:pPr>
      <w:r>
        <w:rPr>
          <w:noProof/>
        </w:rPr>
        <w:drawing>
          <wp:inline distT="0" distB="0" distL="0" distR="0" wp14:anchorId="269D5796" wp14:editId="7D35E79C">
            <wp:extent cx="5303520" cy="2524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a3fab.png"/>
                    <pic:cNvPicPr/>
                  </pic:nvPicPr>
                  <pic:blipFill>
                    <a:blip r:embed="rId6"/>
                    <a:stretch>
                      <a:fillRect/>
                    </a:stretch>
                  </pic:blipFill>
                  <pic:spPr>
                    <a:xfrm>
                      <a:off x="0" y="0"/>
                      <a:ext cx="5303520" cy="2524564"/>
                    </a:xfrm>
                    <a:prstGeom prst="rect">
                      <a:avLst/>
                    </a:prstGeom>
                  </pic:spPr>
                </pic:pic>
              </a:graphicData>
            </a:graphic>
          </wp:inline>
        </w:drawing>
      </w:r>
    </w:p>
    <w:p w14:paraId="76415D06" w14:textId="77777777" w:rsidR="00EA41C4" w:rsidRDefault="00000000">
      <w:pPr>
        <w:spacing w:after="240"/>
        <w:jc w:val="center"/>
      </w:pPr>
      <w:r>
        <w:rPr>
          <w:i/>
          <w:sz w:val="19"/>
        </w:rPr>
        <w:t>Figura 1: Evidencia del repositorio GitHub sincronizado con los artefactos de la práctica.</w:t>
      </w:r>
    </w:p>
    <w:p w14:paraId="449AA531" w14:textId="77777777" w:rsidR="00EA41C4" w:rsidRDefault="00000000">
      <w:pPr>
        <w:pStyle w:val="Ttulo1"/>
      </w:pPr>
      <w:r>
        <w:lastRenderedPageBreak/>
        <w:t>3. Proceso de Orquestación y Evidencias Prácticas</w:t>
      </w:r>
    </w:p>
    <w:p w14:paraId="7BC025EF" w14:textId="77777777" w:rsidR="00EA41C4" w:rsidRDefault="00000000">
      <w:pPr>
        <w:pStyle w:val="Ttulo2"/>
      </w:pPr>
      <w:r>
        <w:t>A. Despliegue Inicial y Verificación de Nodos/Servicios</w:t>
      </w:r>
    </w:p>
    <w:p w14:paraId="157C3990" w14:textId="77777777" w:rsidR="00EA41C4" w:rsidRDefault="00000000">
      <w:r>
        <w:t>Se aplicó el manifiesto YAML inicial configurando 3 réplicas iniciales para el contrato inteligente.</w:t>
      </w:r>
    </w:p>
    <w:p w14:paraId="59B906FA" w14:textId="77777777" w:rsidR="00EA41C4" w:rsidRDefault="00000000">
      <w:pPr>
        <w:spacing w:before="120" w:after="240"/>
        <w:ind w:left="288"/>
      </w:pPr>
      <w:r>
        <w:rPr>
          <w:rFonts w:ascii="Courier New" w:hAnsi="Courier New"/>
          <w:sz w:val="18"/>
        </w:rPr>
        <w:t>&gt; kubectl apply -f k8s/deployment_blockchain.yaml</w:t>
      </w:r>
      <w:r>
        <w:rPr>
          <w:rFonts w:ascii="Courier New" w:hAnsi="Courier New"/>
          <w:sz w:val="18"/>
        </w:rPr>
        <w:br/>
        <w:t>&gt; kubectl get pods</w:t>
      </w:r>
      <w:r>
        <w:rPr>
          <w:rFonts w:ascii="Courier New" w:hAnsi="Courier New"/>
          <w:sz w:val="18"/>
        </w:rPr>
        <w:br/>
        <w:t>&gt; kubectl get services</w:t>
      </w:r>
    </w:p>
    <w:p w14:paraId="2A4D9178" w14:textId="77777777" w:rsidR="00EA41C4" w:rsidRDefault="00000000">
      <w:pPr>
        <w:jc w:val="center"/>
      </w:pPr>
      <w:r>
        <w:rPr>
          <w:noProof/>
        </w:rPr>
        <w:drawing>
          <wp:inline distT="0" distB="0" distL="0" distR="0" wp14:anchorId="18034EE0" wp14:editId="51F59CF3">
            <wp:extent cx="5303520" cy="28246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a38c1.png"/>
                    <pic:cNvPicPr/>
                  </pic:nvPicPr>
                  <pic:blipFill>
                    <a:blip r:embed="rId7"/>
                    <a:stretch>
                      <a:fillRect/>
                    </a:stretch>
                  </pic:blipFill>
                  <pic:spPr>
                    <a:xfrm>
                      <a:off x="0" y="0"/>
                      <a:ext cx="5303520" cy="2824671"/>
                    </a:xfrm>
                    <a:prstGeom prst="rect">
                      <a:avLst/>
                    </a:prstGeom>
                  </pic:spPr>
                </pic:pic>
              </a:graphicData>
            </a:graphic>
          </wp:inline>
        </w:drawing>
      </w:r>
    </w:p>
    <w:p w14:paraId="7CD26A9A" w14:textId="77777777" w:rsidR="00EA41C4" w:rsidRDefault="00000000">
      <w:pPr>
        <w:spacing w:after="240"/>
        <w:jc w:val="center"/>
      </w:pPr>
      <w:r>
        <w:rPr>
          <w:i/>
          <w:sz w:val="19"/>
        </w:rPr>
        <w:t>Figura 2: Panel de Docker Desktop visualizando el Control Plane, los pods activos y el servicio ClusterIP expuesto en el puerto 8545.</w:t>
      </w:r>
    </w:p>
    <w:p w14:paraId="2F50971F" w14:textId="77777777" w:rsidR="00EA41C4" w:rsidRDefault="00000000">
      <w:pPr>
        <w:pStyle w:val="Ttulo2"/>
      </w:pPr>
      <w:r>
        <w:t>B. Escalado Horizontal a 5 Réplicas</w:t>
      </w:r>
    </w:p>
    <w:p w14:paraId="41C25FCC" w14:textId="77777777" w:rsidR="00EA41C4" w:rsidRDefault="00000000">
      <w:r>
        <w:t>Mediante el comando de escalado horizontal, se incrementó la capacidad de procesamiento de nodos a 5 instancias simultáneas en caliente:</w:t>
      </w:r>
    </w:p>
    <w:p w14:paraId="58E1DF4A" w14:textId="77777777" w:rsidR="00EA41C4" w:rsidRDefault="00000000">
      <w:pPr>
        <w:spacing w:before="120" w:after="240"/>
        <w:ind w:left="288"/>
      </w:pPr>
      <w:r>
        <w:rPr>
          <w:rFonts w:ascii="Courier New" w:hAnsi="Courier New"/>
          <w:sz w:val="18"/>
        </w:rPr>
        <w:t>&gt; kubectl scale deployment/blockchain-contract-deployment --replicas=5</w:t>
      </w:r>
      <w:r>
        <w:rPr>
          <w:rFonts w:ascii="Courier New" w:hAnsi="Courier New"/>
          <w:sz w:val="18"/>
        </w:rPr>
        <w:br/>
        <w:t>&gt; kubectl get pods</w:t>
      </w:r>
    </w:p>
    <w:p w14:paraId="6C3FECFA" w14:textId="77777777" w:rsidR="00EA41C4" w:rsidRDefault="00000000">
      <w:pPr>
        <w:jc w:val="center"/>
      </w:pPr>
      <w:r>
        <w:rPr>
          <w:noProof/>
        </w:rPr>
        <w:lastRenderedPageBreak/>
        <w:drawing>
          <wp:inline distT="0" distB="0" distL="0" distR="0" wp14:anchorId="5692EB3F" wp14:editId="5D57A8FA">
            <wp:extent cx="5303520" cy="27140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a384a.png"/>
                    <pic:cNvPicPr/>
                  </pic:nvPicPr>
                  <pic:blipFill>
                    <a:blip r:embed="rId8"/>
                    <a:stretch>
                      <a:fillRect/>
                    </a:stretch>
                  </pic:blipFill>
                  <pic:spPr>
                    <a:xfrm>
                      <a:off x="0" y="0"/>
                      <a:ext cx="5303520" cy="2714008"/>
                    </a:xfrm>
                    <a:prstGeom prst="rect">
                      <a:avLst/>
                    </a:prstGeom>
                  </pic:spPr>
                </pic:pic>
              </a:graphicData>
            </a:graphic>
          </wp:inline>
        </w:drawing>
      </w:r>
    </w:p>
    <w:p w14:paraId="6B731D84" w14:textId="77777777" w:rsidR="00EA41C4" w:rsidRDefault="00000000">
      <w:pPr>
        <w:spacing w:after="240"/>
        <w:jc w:val="center"/>
      </w:pPr>
      <w:r>
        <w:rPr>
          <w:i/>
          <w:sz w:val="19"/>
        </w:rPr>
        <w:t>Figura 3: Comprobación gráfica en Docker Desktop de las 5 réplicas ejecutándose correctamente en estado Running.</w:t>
      </w:r>
    </w:p>
    <w:p w14:paraId="3A4043F8" w14:textId="77777777" w:rsidR="00EA41C4" w:rsidRDefault="00000000">
      <w:pPr>
        <w:pStyle w:val="Ttulo2"/>
      </w:pPr>
      <w:r>
        <w:t>C. Actualización Continua (Rolling Update)</w:t>
      </w:r>
    </w:p>
    <w:p w14:paraId="4E7C540A" w14:textId="77777777" w:rsidR="00EA41C4" w:rsidRDefault="00000000">
      <w:r>
        <w:t>Se ejecutó la actualización controlada de la imagen del contenedor para simular un pase a producción con una nueva versión del entorno EVM sin interrumpir el servicio operativo:</w:t>
      </w:r>
    </w:p>
    <w:p w14:paraId="12B0E066" w14:textId="77777777" w:rsidR="00EA41C4" w:rsidRDefault="00000000">
      <w:pPr>
        <w:spacing w:before="120" w:after="240"/>
        <w:ind w:left="288"/>
        <w:rPr>
          <w:rFonts w:ascii="Courier New" w:hAnsi="Courier New"/>
          <w:sz w:val="18"/>
        </w:rPr>
      </w:pPr>
      <w:r>
        <w:rPr>
          <w:rFonts w:ascii="Courier New" w:hAnsi="Courier New"/>
          <w:sz w:val="18"/>
        </w:rPr>
        <w:t>&gt; kubectl set image deployment/blockchain-contract-deployment node-container=trufflesuite/ganache-cli:v6.12.2</w:t>
      </w:r>
      <w:r>
        <w:rPr>
          <w:rFonts w:ascii="Courier New" w:hAnsi="Courier New"/>
          <w:sz w:val="18"/>
        </w:rPr>
        <w:br/>
        <w:t>&gt; kubectl rollout status deployment/blockchain-contract-deployment</w:t>
      </w:r>
    </w:p>
    <w:p w14:paraId="0E246851" w14:textId="6A1D1FF9" w:rsidR="006A78EB" w:rsidRDefault="006A78EB" w:rsidP="006A78EB">
      <w:pPr>
        <w:spacing w:before="120" w:after="240"/>
      </w:pPr>
      <w:r w:rsidRPr="006A78EB">
        <w:drawing>
          <wp:inline distT="0" distB="0" distL="0" distR="0" wp14:anchorId="7A6073A9" wp14:editId="1BCD7B9E">
            <wp:extent cx="5486400" cy="283210"/>
            <wp:effectExtent l="0" t="0" r="0" b="2540"/>
            <wp:docPr id="391950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0054" name=""/>
                    <pic:cNvPicPr/>
                  </pic:nvPicPr>
                  <pic:blipFill>
                    <a:blip r:embed="rId9"/>
                    <a:stretch>
                      <a:fillRect/>
                    </a:stretch>
                  </pic:blipFill>
                  <pic:spPr>
                    <a:xfrm>
                      <a:off x="0" y="0"/>
                      <a:ext cx="5486400" cy="283210"/>
                    </a:xfrm>
                    <a:prstGeom prst="rect">
                      <a:avLst/>
                    </a:prstGeom>
                  </pic:spPr>
                </pic:pic>
              </a:graphicData>
            </a:graphic>
          </wp:inline>
        </w:drawing>
      </w:r>
    </w:p>
    <w:p w14:paraId="2C2E4603" w14:textId="1D734793" w:rsidR="006A78EB" w:rsidRDefault="006A78EB" w:rsidP="006A78EB">
      <w:pPr>
        <w:spacing w:before="120" w:after="240"/>
      </w:pPr>
      <w:r w:rsidRPr="006A78EB">
        <w:drawing>
          <wp:inline distT="0" distB="0" distL="0" distR="0" wp14:anchorId="6A8DA4BF" wp14:editId="1533CFC3">
            <wp:extent cx="5486400" cy="2917825"/>
            <wp:effectExtent l="0" t="0" r="0" b="0"/>
            <wp:docPr id="541723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23368" name=""/>
                    <pic:cNvPicPr/>
                  </pic:nvPicPr>
                  <pic:blipFill>
                    <a:blip r:embed="rId10"/>
                    <a:stretch>
                      <a:fillRect/>
                    </a:stretch>
                  </pic:blipFill>
                  <pic:spPr>
                    <a:xfrm>
                      <a:off x="0" y="0"/>
                      <a:ext cx="5486400" cy="2917825"/>
                    </a:xfrm>
                    <a:prstGeom prst="rect">
                      <a:avLst/>
                    </a:prstGeom>
                  </pic:spPr>
                </pic:pic>
              </a:graphicData>
            </a:graphic>
          </wp:inline>
        </w:drawing>
      </w:r>
    </w:p>
    <w:sectPr w:rsidR="006A78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9755016">
    <w:abstractNumId w:val="8"/>
  </w:num>
  <w:num w:numId="2" w16cid:durableId="1222791177">
    <w:abstractNumId w:val="6"/>
  </w:num>
  <w:num w:numId="3" w16cid:durableId="2083217027">
    <w:abstractNumId w:val="5"/>
  </w:num>
  <w:num w:numId="4" w16cid:durableId="1274753009">
    <w:abstractNumId w:val="4"/>
  </w:num>
  <w:num w:numId="5" w16cid:durableId="1832134779">
    <w:abstractNumId w:val="7"/>
  </w:num>
  <w:num w:numId="6" w16cid:durableId="1898204354">
    <w:abstractNumId w:val="3"/>
  </w:num>
  <w:num w:numId="7" w16cid:durableId="117645854">
    <w:abstractNumId w:val="2"/>
  </w:num>
  <w:num w:numId="8" w16cid:durableId="1990330827">
    <w:abstractNumId w:val="1"/>
  </w:num>
  <w:num w:numId="9" w16cid:durableId="727723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78EB"/>
    <w:rsid w:val="007348F9"/>
    <w:rsid w:val="00AA1D8D"/>
    <w:rsid w:val="00B47730"/>
    <w:rsid w:val="00CB0664"/>
    <w:rsid w:val="00EA41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274BDC"/>
  <w14:defaultImageDpi w14:val="300"/>
  <w15:docId w15:val="{262BCF79-AFC1-40F2-9DA9-DF99F5C7E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415</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Andrés Alejandro Silva Aguilar</cp:lastModifiedBy>
  <cp:revision>2</cp:revision>
  <dcterms:created xsi:type="dcterms:W3CDTF">2013-12-23T23:15:00Z</dcterms:created>
  <dcterms:modified xsi:type="dcterms:W3CDTF">2026-07-22T01:38:00Z</dcterms:modified>
  <cp:category/>
</cp:coreProperties>
</file>