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Учаева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на-</w:t>
      </w:r>
      <w:r>
        <w:t xml:space="preserve"> </w:t>
      </w:r>
      <w:r>
        <w:t xml:space="preserve">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хране-</w:t>
      </w:r>
      <w:r>
        <w:t xml:space="preserve"> </w:t>
      </w:r>
      <w:r>
        <w:t xml:space="preserve">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указыва-</w:t>
      </w:r>
      <w:r>
        <w:t xml:space="preserve"> </w:t>
      </w:r>
      <w:r>
        <w:t xml:space="preserve">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ко-</w:t>
      </w:r>
      <w:r>
        <w:t xml:space="preserve"> </w:t>
      </w:r>
      <w:r>
        <w:t xml:space="preserve">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хра-</w:t>
      </w:r>
      <w:r>
        <w:t xml:space="preserve"> </w:t>
      </w:r>
      <w:r>
        <w:t xml:space="preserve">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последователь-</w:t>
      </w:r>
      <w:r>
        <w:t xml:space="preserve"> </w:t>
      </w:r>
      <w:r>
        <w:t xml:space="preserve">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Перемещаюсь в каталог, в котором буду работать и создаю пустой текстовый файл hello.asm с помощью команды touch (рис. 1).</w:t>
      </w:r>
    </w:p>
    <w:bookmarkStart w:id="26" w:name="fig:001"/>
    <w:p>
      <w:pPr>
        <w:pStyle w:val="CaptionedFigure"/>
      </w:pPr>
      <w:r>
        <w:drawing>
          <wp:inline>
            <wp:extent cx="3733800" cy="2690616"/>
            <wp:effectExtent b="0" l="0" r="0" t="0"/>
            <wp:docPr descr="Рис. 1: Создание пустого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пустого файла</w:t>
      </w:r>
    </w:p>
    <w:bookmarkEnd w:id="26"/>
    <w:p>
      <w:pPr>
        <w:pStyle w:val="BodyText"/>
      </w:pPr>
      <w:r>
        <w:t xml:space="preserve">Открываю созданный файл в текстовом редакторе (рис. 2).</w:t>
      </w:r>
    </w:p>
    <w:bookmarkStart w:id="30" w:name="fig:002"/>
    <w:p>
      <w:pPr>
        <w:pStyle w:val="CaptionedFigure"/>
      </w:pPr>
      <w:r>
        <w:drawing>
          <wp:inline>
            <wp:extent cx="3733800" cy="2313023"/>
            <wp:effectExtent b="0" l="0" r="0" t="0"/>
            <wp:docPr descr="Рис. 2: Открытие файла в текстовом редактор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файла в текстовом редакторе</w:t>
      </w:r>
    </w:p>
    <w:bookmarkEnd w:id="30"/>
    <w:p>
      <w:pPr>
        <w:pStyle w:val="BodyText"/>
      </w:pPr>
      <w:r>
        <w:t xml:space="preserve">Заполняю файл вставляя в него программу для вывода Hello world! (рис. 3).</w:t>
      </w:r>
    </w:p>
    <w:bookmarkStart w:id="34" w:name="fig:003"/>
    <w:p>
      <w:pPr>
        <w:pStyle w:val="CaptionedFigure"/>
      </w:pPr>
      <w:r>
        <w:drawing>
          <wp:inline>
            <wp:extent cx="3733800" cy="3214415"/>
            <wp:effectExtent b="0" l="0" r="0" t="0"/>
            <wp:docPr descr="Рис. 3: Заполне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файла</w:t>
      </w:r>
    </w:p>
    <w:bookmarkEnd w:id="34"/>
    <w:bookmarkEnd w:id="35"/>
    <w:bookmarkStart w:id="40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 и с помощью команды ls проверяю, что объектный файл был создан (рис. 4).</w:t>
      </w:r>
    </w:p>
    <w:bookmarkStart w:id="39" w:name="fig:004"/>
    <w:p>
      <w:pPr>
        <w:pStyle w:val="CaptionedFigure"/>
      </w:pPr>
      <w:r>
        <w:drawing>
          <wp:inline>
            <wp:extent cx="3733800" cy="2724818"/>
            <wp:effectExtent b="0" l="0" r="0" t="0"/>
            <wp:docPr descr="Рис. 4: Компиляция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 программы</w:t>
      </w:r>
    </w:p>
    <w:bookmarkEnd w:id="39"/>
    <w:bookmarkEnd w:id="40"/>
    <w:bookmarkStart w:id="45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Далее ввожу команду,которая скомпилирует файл hello.asm в файл obj.o,при этом в файл будут включены символы для отладки и будет создан файл листинга list.lst,затем проверяю корректность выполненых действий (рис. 5).</w:t>
      </w:r>
    </w:p>
    <w:bookmarkStart w:id="44" w:name="fig:005"/>
    <w:p>
      <w:pPr>
        <w:pStyle w:val="CaptionedFigure"/>
      </w:pPr>
      <w:r>
        <w:drawing>
          <wp:inline>
            <wp:extent cx="3733800" cy="2626876"/>
            <wp:effectExtent b="0" l="0" r="0" t="0"/>
            <wp:docPr descr="Рис. 5: Компиляция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bookmarkEnd w:id="44"/>
    <w:bookmarkEnd w:id="45"/>
    <w:bookmarkStart w:id="54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на обработку компановщику LD,чтобы получить исполняемый файл hello и проверяю корректность, с помощью команды ls (рис. 6).</w:t>
      </w:r>
    </w:p>
    <w:bookmarkStart w:id="49" w:name="fig:006"/>
    <w:p>
      <w:pPr>
        <w:pStyle w:val="CaptionedFigure"/>
      </w:pPr>
      <w:r>
        <w:drawing>
          <wp:inline>
            <wp:extent cx="3733800" cy="453206"/>
            <wp:effectExtent b="0" l="0" r="0" t="0"/>
            <wp:docPr descr="Рис. 6: Передача объектного файла компоновщику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объектного файла компоновщику</w:t>
      </w:r>
    </w:p>
    <w:bookmarkEnd w:id="49"/>
    <w:p>
      <w:pPr>
        <w:pStyle w:val="BodyText"/>
      </w:pPr>
      <w:r>
        <w:t xml:space="preserve">Выполняю команду (рис. 7). Исполняемый файл будет иметь имя main, так как после ключа -о было задано значение main. Объектвный файл из которого собран этот исполняемый файл, имеет имя obj.o.</w:t>
      </w:r>
    </w:p>
    <w:bookmarkStart w:id="53" w:name="fig:007"/>
    <w:p>
      <w:pPr>
        <w:pStyle w:val="CaptionedFigure"/>
      </w:pPr>
      <w:r>
        <w:drawing>
          <wp:inline>
            <wp:extent cx="3733800" cy="472502"/>
            <wp:effectExtent b="0" l="0" r="0" t="0"/>
            <wp:docPr descr="Рис. 7: Передача объектного файла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компоновщику</w:t>
      </w:r>
    </w:p>
    <w:bookmarkEnd w:id="53"/>
    <w:bookmarkEnd w:id="54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8).</w:t>
      </w:r>
    </w:p>
    <w:bookmarkStart w:id="58" w:name="fig:008"/>
    <w:p>
      <w:pPr>
        <w:pStyle w:val="CaptionedFigure"/>
      </w:pPr>
      <w:r>
        <w:drawing>
          <wp:inline>
            <wp:extent cx="3733800" cy="301881"/>
            <wp:effectExtent b="0" l="0" r="0" t="0"/>
            <wp:docPr descr="Рис. 8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исполняемого файла</w:t>
      </w:r>
    </w:p>
    <w:bookmarkEnd w:id="58"/>
    <w:bookmarkEnd w:id="59"/>
    <w:bookmarkStart w:id="80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команды cp создаю в текущем каталоге копию файла hello.asm с именем lab4.asm (рис. 9).</w:t>
      </w:r>
    </w:p>
    <w:bookmarkStart w:id="63" w:name="fig:009"/>
    <w:p>
      <w:pPr>
        <w:pStyle w:val="CaptionedFigure"/>
      </w:pPr>
      <w:r>
        <w:drawing>
          <wp:inline>
            <wp:extent cx="3733800" cy="265969"/>
            <wp:effectExtent b="0" l="0" r="0" t="0"/>
            <wp:docPr descr="Рис. 9: Создание копии файла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</w:t>
      </w:r>
    </w:p>
    <w:bookmarkEnd w:id="63"/>
    <w:p>
      <w:pPr>
        <w:pStyle w:val="BodyText"/>
      </w:pPr>
      <w:r>
        <w:t xml:space="preserve">С помощью текстового редактора открываю файл lab4.asm и вношу изменения в программу, чтобы она выводила мои имя и фамилию (рис. 10).</w:t>
      </w:r>
    </w:p>
    <w:bookmarkStart w:id="67" w:name="fig:010"/>
    <w:p>
      <w:pPr>
        <w:pStyle w:val="CaptionedFigure"/>
      </w:pPr>
      <w:r>
        <w:drawing>
          <wp:inline>
            <wp:extent cx="3733800" cy="2235938"/>
            <wp:effectExtent b="0" l="0" r="0" t="0"/>
            <wp:docPr descr="Рис. 10: Изменение программы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программы</w:t>
      </w:r>
    </w:p>
    <w:bookmarkEnd w:id="67"/>
    <w:p>
      <w:pPr>
        <w:pStyle w:val="BodyText"/>
      </w:pPr>
      <w:r>
        <w:t xml:space="preserve">Компилирую текст программы в объектный файл и проверяю корректность действий (рис. 11).</w:t>
      </w:r>
    </w:p>
    <w:bookmarkStart w:id="71" w:name="fig:011"/>
    <w:p>
      <w:pPr>
        <w:pStyle w:val="CaptionedFigure"/>
      </w:pPr>
      <w:r>
        <w:drawing>
          <wp:inline>
            <wp:extent cx="3733800" cy="1075939"/>
            <wp:effectExtent b="0" l="0" r="0" t="0"/>
            <wp:docPr descr="Рис. 11: Компиляция текста программы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текста программы</w:t>
      </w:r>
    </w:p>
    <w:bookmarkEnd w:id="71"/>
    <w:p>
      <w:pPr>
        <w:pStyle w:val="BodyText"/>
      </w:pPr>
      <w:r>
        <w:t xml:space="preserve">Передаю объектный файл lab4.o на обработку компановщику LD, чтобы получить исполняемый файл lab4 (рис. 12).</w:t>
      </w:r>
    </w:p>
    <w:bookmarkStart w:id="75" w:name="fig:012"/>
    <w:p>
      <w:pPr>
        <w:pStyle w:val="CaptionedFigure"/>
      </w:pPr>
      <w:r>
        <w:drawing>
          <wp:inline>
            <wp:extent cx="3733800" cy="1667688"/>
            <wp:effectExtent b="0" l="0" r="0" t="0"/>
            <wp:docPr descr="Рис. 12: Передача файла компоновщику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Передача файла компоновщику</w:t>
      </w:r>
    </w:p>
    <w:bookmarkEnd w:id="75"/>
    <w:p>
      <w:pPr>
        <w:pStyle w:val="BodyText"/>
      </w:pPr>
      <w:r>
        <w:t xml:space="preserve">Запускаю исполняемый файл lab4,на экран выводятся мои имя и фамилия (рис. 13).</w:t>
      </w:r>
    </w:p>
    <w:bookmarkStart w:id="79" w:name="fig:013"/>
    <w:p>
      <w:pPr>
        <w:pStyle w:val="CaptionedFigure"/>
      </w:pPr>
      <w:r>
        <w:drawing>
          <wp:inline>
            <wp:extent cx="3733800" cy="416083"/>
            <wp:effectExtent b="0" l="0" r="0" t="0"/>
            <wp:docPr descr="Рис. 13: Запуск исполняемого файла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79"/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</w:t>
      </w:r>
      <w:hyperlink r:id="rId83">
        <w:r>
          <w:rPr>
            <w:rStyle w:val="Hyperlink"/>
          </w:rPr>
          <w:t xml:space="preserve">Архитектура ЭВМ</w:t>
        </w:r>
      </w:hyperlink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hyperlink" Id="rId83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Учаева Алёна Сергеевна</dc:creator>
  <dc:language>ru-RU</dc:language>
  <cp:keywords/>
  <dcterms:created xsi:type="dcterms:W3CDTF">2024-10-26T14:25:49Z</dcterms:created>
  <dcterms:modified xsi:type="dcterms:W3CDTF">2024-10-26T14:25:49Z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