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Учаева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со-</w:t>
      </w:r>
      <w:r>
        <w:t xml:space="preserve"> </w:t>
      </w:r>
      <w:r>
        <w:t xml:space="preserve">здайте файл lab09-1.asm (рис. 1).</w:t>
      </w:r>
    </w:p>
    <w:bookmarkStart w:id="26" w:name="fig:001"/>
    <w:p>
      <w:pPr>
        <w:pStyle w:val="CaptionedFigure"/>
      </w:pPr>
      <w:r>
        <w:drawing>
          <wp:inline>
            <wp:extent cx="3733800" cy="1015685"/>
            <wp:effectExtent b="0" l="0" r="0" t="0"/>
            <wp:docPr descr="Рис. 1: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</w:t>
      </w:r>
    </w:p>
    <w:bookmarkEnd w:id="26"/>
    <w:p>
      <w:pPr>
        <w:pStyle w:val="BodyText"/>
      </w:pPr>
      <w:r>
        <w:t xml:space="preserve">Ввожу в файл lab09-1.asm текст программы из листинга 9.1. Создаю исполняемый</w:t>
      </w:r>
      <w:r>
        <w:t xml:space="preserve"> </w:t>
      </w:r>
      <w:r>
        <w:t xml:space="preserve">файл и проверяю его работу. Программа выполняет вычисление функции (рис. 2).</w:t>
      </w:r>
    </w:p>
    <w:bookmarkStart w:id="30" w:name="fig:002"/>
    <w:p>
      <w:pPr>
        <w:pStyle w:val="CaptionedFigure"/>
      </w:pPr>
      <w:r>
        <w:drawing>
          <wp:inline>
            <wp:extent cx="3733800" cy="1015685"/>
            <wp:effectExtent b="0" l="0" r="0" t="0"/>
            <wp:docPr descr="Рис. 2: Запуск исполняемого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исполняемого файла</w:t>
      </w:r>
    </w:p>
    <w:bookmarkEnd w:id="30"/>
    <w:p>
      <w:pPr>
        <w:pStyle w:val="BodyText"/>
      </w:pPr>
      <w:r>
        <w:t xml:space="preserve">Изменяю текст программы, добавив подпрограмму _subcalcul в подпрограмму _calcul. Программа вычисляет значение функции для выражения f(g(x)) (рис. 3).</w:t>
      </w:r>
    </w:p>
    <w:bookmarkStart w:id="34" w:name="fig:003"/>
    <w:p>
      <w:pPr>
        <w:pStyle w:val="CaptionedFigure"/>
      </w:pPr>
      <w:r>
        <w:drawing>
          <wp:inline>
            <wp:extent cx="3733800" cy="4025327"/>
            <wp:effectExtent b="0" l="0" r="0" t="0"/>
            <wp:docPr descr="Рис. 3: Редакт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bookmarkEnd w:id="34"/>
    <w:p>
      <w:pPr>
        <w:pStyle w:val="BodyText"/>
      </w:pPr>
      <w:r>
        <w:t xml:space="preserve">Создаю исполняемый файл и проверяю его работу. Программа выполняет вычисление функции (рис. 4).</w:t>
      </w:r>
    </w:p>
    <w:bookmarkStart w:id="38" w:name="fig:004"/>
    <w:p>
      <w:pPr>
        <w:pStyle w:val="CaptionedFigure"/>
      </w:pPr>
      <w:r>
        <w:drawing>
          <wp:inline>
            <wp:extent cx="3733800" cy="957976"/>
            <wp:effectExtent b="0" l="0" r="0" t="0"/>
            <wp:docPr descr="Рис. 4: 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исполняемого файла</w:t>
      </w:r>
    </w:p>
    <w:bookmarkEnd w:id="38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End w:id="39"/>
    <w:bookmarkStart w:id="6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 (рис. 5).</w:t>
      </w:r>
    </w:p>
    <w:bookmarkStart w:id="43" w:name="fig:005"/>
    <w:p>
      <w:pPr>
        <w:pStyle w:val="CaptionedFigure"/>
      </w:pPr>
      <w:r>
        <w:drawing>
          <wp:inline>
            <wp:extent cx="3733800" cy="2817962"/>
            <wp:effectExtent b="0" l="0" r="0" t="0"/>
            <wp:docPr descr="Рис. 5: Создание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End w:id="43"/>
    <w:p>
      <w:pPr>
        <w:pStyle w:val="BodyText"/>
      </w:pPr>
      <w:r>
        <w:t xml:space="preserve">Транслирую с созданием файла листинга и отладки, компоную и запускаю в отладчике, программа работает корректно (рис. 6).</w:t>
      </w:r>
    </w:p>
    <w:bookmarkStart w:id="47" w:name="fig:006"/>
    <w:p>
      <w:pPr>
        <w:pStyle w:val="CaptionedFigure"/>
      </w:pPr>
      <w:r>
        <w:drawing>
          <wp:inline>
            <wp:extent cx="3733800" cy="2684023"/>
            <wp:effectExtent b="0" l="0" r="0" t="0"/>
            <wp:docPr descr="Рис. 6: Проверка программы отладчиком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программы отладчиком</w:t>
      </w:r>
    </w:p>
    <w:bookmarkEnd w:id="47"/>
    <w:p>
      <w:pPr>
        <w:pStyle w:val="BodyText"/>
      </w:pPr>
      <w:r>
        <w:t xml:space="preserve">Для более подробного анализа программы устанавливаю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 (рис. 7).</w:t>
      </w:r>
    </w:p>
    <w:bookmarkStart w:id="51" w:name="fig:007"/>
    <w:p>
      <w:pPr>
        <w:pStyle w:val="CaptionedFigure"/>
      </w:pPr>
      <w:r>
        <w:drawing>
          <wp:inline>
            <wp:extent cx="3733800" cy="967810"/>
            <wp:effectExtent b="0" l="0" r="0" t="0"/>
            <wp:docPr descr="Рис. 7: Запуск отладчика с брейкпоинтом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отладчика с брейкпоинтом</w:t>
      </w:r>
    </w:p>
    <w:bookmarkEnd w:id="51"/>
    <w:p>
      <w:pPr>
        <w:pStyle w:val="BodyText"/>
      </w:pPr>
      <w:r>
        <w:t xml:space="preserve">Далее смотритю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8).</w:t>
      </w:r>
    </w:p>
    <w:bookmarkStart w:id="55" w:name="fig:008"/>
    <w:p>
      <w:pPr>
        <w:pStyle w:val="CaptionedFigure"/>
      </w:pPr>
      <w:r>
        <w:drawing>
          <wp:inline>
            <wp:extent cx="3733800" cy="2688787"/>
            <wp:effectExtent b="0" l="0" r="0" t="0"/>
            <wp:docPr descr="Рис. 8: Дисассимилирование программы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Дисассимилирование программы</w:t>
      </w:r>
    </w:p>
    <w:bookmarkEnd w:id="55"/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9).</w:t>
      </w:r>
    </w:p>
    <w:bookmarkStart w:id="59" w:name="fig:009"/>
    <w:p>
      <w:pPr>
        <w:pStyle w:val="CaptionedFigure"/>
      </w:pPr>
      <w:r>
        <w:drawing>
          <wp:inline>
            <wp:extent cx="3733800" cy="1954720"/>
            <wp:effectExtent b="0" l="0" r="0" t="0"/>
            <wp:docPr descr="Рис. 9: Дисассимилирование программы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Дисассимилирование программы</w:t>
      </w:r>
    </w:p>
    <w:bookmarkEnd w:id="59"/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BodyText"/>
      </w:pPr>
      <w:r>
        <w:t xml:space="preserve">Далее включаю режим псевдографики для более удобного анализа программы (рис. 10).</w:t>
      </w:r>
    </w:p>
    <w:bookmarkStart w:id="63" w:name="fig:010"/>
    <w:p>
      <w:pPr>
        <w:pStyle w:val="CaptionedFigure"/>
      </w:pPr>
      <w:r>
        <w:drawing>
          <wp:inline>
            <wp:extent cx="3733800" cy="2704176"/>
            <wp:effectExtent b="0" l="0" r="0" t="0"/>
            <wp:docPr descr="Рис. 10: Режим псевдографики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End w:id="63"/>
    <w:bookmarkEnd w:id="64"/>
    <w:bookmarkStart w:id="107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11).</w:t>
      </w:r>
    </w:p>
    <w:bookmarkStart w:id="68" w:name="fig:011"/>
    <w:p>
      <w:pPr>
        <w:pStyle w:val="CaptionedFigure"/>
      </w:pPr>
      <w:r>
        <w:drawing>
          <wp:inline>
            <wp:extent cx="3733800" cy="2704176"/>
            <wp:effectExtent b="0" l="0" r="0" t="0"/>
            <wp:docPr descr="Рис. 11: Режим псевдографики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Режим псевдографики</w:t>
      </w:r>
    </w:p>
    <w:bookmarkEnd w:id="68"/>
    <w:p>
      <w:pPr>
        <w:pStyle w:val="BodyText"/>
      </w:pPr>
      <w:r>
        <w:t xml:space="preserve">Устаналиваю еще одну точку останова по адресу инструкции (рис. 12).</w:t>
      </w:r>
    </w:p>
    <w:bookmarkStart w:id="72" w:name="fig:012"/>
    <w:p>
      <w:pPr>
        <w:pStyle w:val="CaptionedFigure"/>
      </w:pPr>
      <w:r>
        <w:drawing>
          <wp:inline>
            <wp:extent cx="3733800" cy="2318643"/>
            <wp:effectExtent b="0" l="0" r="0" t="0"/>
            <wp:docPr descr="Рис. 12: Установка точки останов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точки останова</w:t>
      </w:r>
    </w:p>
    <w:bookmarkEnd w:id="72"/>
    <w:bookmarkStart w:id="93" w:name="работа-с-данными-программы-в-gdb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Посмотреть содержимое регистров также можно с помощью команды info registers (рис. 13).</w:t>
      </w:r>
    </w:p>
    <w:bookmarkStart w:id="76" w:name="fig:013"/>
    <w:p>
      <w:pPr>
        <w:pStyle w:val="CaptionedFigure"/>
      </w:pPr>
      <w:r>
        <w:drawing>
          <wp:inline>
            <wp:extent cx="3733800" cy="2714221"/>
            <wp:effectExtent b="0" l="0" r="0" t="0"/>
            <wp:docPr descr="Рис. 13: Просмотр содержимого регистров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содержимого регистров</w:t>
      </w:r>
    </w:p>
    <w:bookmarkEnd w:id="76"/>
    <w:p>
      <w:pPr>
        <w:pStyle w:val="BodyText"/>
      </w:pPr>
      <w:r>
        <w:t xml:space="preserve">Смотрю содержимое переменных по имени и по адресу (рис. 14).</w:t>
      </w:r>
    </w:p>
    <w:bookmarkStart w:id="80" w:name="fig:014"/>
    <w:p>
      <w:pPr>
        <w:pStyle w:val="CaptionedFigure"/>
      </w:pPr>
      <w:r>
        <w:drawing>
          <wp:inline>
            <wp:extent cx="3733800" cy="2734418"/>
            <wp:effectExtent b="0" l="0" r="0" t="0"/>
            <wp:docPr descr="Рис. 14: Просмотр содержимого переменных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содержимого переменных</w:t>
      </w:r>
    </w:p>
    <w:bookmarkEnd w:id="80"/>
    <w:p>
      <w:pPr>
        <w:pStyle w:val="BodyText"/>
      </w:pPr>
      <w:r>
        <w:t xml:space="preserve">Меняю содержимое переменных по имени и по адресу (рис. 15).</w:t>
      </w:r>
    </w:p>
    <w:bookmarkStart w:id="84" w:name="fig:015"/>
    <w:p>
      <w:pPr>
        <w:pStyle w:val="CaptionedFigure"/>
      </w:pPr>
      <w:r>
        <w:drawing>
          <wp:inline>
            <wp:extent cx="3733800" cy="2734418"/>
            <wp:effectExtent b="0" l="0" r="0" t="0"/>
            <wp:docPr descr="Рис. 15: Изменение содержимого переменных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содержимого переменных</w:t>
      </w:r>
    </w:p>
    <w:bookmarkEnd w:id="84"/>
    <w:p>
      <w:pPr>
        <w:pStyle w:val="BodyText"/>
      </w:pPr>
      <w:r>
        <w:t xml:space="preserve">Вывожу в различных форматах значение регистра edx (рис. 16).</w:t>
      </w:r>
    </w:p>
    <w:bookmarkStart w:id="88" w:name="fig:016"/>
    <w:p>
      <w:pPr>
        <w:pStyle w:val="CaptionedFigure"/>
      </w:pPr>
      <w:r>
        <w:drawing>
          <wp:inline>
            <wp:extent cx="3733800" cy="2653990"/>
            <wp:effectExtent b="0" l="0" r="0" t="0"/>
            <wp:docPr descr="Рис. 16: Просмотр содержимого регистров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содержимого регистров</w:t>
      </w:r>
    </w:p>
    <w:bookmarkEnd w:id="88"/>
    <w:p>
      <w:pPr>
        <w:pStyle w:val="BodyText"/>
      </w:pPr>
      <w:r>
        <w:t xml:space="preserve">С помощью команды set меняю содержимое регистра ebx (рис. 17).</w:t>
      </w:r>
    </w:p>
    <w:bookmarkStart w:id="92" w:name="fig:017"/>
    <w:p>
      <w:pPr>
        <w:pStyle w:val="CaptionedFigure"/>
      </w:pPr>
      <w:r>
        <w:drawing>
          <wp:inline>
            <wp:extent cx="3733800" cy="2693019"/>
            <wp:effectExtent b="0" l="0" r="0" t="0"/>
            <wp:docPr descr="Рис. 17: Редактирование содержимого регистра ebx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содержимого регистра ebx</w:t>
      </w:r>
    </w:p>
    <w:bookmarkEnd w:id="92"/>
    <w:bookmarkEnd w:id="93"/>
    <w:bookmarkStart w:id="106" w:name="X34484a9d02dddcc072527afae661c9b27116987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 и создаю исполняемый файл (рис. 18).</w:t>
      </w:r>
    </w:p>
    <w:bookmarkStart w:id="97" w:name="fig:018"/>
    <w:p>
      <w:pPr>
        <w:pStyle w:val="CaptionedFigure"/>
      </w:pPr>
      <w:r>
        <w:drawing>
          <wp:inline>
            <wp:extent cx="3733800" cy="2318643"/>
            <wp:effectExtent b="0" l="0" r="0" t="0"/>
            <wp:docPr descr="Рис. 18: Создание исполняемого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исполняемого файла</w:t>
      </w:r>
    </w:p>
    <w:bookmarkEnd w:id="97"/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19).</w:t>
      </w:r>
    </w:p>
    <w:bookmarkStart w:id="101" w:name="fig:019"/>
    <w:p>
      <w:pPr>
        <w:pStyle w:val="CaptionedFigure"/>
      </w:pPr>
      <w:r>
        <w:drawing>
          <wp:inline>
            <wp:extent cx="3733800" cy="2318643"/>
            <wp:effectExtent b="0" l="0" r="0" t="0"/>
            <wp:docPr descr="Рис. 19: Установка точки останов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точки останова</w:t>
      </w:r>
    </w:p>
    <w:bookmarkEnd w:id="101"/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 (рис. 20).</w:t>
      </w:r>
    </w:p>
    <w:bookmarkStart w:id="105" w:name="fig:020"/>
    <w:p>
      <w:pPr>
        <w:pStyle w:val="CaptionedFigure"/>
      </w:pPr>
      <w:r>
        <w:drawing>
          <wp:inline>
            <wp:extent cx="3733800" cy="2318643"/>
            <wp:effectExtent b="0" l="0" r="0" t="0"/>
            <wp:docPr descr="Рис. 20: Запуск отладчик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отладчика</w:t>
      </w:r>
    </w:p>
    <w:bookmarkEnd w:id="105"/>
    <w:bookmarkEnd w:id="106"/>
    <w:bookmarkEnd w:id="107"/>
    <w:bookmarkStart w:id="12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Меняю программу самостоятельной части предыдущей лабораторной работы с использованием подпрограммы (рис. 21).</w:t>
      </w:r>
    </w:p>
    <w:bookmarkStart w:id="111" w:name="fig:021"/>
    <w:p>
      <w:pPr>
        <w:pStyle w:val="CaptionedFigure"/>
      </w:pPr>
      <w:r>
        <w:drawing>
          <wp:inline>
            <wp:extent cx="3733800" cy="3527871"/>
            <wp:effectExtent b="0" l="0" r="0" t="0"/>
            <wp:docPr descr="Рис. 21: Редактирование программы" title="" id="109" name="Picture"/>
            <a:graphic>
              <a:graphicData uri="http://schemas.openxmlformats.org/drawingml/2006/picture">
                <pic:pic>
                  <pic:nvPicPr>
                    <pic:cNvPr descr="image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Редактирование программы</w:t>
      </w:r>
    </w:p>
    <w:bookmarkEnd w:id="111"/>
    <w:p>
      <w:pPr>
        <w:pStyle w:val="BodyText"/>
      </w:pPr>
      <w:r>
        <w:t xml:space="preserve">Новая программа: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22).</w:t>
      </w:r>
    </w:p>
    <w:bookmarkStart w:id="115" w:name="fig:022"/>
    <w:p>
      <w:pPr>
        <w:pStyle w:val="CaptionedFigure"/>
      </w:pPr>
      <w:r>
        <w:drawing>
          <wp:inline>
            <wp:extent cx="3733800" cy="2709945"/>
            <wp:effectExtent b="0" l="0" r="0" t="0"/>
            <wp:docPr descr="Рис. 22: Просмотр программы" title="" id="113" name="Picture"/>
            <a:graphic>
              <a:graphicData uri="http://schemas.openxmlformats.org/drawingml/2006/picture">
                <pic:pic>
                  <pic:nvPicPr>
                    <pic:cNvPr descr="image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программы</w:t>
      </w:r>
    </w:p>
    <w:bookmarkEnd w:id="115"/>
    <w:p>
      <w:pPr>
        <w:pStyle w:val="BodyText"/>
      </w:pPr>
      <w:r>
        <w:t xml:space="preserve">Исправляю найденную ошибку, теперь программа верно считает значение функции (рис. 23).</w:t>
      </w:r>
    </w:p>
    <w:bookmarkStart w:id="119" w:name="fig:023"/>
    <w:p>
      <w:pPr>
        <w:pStyle w:val="CaptionedFigure"/>
      </w:pPr>
      <w:r>
        <w:drawing>
          <wp:inline>
            <wp:extent cx="3733800" cy="555728"/>
            <wp:effectExtent b="0" l="0" r="0" t="0"/>
            <wp:docPr descr="Рис. 23: Запуск исправленной программы" title="" id="117" name="Picture"/>
            <a:graphic>
              <a:graphicData uri="http://schemas.openxmlformats.org/drawingml/2006/picture">
                <pic:pic>
                  <pic:nvPicPr>
                    <pic:cNvPr descr="image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исправленной программы</w:t>
      </w:r>
    </w:p>
    <w:bookmarkEnd w:id="119"/>
    <w:p>
      <w:pPr>
        <w:pStyle w:val="BodyText"/>
      </w:pPr>
      <w:r>
        <w:t xml:space="preserve">Новая программа: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с использованием подпрограмм. Ознакомилась с методами отладки при помощи GDB и его основными возможностями.</w:t>
      </w:r>
    </w:p>
    <w:bookmarkEnd w:id="122"/>
    <w:bookmarkStart w:id="12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23">
        <w:r>
          <w:rPr>
            <w:rStyle w:val="Hyperlink"/>
          </w:rPr>
          <w:t xml:space="preserve">Архитектура ЭВМ</w:t>
        </w:r>
      </w:hyperlink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3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3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Учаева Алёна Сергеевна</dc:creator>
  <dc:language>ru-RU</dc:language>
  <cp:keywords/>
  <dcterms:created xsi:type="dcterms:W3CDTF">2024-12-07T18:30:02Z</dcterms:created>
  <dcterms:modified xsi:type="dcterms:W3CDTF">2024-12-07T18:30:02Z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