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569" w:rsidRPr="00783C9C" w:rsidRDefault="00783C9C" w:rsidP="00783C9C">
      <w:pPr>
        <w:jc w:val="center"/>
        <w:rPr>
          <w:b/>
          <w:u w:val="single"/>
        </w:rPr>
      </w:pPr>
      <w:r>
        <w:rPr>
          <w:b/>
          <w:u w:val="single"/>
        </w:rPr>
        <w:t>McKenzie L</w:t>
      </w:r>
      <w:r w:rsidRPr="00783C9C">
        <w:rPr>
          <w:b/>
          <w:u w:val="single"/>
        </w:rPr>
        <w:t xml:space="preserve">ab 16S/ITS </w:t>
      </w:r>
      <w:r>
        <w:rPr>
          <w:b/>
          <w:u w:val="single"/>
        </w:rPr>
        <w:t>Sample Processing P</w:t>
      </w:r>
      <w:r w:rsidRPr="00783C9C">
        <w:rPr>
          <w:b/>
          <w:u w:val="single"/>
        </w:rPr>
        <w:t>rotocol</w:t>
      </w:r>
    </w:p>
    <w:p w:rsidR="00783C9C" w:rsidRDefault="00783C9C" w:rsidP="00783C9C">
      <w:pPr>
        <w:jc w:val="center"/>
      </w:pPr>
    </w:p>
    <w:p w:rsidR="000F7A9B" w:rsidRDefault="000F7A9B" w:rsidP="000F7A9B">
      <w:pPr>
        <w:pStyle w:val="ListParagraph"/>
        <w:numPr>
          <w:ilvl w:val="0"/>
          <w:numId w:val="1"/>
        </w:numPr>
      </w:pPr>
      <w:r>
        <w:t>PCR</w:t>
      </w:r>
    </w:p>
    <w:p w:rsidR="000F7A9B" w:rsidRDefault="000F7A9B" w:rsidP="000F7A9B">
      <w:pPr>
        <w:pStyle w:val="ListParagraph"/>
        <w:ind w:left="1080"/>
      </w:pPr>
    </w:p>
    <w:p w:rsidR="00D30C47" w:rsidRDefault="00783C9C" w:rsidP="00783C9C">
      <w:r>
        <w:t xml:space="preserve">Primers for 16S are for </w:t>
      </w:r>
      <w:r w:rsidR="00D30C47">
        <w:t>paired-end</w:t>
      </w:r>
      <w:r>
        <w:t xml:space="preserve"> sequencing and amplify the V4 region at </w:t>
      </w:r>
      <w:r w:rsidRPr="00783C9C">
        <w:t>515F-806R</w:t>
      </w:r>
      <w:r w:rsidR="00D30C47">
        <w:t xml:space="preserve"> (we use Earth Microbiome Project primers: </w:t>
      </w:r>
      <w:hyperlink r:id="rId5" w:history="1">
        <w:r w:rsidR="00D30C47" w:rsidRPr="00587420">
          <w:rPr>
            <w:rStyle w:val="Hyperlink"/>
          </w:rPr>
          <w:t>http://press.igsb.anl.gov/earthmicrobiome/protocols-and-standards/16s/</w:t>
        </w:r>
      </w:hyperlink>
      <w:r w:rsidR="00D30C47">
        <w:t xml:space="preserve">). </w:t>
      </w:r>
    </w:p>
    <w:p w:rsidR="00D30C47" w:rsidRDefault="00D30C47" w:rsidP="00783C9C"/>
    <w:p w:rsidR="00D30C47" w:rsidRDefault="00783C9C" w:rsidP="00783C9C">
      <w:r>
        <w:t xml:space="preserve">Primers for ITS are also for </w:t>
      </w:r>
      <w:r w:rsidR="00D30C47">
        <w:t>paired-end</w:t>
      </w:r>
      <w:r>
        <w:t xml:space="preserve"> sequencing</w:t>
      </w:r>
      <w:r w:rsidR="00D30C47">
        <w:t xml:space="preserve"> and amplify the </w:t>
      </w:r>
      <w:r w:rsidR="00D30C47" w:rsidRPr="00D30C47">
        <w:t>ITS1f-ITS2</w:t>
      </w:r>
      <w:r w:rsidR="00D30C47">
        <w:t xml:space="preserve"> region (again, we use Earth Microbiome Project primers: </w:t>
      </w:r>
      <w:hyperlink r:id="rId6" w:history="1">
        <w:r w:rsidR="00D30C47" w:rsidRPr="00587420">
          <w:rPr>
            <w:rStyle w:val="Hyperlink"/>
          </w:rPr>
          <w:t>http://www.earthmicrobiome.org/protocols-and-standards/its/</w:t>
        </w:r>
      </w:hyperlink>
      <w:r w:rsidR="00D30C47">
        <w:t>)</w:t>
      </w:r>
      <w:r>
        <w:t xml:space="preserve">. </w:t>
      </w:r>
    </w:p>
    <w:p w:rsidR="00D30C47" w:rsidRDefault="00D30C47" w:rsidP="00783C9C"/>
    <w:p w:rsidR="00783C9C" w:rsidRDefault="00783C9C" w:rsidP="00783C9C">
      <w:r>
        <w:t xml:space="preserve">Make sure that you record what primer plate is used and DO NOT use the same primer combinations for any samples that are going onto the same sequencing run. </w:t>
      </w:r>
      <w:r w:rsidR="000F7A9B">
        <w:t>Also, do a test PCR plate with a subset of the samples to first make sure that they will amplify. Always amplify samples in triplicate.</w:t>
      </w:r>
    </w:p>
    <w:p w:rsidR="00783C9C" w:rsidRDefault="00783C9C" w:rsidP="00783C9C"/>
    <w:p w:rsidR="00783C9C" w:rsidRDefault="00783C9C" w:rsidP="00783C9C">
      <w:r>
        <w:t>Reagents used:</w:t>
      </w:r>
    </w:p>
    <w:tbl>
      <w:tblPr>
        <w:tblStyle w:val="TableGrid"/>
        <w:tblW w:w="0" w:type="auto"/>
        <w:tblLook w:val="04A0" w:firstRow="1" w:lastRow="0" w:firstColumn="1" w:lastColumn="0" w:noHBand="0" w:noVBand="1"/>
      </w:tblPr>
      <w:tblGrid>
        <w:gridCol w:w="4675"/>
        <w:gridCol w:w="4675"/>
      </w:tblGrid>
      <w:tr w:rsidR="00783C9C" w:rsidTr="00783C9C">
        <w:tc>
          <w:tcPr>
            <w:tcW w:w="4675" w:type="dxa"/>
          </w:tcPr>
          <w:p w:rsidR="00783C9C" w:rsidRDefault="00783C9C" w:rsidP="00783C9C">
            <w:r>
              <w:t>Master mix</w:t>
            </w:r>
          </w:p>
        </w:tc>
        <w:tc>
          <w:tcPr>
            <w:tcW w:w="4675" w:type="dxa"/>
          </w:tcPr>
          <w:p w:rsidR="00783C9C" w:rsidRDefault="00783C9C" w:rsidP="00783C9C">
            <w:proofErr w:type="spellStart"/>
            <w:r>
              <w:t>Promega</w:t>
            </w:r>
            <w:proofErr w:type="spellEnd"/>
            <w:r>
              <w:t xml:space="preserve"> </w:t>
            </w:r>
            <w:proofErr w:type="spellStart"/>
            <w:r>
              <w:t>GoTaq</w:t>
            </w:r>
            <w:proofErr w:type="spellEnd"/>
            <w:r>
              <w:t xml:space="preserve"> G2 colorless master mix</w:t>
            </w:r>
          </w:p>
        </w:tc>
      </w:tr>
      <w:tr w:rsidR="00783C9C" w:rsidTr="00783C9C">
        <w:tc>
          <w:tcPr>
            <w:tcW w:w="4675" w:type="dxa"/>
          </w:tcPr>
          <w:p w:rsidR="00783C9C" w:rsidRDefault="00783C9C" w:rsidP="00783C9C">
            <w:r>
              <w:t>Water</w:t>
            </w:r>
          </w:p>
        </w:tc>
        <w:tc>
          <w:tcPr>
            <w:tcW w:w="4675" w:type="dxa"/>
          </w:tcPr>
          <w:p w:rsidR="00783C9C" w:rsidRDefault="00783C9C" w:rsidP="00783C9C">
            <w:r>
              <w:t xml:space="preserve">Nuclease-free water that comes with master mix OR Sigma sterile-filtered, </w:t>
            </w:r>
            <w:proofErr w:type="spellStart"/>
            <w:r>
              <w:t>BioReagent</w:t>
            </w:r>
            <w:proofErr w:type="spellEnd"/>
            <w:r>
              <w:t>, suitable for cell culture water</w:t>
            </w:r>
          </w:p>
        </w:tc>
      </w:tr>
      <w:tr w:rsidR="00783C9C" w:rsidTr="00783C9C">
        <w:tc>
          <w:tcPr>
            <w:tcW w:w="4675" w:type="dxa"/>
          </w:tcPr>
          <w:p w:rsidR="00783C9C" w:rsidRDefault="00783C9C" w:rsidP="00783C9C">
            <w:r>
              <w:t>Primers</w:t>
            </w:r>
          </w:p>
        </w:tc>
        <w:tc>
          <w:tcPr>
            <w:tcW w:w="4675" w:type="dxa"/>
          </w:tcPr>
          <w:p w:rsidR="00783C9C" w:rsidRDefault="00783C9C" w:rsidP="00783C9C">
            <w:proofErr w:type="spellStart"/>
            <w:r>
              <w:t>Elim</w:t>
            </w:r>
            <w:proofErr w:type="spellEnd"/>
            <w:r>
              <w:t xml:space="preserve"> bio</w:t>
            </w:r>
          </w:p>
        </w:tc>
      </w:tr>
    </w:tbl>
    <w:p w:rsidR="00783C9C" w:rsidRDefault="00783C9C" w:rsidP="00783C9C"/>
    <w:p w:rsidR="00783C9C" w:rsidRDefault="00783C9C" w:rsidP="00783C9C"/>
    <w:p w:rsidR="00783C9C" w:rsidRPr="008054C6" w:rsidRDefault="00783C9C" w:rsidP="00783C9C">
      <w:pPr>
        <w:rPr>
          <w:u w:val="single"/>
        </w:rPr>
      </w:pPr>
      <w:r w:rsidRPr="008054C6">
        <w:rPr>
          <w:u w:val="single"/>
        </w:rPr>
        <w:t>PCR mix (1x):</w:t>
      </w:r>
    </w:p>
    <w:p w:rsidR="00783C9C" w:rsidRDefault="00783C9C" w:rsidP="00783C9C">
      <w:r>
        <w:t>Master mix</w:t>
      </w:r>
      <w:r>
        <w:tab/>
        <w:t>12.5 µl</w:t>
      </w:r>
    </w:p>
    <w:p w:rsidR="00783C9C" w:rsidRDefault="00783C9C" w:rsidP="00783C9C">
      <w:r>
        <w:t>Water</w:t>
      </w:r>
      <w:r>
        <w:tab/>
      </w:r>
      <w:r>
        <w:tab/>
        <w:t>10.5 µL</w:t>
      </w:r>
    </w:p>
    <w:p w:rsidR="00783C9C" w:rsidRDefault="00783C9C" w:rsidP="00783C9C">
      <w:r>
        <w:t>Primer mix</w:t>
      </w:r>
      <w:r>
        <w:tab/>
        <w:t>1 µL</w:t>
      </w:r>
    </w:p>
    <w:p w:rsidR="00FA39B7" w:rsidRDefault="00FA39B7" w:rsidP="00783C9C">
      <w:r>
        <w:t>DNA template</w:t>
      </w:r>
      <w:r>
        <w:tab/>
        <w:t xml:space="preserve">1 µL (2 µL if </w:t>
      </w:r>
      <w:r w:rsidR="008054C6">
        <w:t>you have low biomass samples that didn’t amplify with a test PCR – subtract 1 µL from water)</w:t>
      </w:r>
    </w:p>
    <w:p w:rsidR="00FA39B7" w:rsidRDefault="00FA39B7" w:rsidP="00783C9C"/>
    <w:p w:rsidR="00FA39B7" w:rsidRPr="008054C6" w:rsidRDefault="00FA39B7" w:rsidP="00783C9C">
      <w:pPr>
        <w:rPr>
          <w:u w:val="single"/>
        </w:rPr>
      </w:pPr>
      <w:r w:rsidRPr="008054C6">
        <w:rPr>
          <w:u w:val="single"/>
        </w:rPr>
        <w:t>PCR mix for 96 well plates (110x):</w:t>
      </w:r>
    </w:p>
    <w:p w:rsidR="00FA39B7" w:rsidRDefault="00FA39B7" w:rsidP="00783C9C">
      <w:r>
        <w:t>Master mix</w:t>
      </w:r>
      <w:r>
        <w:tab/>
        <w:t>1375 µL</w:t>
      </w:r>
    </w:p>
    <w:p w:rsidR="00FA39B7" w:rsidRDefault="00FA39B7" w:rsidP="00783C9C">
      <w:r>
        <w:t>Water</w:t>
      </w:r>
      <w:r>
        <w:tab/>
      </w:r>
      <w:r>
        <w:tab/>
        <w:t>1155 µL</w:t>
      </w:r>
    </w:p>
    <w:p w:rsidR="00FA39B7" w:rsidRDefault="000969F9" w:rsidP="00783C9C">
      <w:r>
        <w:t>----------23</w:t>
      </w:r>
      <w:r w:rsidR="00FA39B7">
        <w:t xml:space="preserve"> µL</w:t>
      </w:r>
      <w:r w:rsidR="008054C6">
        <w:t xml:space="preserve"> mix in each well, plus 1 µL of </w:t>
      </w:r>
      <w:r>
        <w:t xml:space="preserve">primer mix and 1 µL of </w:t>
      </w:r>
      <w:r w:rsidR="008054C6">
        <w:t>DNA template----------</w:t>
      </w:r>
    </w:p>
    <w:p w:rsidR="00194413" w:rsidRDefault="00194413" w:rsidP="00783C9C"/>
    <w:p w:rsidR="00194413" w:rsidRDefault="00194413" w:rsidP="00783C9C">
      <w:r>
        <w:t>In the lab, the protocol in the PCR machine is under the folder “HOLLY” and is called “515/806 Universal Bac.” The thermocycler conditions are as follows:</w:t>
      </w:r>
    </w:p>
    <w:p w:rsidR="00194413" w:rsidRDefault="00194413" w:rsidP="00783C9C"/>
    <w:p w:rsidR="00194413" w:rsidRDefault="00194413" w:rsidP="00783C9C">
      <w:r>
        <w:t>94ºC</w:t>
      </w:r>
      <w:r>
        <w:tab/>
        <w:t>3 min</w:t>
      </w:r>
    </w:p>
    <w:p w:rsidR="00194413" w:rsidRDefault="00194413">
      <w:r>
        <w:t>-------------------------</w:t>
      </w:r>
    </w:p>
    <w:p w:rsidR="00194413" w:rsidRDefault="00194413" w:rsidP="00783C9C">
      <w:r>
        <w:t>95ºC</w:t>
      </w:r>
      <w:r>
        <w:tab/>
        <w:t>45 sec</w:t>
      </w:r>
    </w:p>
    <w:p w:rsidR="00194413" w:rsidRDefault="00194413" w:rsidP="00783C9C">
      <w:r>
        <w:t>50ºC</w:t>
      </w:r>
      <w:r>
        <w:tab/>
        <w:t>1 min</w:t>
      </w:r>
    </w:p>
    <w:p w:rsidR="000F7A9B" w:rsidRDefault="00194413" w:rsidP="00783C9C">
      <w:r>
        <w:t>72ºC</w:t>
      </w:r>
      <w:r>
        <w:tab/>
        <w:t>1:30</w:t>
      </w:r>
      <w:bookmarkStart w:id="0" w:name="_GoBack"/>
      <w:bookmarkEnd w:id="0"/>
    </w:p>
    <w:p w:rsidR="00194413" w:rsidRDefault="00194413" w:rsidP="00783C9C">
      <w:r>
        <w:t>-------35 cycles-------</w:t>
      </w:r>
    </w:p>
    <w:p w:rsidR="00194413" w:rsidRDefault="00194413" w:rsidP="00783C9C">
      <w:r>
        <w:t>72ºC</w:t>
      </w:r>
      <w:r>
        <w:tab/>
        <w:t>10 min</w:t>
      </w:r>
    </w:p>
    <w:p w:rsidR="00194413" w:rsidRDefault="00194413" w:rsidP="00783C9C">
      <w:r>
        <w:t>14ºC</w:t>
      </w:r>
      <w:r>
        <w:tab/>
        <w:t>∞</w:t>
      </w:r>
    </w:p>
    <w:p w:rsidR="000F7A9B" w:rsidRDefault="000F7A9B" w:rsidP="00783C9C"/>
    <w:p w:rsidR="000F7A9B" w:rsidRDefault="000F7A9B" w:rsidP="000F7A9B">
      <w:pPr>
        <w:pStyle w:val="ListParagraph"/>
        <w:numPr>
          <w:ilvl w:val="0"/>
          <w:numId w:val="1"/>
        </w:numPr>
      </w:pPr>
      <w:r>
        <w:t>Gel Electrophoresis</w:t>
      </w:r>
    </w:p>
    <w:p w:rsidR="000F7A9B" w:rsidRDefault="000F7A9B" w:rsidP="000F7A9B">
      <w:pPr>
        <w:pStyle w:val="ListParagraph"/>
        <w:ind w:left="1080"/>
      </w:pPr>
    </w:p>
    <w:p w:rsidR="000F7A9B" w:rsidRDefault="000F7A9B" w:rsidP="00783C9C">
      <w:r>
        <w:t xml:space="preserve">Check each plate of samples on a 2% agarose gel (with </w:t>
      </w:r>
      <w:proofErr w:type="spellStart"/>
      <w:r>
        <w:t>SybrSafe</w:t>
      </w:r>
      <w:proofErr w:type="spellEnd"/>
      <w:r>
        <w:t xml:space="preserve"> gel stain), which we run at 130V for 30 min.</w:t>
      </w:r>
      <w:r w:rsidR="00243FDE">
        <w:t xml:space="preserve"> Combine triplicates of samples into one plate.</w:t>
      </w:r>
    </w:p>
    <w:p w:rsidR="000F7A9B" w:rsidRDefault="000F7A9B" w:rsidP="00783C9C"/>
    <w:p w:rsidR="000F7A9B" w:rsidRDefault="000F7A9B" w:rsidP="00783C9C"/>
    <w:p w:rsidR="000F7A9B" w:rsidRDefault="00243FDE" w:rsidP="00243FDE">
      <w:pPr>
        <w:pStyle w:val="ListParagraph"/>
        <w:numPr>
          <w:ilvl w:val="0"/>
          <w:numId w:val="1"/>
        </w:numPr>
      </w:pPr>
      <w:r>
        <w:t xml:space="preserve">Quantify with </w:t>
      </w:r>
      <w:r w:rsidRPr="00243FDE">
        <w:t>Quant-</w:t>
      </w:r>
      <w:proofErr w:type="spellStart"/>
      <w:r w:rsidRPr="00243FDE">
        <w:t>iT</w:t>
      </w:r>
      <w:proofErr w:type="spellEnd"/>
      <w:r w:rsidRPr="00243FDE">
        <w:t xml:space="preserve"> </w:t>
      </w:r>
      <w:proofErr w:type="spellStart"/>
      <w:r w:rsidRPr="00243FDE">
        <w:t>PicoGreen</w:t>
      </w:r>
      <w:proofErr w:type="spellEnd"/>
      <w:r w:rsidRPr="00243FDE">
        <w:t xml:space="preserve"> dsDNA Assay Kit</w:t>
      </w:r>
    </w:p>
    <w:p w:rsidR="00243FDE" w:rsidRDefault="00243FDE" w:rsidP="00243FDE"/>
    <w:p w:rsidR="00243FDE" w:rsidRPr="008355F9" w:rsidRDefault="00243FDE" w:rsidP="00243FDE">
      <w:pPr>
        <w:rPr>
          <w:i/>
        </w:rPr>
      </w:pPr>
      <w:r w:rsidRPr="008355F9">
        <w:rPr>
          <w:i/>
        </w:rPr>
        <w:t>Calculate how much of reagents go into assay mixture:</w:t>
      </w:r>
    </w:p>
    <w:p w:rsidR="00243FDE" w:rsidRDefault="00243FDE" w:rsidP="00243FDE"/>
    <w:p w:rsidR="00243FDE" w:rsidRDefault="00243FDE" w:rsidP="00243FDE">
      <w:r>
        <w:t>110 samples per plate (96-well plate + extra included for pipetting error) * # of plates = Y</w:t>
      </w:r>
    </w:p>
    <w:p w:rsidR="00243FDE" w:rsidRDefault="00243FDE" w:rsidP="00243FDE"/>
    <w:p w:rsidR="00243FDE" w:rsidRDefault="00243FDE" w:rsidP="00243FDE">
      <w:r>
        <w:t>1x TE:</w:t>
      </w:r>
      <w:r>
        <w:tab/>
      </w:r>
      <w:r>
        <w:tab/>
        <w:t>Y * 150 = Z</w:t>
      </w:r>
    </w:p>
    <w:p w:rsidR="00243FDE" w:rsidRDefault="00243FDE" w:rsidP="00243FDE">
      <w:r>
        <w:t>20x TE:</w:t>
      </w:r>
      <w:r>
        <w:tab/>
        <w:t>Z / 20 = X</w:t>
      </w:r>
    </w:p>
    <w:p w:rsidR="00243FDE" w:rsidRDefault="00243FDE" w:rsidP="00243FDE">
      <w:r>
        <w:t>Water:</w:t>
      </w:r>
      <w:r>
        <w:tab/>
      </w:r>
      <w:r>
        <w:tab/>
        <w:t>Z – X = W</w:t>
      </w:r>
    </w:p>
    <w:p w:rsidR="008355F9" w:rsidRDefault="008355F9" w:rsidP="00243FDE"/>
    <w:p w:rsidR="00243FDE" w:rsidRDefault="00243FDE" w:rsidP="00243FDE">
      <w:r>
        <w:t>-------Combine X mL of 20X TE and W mL of Water into a conical-------</w:t>
      </w:r>
    </w:p>
    <w:p w:rsidR="008355F9" w:rsidRDefault="008355F9" w:rsidP="00243FDE"/>
    <w:p w:rsidR="00243FDE" w:rsidRDefault="008355F9" w:rsidP="00243FDE">
      <w:proofErr w:type="spellStart"/>
      <w:r>
        <w:t>PicoGreen</w:t>
      </w:r>
      <w:proofErr w:type="spellEnd"/>
      <w:r>
        <w:t>:</w:t>
      </w:r>
      <w:r>
        <w:tab/>
        <w:t xml:space="preserve">5 µL (stock) * Z = P µL of stock </w:t>
      </w:r>
      <w:proofErr w:type="spellStart"/>
      <w:r>
        <w:t>PicoGreen</w:t>
      </w:r>
      <w:proofErr w:type="spellEnd"/>
      <w:r>
        <w:t xml:space="preserve"> added into conical above</w:t>
      </w:r>
    </w:p>
    <w:p w:rsidR="008355F9" w:rsidRDefault="008355F9" w:rsidP="00243FDE"/>
    <w:p w:rsidR="008355F9" w:rsidRDefault="008355F9" w:rsidP="00243FDE">
      <w:pPr>
        <w:rPr>
          <w:i/>
        </w:rPr>
      </w:pPr>
      <w:r w:rsidRPr="008355F9">
        <w:rPr>
          <w:i/>
        </w:rPr>
        <w:t xml:space="preserve">In black </w:t>
      </w:r>
      <w:proofErr w:type="spellStart"/>
      <w:r w:rsidRPr="008355F9">
        <w:rPr>
          <w:i/>
        </w:rPr>
        <w:t>PicoGreen</w:t>
      </w:r>
      <w:proofErr w:type="spellEnd"/>
      <w:r w:rsidRPr="008355F9">
        <w:rPr>
          <w:i/>
        </w:rPr>
        <w:t xml:space="preserve"> assay plate:</w:t>
      </w:r>
    </w:p>
    <w:p w:rsidR="008355F9" w:rsidRPr="008355F9" w:rsidRDefault="008355F9" w:rsidP="00243FDE">
      <w:pPr>
        <w:rPr>
          <w:i/>
        </w:rPr>
      </w:pPr>
    </w:p>
    <w:p w:rsidR="008355F9" w:rsidRDefault="008355F9" w:rsidP="008355F9">
      <w:r>
        <w:t>Samples: 2 µL amplicon + 150 µL assay solution</w:t>
      </w:r>
    </w:p>
    <w:p w:rsidR="008355F9" w:rsidRDefault="008355F9" w:rsidP="008355F9">
      <w:r>
        <w:t xml:space="preserve">Standards: In first column of plate, </w:t>
      </w:r>
    </w:p>
    <w:p w:rsidR="000F60C6" w:rsidRDefault="000F60C6" w:rsidP="000F60C6">
      <w:pPr>
        <w:pStyle w:val="ListParagraph"/>
        <w:numPr>
          <w:ilvl w:val="0"/>
          <w:numId w:val="3"/>
        </w:numPr>
      </w:pPr>
      <w:r>
        <w:t>Add 300 µL assay solution into first well and 150 µL into wells B1-H1</w:t>
      </w:r>
    </w:p>
    <w:p w:rsidR="008355F9" w:rsidRDefault="00821E6A" w:rsidP="008355F9">
      <w:pPr>
        <w:pStyle w:val="ListParagraph"/>
        <w:numPr>
          <w:ilvl w:val="0"/>
          <w:numId w:val="3"/>
        </w:numPr>
      </w:pPr>
      <w:r>
        <w:t>A</w:t>
      </w:r>
      <w:r w:rsidR="008355F9">
        <w:t xml:space="preserve">dd 2 µL of DNA standard in well </w:t>
      </w:r>
      <w:r w:rsidR="000F60C6">
        <w:t>A</w:t>
      </w:r>
      <w:r w:rsidR="008355F9">
        <w:t>1</w:t>
      </w:r>
    </w:p>
    <w:p w:rsidR="008355F9" w:rsidRDefault="00821E6A" w:rsidP="000F60C6">
      <w:pPr>
        <w:pStyle w:val="ListParagraph"/>
        <w:numPr>
          <w:ilvl w:val="0"/>
          <w:numId w:val="3"/>
        </w:numPr>
      </w:pPr>
      <w:r>
        <w:t>P</w:t>
      </w:r>
      <w:r w:rsidR="008355F9">
        <w:t>ipette up and down to mix</w:t>
      </w:r>
      <w:r w:rsidR="000F60C6">
        <w:t>, then transfer 150 µL of well A1 into well B1, mix, repeat down the column</w:t>
      </w:r>
    </w:p>
    <w:p w:rsidR="000F60C6" w:rsidRDefault="000F60C6" w:rsidP="000F60C6"/>
    <w:p w:rsidR="000F60C6" w:rsidRDefault="000F60C6" w:rsidP="000F60C6">
      <w:r>
        <w:t>Read the plate and check that your standards worked. Find the slope of the standards line and use this to convert fluorescence into ng/µL of DNA. Put this information into a spreadsheet, then calculate how much volume you need to put into the pool so that you have 300 ng of DNA per sample (300 ng / X ng µL</w:t>
      </w:r>
      <w:r>
        <w:rPr>
          <w:vertAlign w:val="superscript"/>
        </w:rPr>
        <w:t>-1</w:t>
      </w:r>
      <w:r>
        <w:t>). Put this new info into another spreadsheet and print for use in pooling. For a more detailed technical protocol, see “Amplicon Quantification Protocol.”</w:t>
      </w:r>
    </w:p>
    <w:p w:rsidR="000F60C6" w:rsidRDefault="000F60C6" w:rsidP="000F60C6"/>
    <w:p w:rsidR="000F60C6" w:rsidRDefault="000F60C6" w:rsidP="000F60C6"/>
    <w:p w:rsidR="000F60C6" w:rsidRDefault="000F60C6" w:rsidP="000F60C6">
      <w:pPr>
        <w:pStyle w:val="ListParagraph"/>
        <w:numPr>
          <w:ilvl w:val="0"/>
          <w:numId w:val="1"/>
        </w:numPr>
      </w:pPr>
      <w:r>
        <w:t>Pooling</w:t>
      </w:r>
      <w:r w:rsidR="00821E6A">
        <w:t xml:space="preserve"> and Clean-up</w:t>
      </w:r>
    </w:p>
    <w:p w:rsidR="000F60C6" w:rsidRDefault="000F60C6" w:rsidP="000F60C6"/>
    <w:p w:rsidR="00017902" w:rsidRDefault="000F60C6" w:rsidP="000F60C6">
      <w:r>
        <w:t xml:space="preserve">Using your pooling values from the previous step, pool any samples that need </w:t>
      </w:r>
      <w:r>
        <w:rPr>
          <w:u w:val="single"/>
        </w:rPr>
        <w:t>&lt;</w:t>
      </w:r>
      <w:r>
        <w:t xml:space="preserve"> 50 µL of liquid in the total pool (55 µL absolute max if certain samples are critical).</w:t>
      </w:r>
      <w:r w:rsidR="00F76FE3">
        <w:t xml:space="preserve"> </w:t>
      </w:r>
      <w:r w:rsidR="00821E6A">
        <w:t xml:space="preserve">Do one microcentrifuge tube per plate, then </w:t>
      </w:r>
      <w:r w:rsidR="00017902">
        <w:t>use</w:t>
      </w:r>
      <w:r w:rsidR="006D32F9">
        <w:t xml:space="preserve"> 300 </w:t>
      </w:r>
      <w:r w:rsidR="00117B19">
        <w:t>µL of sample from each tube in</w:t>
      </w:r>
      <w:r w:rsidR="00017902">
        <w:t xml:space="preserve"> the </w:t>
      </w:r>
      <w:proofErr w:type="spellStart"/>
      <w:r w:rsidR="00017902" w:rsidRPr="00017902">
        <w:t>MoBio</w:t>
      </w:r>
      <w:proofErr w:type="spellEnd"/>
      <w:r w:rsidR="00017902" w:rsidRPr="00017902">
        <w:t xml:space="preserve"> </w:t>
      </w:r>
      <w:proofErr w:type="spellStart"/>
      <w:r w:rsidR="00017902" w:rsidRPr="00017902">
        <w:t>UltraClean</w:t>
      </w:r>
      <w:proofErr w:type="spellEnd"/>
      <w:r w:rsidR="00017902" w:rsidRPr="00017902">
        <w:t xml:space="preserve"> PCR Clean-Up Kit</w:t>
      </w:r>
      <w:r w:rsidR="00017902">
        <w:t xml:space="preserve"> to clean up the pooled samples. </w:t>
      </w:r>
    </w:p>
    <w:p w:rsidR="00017902" w:rsidRDefault="00017902" w:rsidP="000F60C6"/>
    <w:p w:rsidR="00783C9C" w:rsidRDefault="00017902" w:rsidP="00783C9C">
      <w:r>
        <w:t xml:space="preserve">Next, </w:t>
      </w:r>
      <w:r w:rsidR="00821E6A">
        <w:t xml:space="preserve">do another </w:t>
      </w:r>
      <w:proofErr w:type="spellStart"/>
      <w:r w:rsidR="00821E6A">
        <w:t>PicoAssay</w:t>
      </w:r>
      <w:proofErr w:type="spellEnd"/>
      <w:r w:rsidR="00821E6A">
        <w:t xml:space="preserve"> for each tube. </w:t>
      </w:r>
      <w:r>
        <w:t xml:space="preserve">Use this data </w:t>
      </w:r>
      <w:r w:rsidR="00117B19">
        <w:t>to figure out how much of each tube needs to be added into the final pool if you wanted each tube to represent the same percentage of the final pool and for the samples to be at 5000 ng of DNA. To do this, use the pooling spreadsheet in the lab files.</w:t>
      </w:r>
    </w:p>
    <w:sectPr w:rsidR="00783C9C" w:rsidSect="00194413">
      <w:pgSz w:w="12240" w:h="15840"/>
      <w:pgMar w:top="1440" w:right="1440" w:bottom="10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4332"/>
    <w:multiLevelType w:val="hybridMultilevel"/>
    <w:tmpl w:val="A1FA8A0C"/>
    <w:lvl w:ilvl="0" w:tplc="C2326F9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75308"/>
    <w:multiLevelType w:val="hybridMultilevel"/>
    <w:tmpl w:val="98940BC0"/>
    <w:lvl w:ilvl="0" w:tplc="5CE087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D3B4F"/>
    <w:multiLevelType w:val="hybridMultilevel"/>
    <w:tmpl w:val="BDFAA54A"/>
    <w:lvl w:ilvl="0" w:tplc="558E9F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9C"/>
    <w:rsid w:val="00017902"/>
    <w:rsid w:val="000969F9"/>
    <w:rsid w:val="000F60C6"/>
    <w:rsid w:val="000F7A9B"/>
    <w:rsid w:val="00117B19"/>
    <w:rsid w:val="00194413"/>
    <w:rsid w:val="00243FDE"/>
    <w:rsid w:val="002D271A"/>
    <w:rsid w:val="006D32F9"/>
    <w:rsid w:val="00783C9C"/>
    <w:rsid w:val="008014A6"/>
    <w:rsid w:val="008054C6"/>
    <w:rsid w:val="00821E6A"/>
    <w:rsid w:val="008355F9"/>
    <w:rsid w:val="00D30C47"/>
    <w:rsid w:val="00DA0EA2"/>
    <w:rsid w:val="00F76FE3"/>
    <w:rsid w:val="00FA39B7"/>
    <w:rsid w:val="00FF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6ABE6"/>
  <w14:defaultImageDpi w14:val="32767"/>
  <w15:chartTrackingRefBased/>
  <w15:docId w15:val="{2971E081-46DC-8C44-A00C-F49B3EBC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C47"/>
    <w:rPr>
      <w:color w:val="0563C1" w:themeColor="hyperlink"/>
      <w:u w:val="single"/>
    </w:rPr>
  </w:style>
  <w:style w:type="character" w:styleId="UnresolvedMention">
    <w:name w:val="Unresolved Mention"/>
    <w:basedOn w:val="DefaultParagraphFont"/>
    <w:uiPriority w:val="99"/>
    <w:rsid w:val="00D30C47"/>
    <w:rPr>
      <w:color w:val="808080"/>
      <w:shd w:val="clear" w:color="auto" w:fill="E6E6E6"/>
    </w:rPr>
  </w:style>
  <w:style w:type="paragraph" w:styleId="ListParagraph">
    <w:name w:val="List Paragraph"/>
    <w:basedOn w:val="Normal"/>
    <w:uiPriority w:val="34"/>
    <w:qFormat/>
    <w:rsid w:val="000F7A9B"/>
    <w:pPr>
      <w:ind w:left="720"/>
      <w:contextualSpacing/>
    </w:pPr>
  </w:style>
  <w:style w:type="character" w:styleId="FollowedHyperlink">
    <w:name w:val="FollowedHyperlink"/>
    <w:basedOn w:val="DefaultParagraphFont"/>
    <w:uiPriority w:val="99"/>
    <w:semiHidden/>
    <w:unhideWhenUsed/>
    <w:rsid w:val="000F7A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0103">
      <w:bodyDiv w:val="1"/>
      <w:marLeft w:val="0"/>
      <w:marRight w:val="0"/>
      <w:marTop w:val="0"/>
      <w:marBottom w:val="0"/>
      <w:divBdr>
        <w:top w:val="none" w:sz="0" w:space="0" w:color="auto"/>
        <w:left w:val="none" w:sz="0" w:space="0" w:color="auto"/>
        <w:bottom w:val="none" w:sz="0" w:space="0" w:color="auto"/>
        <w:right w:val="none" w:sz="0" w:space="0" w:color="auto"/>
      </w:divBdr>
    </w:div>
    <w:div w:id="154076434">
      <w:bodyDiv w:val="1"/>
      <w:marLeft w:val="0"/>
      <w:marRight w:val="0"/>
      <w:marTop w:val="0"/>
      <w:marBottom w:val="0"/>
      <w:divBdr>
        <w:top w:val="none" w:sz="0" w:space="0" w:color="auto"/>
        <w:left w:val="none" w:sz="0" w:space="0" w:color="auto"/>
        <w:bottom w:val="none" w:sz="0" w:space="0" w:color="auto"/>
        <w:right w:val="none" w:sz="0" w:space="0" w:color="auto"/>
      </w:divBdr>
    </w:div>
    <w:div w:id="960838674">
      <w:bodyDiv w:val="1"/>
      <w:marLeft w:val="0"/>
      <w:marRight w:val="0"/>
      <w:marTop w:val="0"/>
      <w:marBottom w:val="0"/>
      <w:divBdr>
        <w:top w:val="none" w:sz="0" w:space="0" w:color="auto"/>
        <w:left w:val="none" w:sz="0" w:space="0" w:color="auto"/>
        <w:bottom w:val="none" w:sz="0" w:space="0" w:color="auto"/>
        <w:right w:val="none" w:sz="0" w:space="0" w:color="auto"/>
      </w:divBdr>
    </w:div>
    <w:div w:id="1133904462">
      <w:bodyDiv w:val="1"/>
      <w:marLeft w:val="0"/>
      <w:marRight w:val="0"/>
      <w:marTop w:val="0"/>
      <w:marBottom w:val="0"/>
      <w:divBdr>
        <w:top w:val="none" w:sz="0" w:space="0" w:color="auto"/>
        <w:left w:val="none" w:sz="0" w:space="0" w:color="auto"/>
        <w:bottom w:val="none" w:sz="0" w:space="0" w:color="auto"/>
        <w:right w:val="none" w:sz="0" w:space="0" w:color="auto"/>
      </w:divBdr>
    </w:div>
    <w:div w:id="175597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arthmicrobiome.org/protocols-and-standards/its/" TargetMode="External"/><Relationship Id="rId5" Type="http://schemas.openxmlformats.org/officeDocument/2006/relationships/hyperlink" Target="http://press.igsb.anl.gov/earthmicrobiome/protocols-and-standards/16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2018-03-15T20:48:00Z</dcterms:created>
  <dcterms:modified xsi:type="dcterms:W3CDTF">2018-03-19T17:40:00Z</dcterms:modified>
</cp:coreProperties>
</file>