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9138B" w14:textId="173A59A4" w:rsidR="00895FFF" w:rsidRPr="00895FFF" w:rsidRDefault="00895FFF" w:rsidP="00895F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895FFF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INTERPRETASI NARATIF HASIL </w:t>
      </w: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ANALISIS BIG QUERY YANG DIVISUALISASIKAN</w:t>
      </w:r>
      <w:r w:rsidRPr="00895FFF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DENGAN</w:t>
      </w:r>
      <w:r w:rsidRPr="00895FFF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PYTHON GOOGLE COLAB</w:t>
      </w:r>
    </w:p>
    <w:p w14:paraId="0CC6428F" w14:textId="5DFCEDA6" w:rsidR="00895FFF" w:rsidRDefault="00895FFF" w:rsidP="00895F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PPh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Big Query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divisualisasikan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Python Google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Cloab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interpretasi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naratif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keterkaitan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fiskal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dampaknya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bersih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kas.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tiga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visualisasi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: (1)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perbandingan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bersih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empat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skenario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(2)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PPh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badan, dan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masing-masing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skenario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dan (3)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perbandingan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kas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empat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skenario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2020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2026.</w:t>
      </w:r>
    </w:p>
    <w:p w14:paraId="15EE2A50" w14:textId="77777777" w:rsidR="00895FFF" w:rsidRPr="00895FFF" w:rsidRDefault="00895FFF" w:rsidP="00895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C4F66ED" w14:textId="0CD4D01A" w:rsidR="00895FFF" w:rsidRPr="00534AAC" w:rsidRDefault="00895FFF" w:rsidP="00895FF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</w:pP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t>Perbandingan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t xml:space="preserve"> Laba </w:t>
      </w: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t>Bersih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t>Setelah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t xml:space="preserve"> Pajak (</w:t>
      </w: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t>Skenario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t xml:space="preserve"> Normal, Tax Holiday, Garis </w:t>
      </w: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t>Lurus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t xml:space="preserve">, dan Saldo </w:t>
      </w: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t>Menurun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t>)</w:t>
      </w:r>
    </w:p>
    <w:p w14:paraId="703D9994" w14:textId="77777777" w:rsidR="00895FFF" w:rsidRPr="00895FFF" w:rsidRDefault="00895FFF" w:rsidP="00895FFF">
      <w:pPr>
        <w:numPr>
          <w:ilvl w:val="0"/>
          <w:numId w:val="1"/>
        </w:numPr>
        <w:tabs>
          <w:tab w:val="clear" w:pos="720"/>
          <w:tab w:val="num" w:pos="630"/>
        </w:tabs>
        <w:spacing w:after="0"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Skenario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Tax Holiday</w:t>
      </w:r>
      <w:r w:rsidRPr="00895FFF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selalu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bersih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tertinggi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dikenakan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(tax rate 0%).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pada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2026,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bersih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mencapai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Rp980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juta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jauh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dibandingkan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skenario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lain.</w:t>
      </w:r>
    </w:p>
    <w:p w14:paraId="0639BACE" w14:textId="328A7DB4" w:rsidR="00895FFF" w:rsidRPr="00895FFF" w:rsidRDefault="00895FFF" w:rsidP="00895FFF">
      <w:pPr>
        <w:numPr>
          <w:ilvl w:val="0"/>
          <w:numId w:val="1"/>
        </w:numPr>
        <w:tabs>
          <w:tab w:val="clear" w:pos="720"/>
          <w:tab w:val="num" w:pos="630"/>
        </w:tabs>
        <w:spacing w:after="0"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Skenario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Normal dan Garis </w:t>
      </w: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Lurus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bersih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identik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Rp262,5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juta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pada 2020 dan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meningkat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Rp784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juta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pada 2026.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895FFF">
        <w:rPr>
          <w:rFonts w:ascii="Times New Roman" w:hAnsi="Times New Roman" w:cs="Times New Roman"/>
          <w:sz w:val="24"/>
          <w:szCs w:val="24"/>
          <w:lang w:val="en-ID"/>
        </w:rPr>
        <w:t>ni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dikarenakan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skenario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penyusutan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garis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lurus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tarif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FC02402" w14:textId="066C7411" w:rsidR="00895FFF" w:rsidRPr="00895FFF" w:rsidRDefault="00895FFF" w:rsidP="00895FFF">
      <w:pPr>
        <w:numPr>
          <w:ilvl w:val="0"/>
          <w:numId w:val="1"/>
        </w:numPr>
        <w:tabs>
          <w:tab w:val="clear" w:pos="720"/>
          <w:tab w:val="num" w:pos="630"/>
        </w:tabs>
        <w:spacing w:after="0"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Skenario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Saldo </w:t>
      </w: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Menurun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bersih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</w:t>
      </w:r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penyusutan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periode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kena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2026,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bersih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r>
        <w:rPr>
          <w:rFonts w:ascii="Times New Roman" w:hAnsi="Times New Roman" w:cs="Times New Roman"/>
          <w:sz w:val="24"/>
          <w:szCs w:val="24"/>
          <w:lang w:val="en-ID"/>
        </w:rPr>
        <w:t>nya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Rp728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juta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sekitar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7%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skenario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Normal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Garis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Lurus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9326341" w14:textId="77777777" w:rsidR="00895FFF" w:rsidRPr="00895FFF" w:rsidRDefault="00895FFF" w:rsidP="00895FFF">
      <w:pPr>
        <w:numPr>
          <w:ilvl w:val="0"/>
          <w:numId w:val="1"/>
        </w:numPr>
        <w:tabs>
          <w:tab w:val="clear" w:pos="720"/>
          <w:tab w:val="num" w:pos="630"/>
        </w:tabs>
        <w:spacing w:after="0"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Tren</w:t>
      </w:r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skenario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tren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kenaikan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bersih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sejalan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peningkatan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Rp1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miliar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pada 2020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Rp2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miliar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pada 2026) dan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pengendalian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beban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operasional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relatif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stabil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D167846" w14:textId="77777777" w:rsidR="00895FFF" w:rsidRPr="00895FFF" w:rsidRDefault="00895FFF" w:rsidP="00895FFF">
      <w:pPr>
        <w:spacing w:before="240"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Interpretasi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4210F018" w14:textId="77777777" w:rsidR="00895FFF" w:rsidRPr="00895FFF" w:rsidRDefault="00895FFF" w:rsidP="00895FFF">
      <w:pPr>
        <w:numPr>
          <w:ilvl w:val="0"/>
          <w:numId w:val="1"/>
        </w:numPr>
        <w:tabs>
          <w:tab w:val="clear" w:pos="720"/>
          <w:tab w:val="num" w:pos="630"/>
        </w:tabs>
        <w:spacing w:after="0"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Tax Holiday</w:t>
      </w:r>
      <w:r w:rsidRPr="00895FFF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keuntungan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finansial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terbesar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menghilangkan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beban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dipertahankan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. Ini sangat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menguntungkan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memaksimalkan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keuntungan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jangka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pendek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ED79A51" w14:textId="77777777" w:rsidR="00895FFF" w:rsidRPr="00895FFF" w:rsidRDefault="00895FFF" w:rsidP="00895FFF">
      <w:pPr>
        <w:numPr>
          <w:ilvl w:val="0"/>
          <w:numId w:val="1"/>
        </w:numPr>
        <w:tabs>
          <w:tab w:val="clear" w:pos="720"/>
          <w:tab w:val="num" w:pos="630"/>
        </w:tabs>
        <w:spacing w:after="0"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Normal dan Garis </w:t>
      </w: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Lurus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menawarkan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stabil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konsisten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cocok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perencanaan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keuangan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jangka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panjang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pelaporan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diprediksi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047E7D9" w14:textId="2813CDE5" w:rsidR="00895FFF" w:rsidRDefault="00895FFF" w:rsidP="00895FFF">
      <w:pPr>
        <w:numPr>
          <w:ilvl w:val="0"/>
          <w:numId w:val="1"/>
        </w:numPr>
        <w:tabs>
          <w:tab w:val="clear" w:pos="720"/>
          <w:tab w:val="num" w:pos="630"/>
        </w:tabs>
        <w:spacing w:after="0"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Saldo Menurun</w:t>
      </w:r>
      <w:r w:rsidRPr="00895FFF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bersih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penyusutan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periode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kena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strategis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tahun-tahun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9C9A6E0" w14:textId="0401BDE2" w:rsidR="00895FFF" w:rsidRPr="00895FFF" w:rsidRDefault="00895FFF" w:rsidP="00895FFF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7196422D" w14:textId="79447D89" w:rsidR="00895FFF" w:rsidRPr="00895FFF" w:rsidRDefault="00895FFF" w:rsidP="00895FF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</w:pPr>
      <w:r w:rsidRPr="00895FF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lastRenderedPageBreak/>
        <w:t xml:space="preserve">Laba Sebelum Pajak, </w:t>
      </w: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t>PPh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t xml:space="preserve"> Badan, dan Laba </w:t>
      </w: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t>Setelah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t xml:space="preserve"> Pajak per </w:t>
      </w: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t>Skenario</w:t>
      </w:r>
      <w:proofErr w:type="spellEnd"/>
    </w:p>
    <w:p w14:paraId="390B0401" w14:textId="3A4E89F0" w:rsidR="00895FFF" w:rsidRPr="00895FFF" w:rsidRDefault="00895FFF" w:rsidP="00895FFF">
      <w:pPr>
        <w:numPr>
          <w:ilvl w:val="0"/>
          <w:numId w:val="1"/>
        </w:numPr>
        <w:tabs>
          <w:tab w:val="clear" w:pos="720"/>
          <w:tab w:val="num" w:pos="630"/>
        </w:tabs>
        <w:spacing w:after="0"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Skenario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Tax Holiday: </w:t>
      </w:r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Tidak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PPh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badan (Rp0)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pada 2026,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Rp980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juta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6A5776C" w14:textId="77777777" w:rsidR="00895FFF" w:rsidRPr="00895FFF" w:rsidRDefault="00895FFF" w:rsidP="00895FFF">
      <w:pPr>
        <w:numPr>
          <w:ilvl w:val="0"/>
          <w:numId w:val="1"/>
        </w:numPr>
        <w:tabs>
          <w:tab w:val="clear" w:pos="720"/>
          <w:tab w:val="num" w:pos="630"/>
        </w:tabs>
        <w:spacing w:after="0" w:line="360" w:lineRule="auto"/>
        <w:ind w:left="630" w:hanging="27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Skenario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Normal dan Garis </w:t>
      </w: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Lurus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: </w:t>
      </w:r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Laba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meningkat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Rp350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juta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(2020)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Rp980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juta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(2026).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PPh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badan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menurun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persentasenya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25% pada 2020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20% pada 2023–2026),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meningkat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tahun-tahun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terakhir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4E35B00" w14:textId="2B69638C" w:rsidR="00895FFF" w:rsidRPr="00895FFF" w:rsidRDefault="00895FFF" w:rsidP="00895FFF">
      <w:pPr>
        <w:numPr>
          <w:ilvl w:val="0"/>
          <w:numId w:val="1"/>
        </w:numPr>
        <w:tabs>
          <w:tab w:val="clear" w:pos="720"/>
          <w:tab w:val="num" w:pos="630"/>
        </w:tabs>
        <w:spacing w:after="0" w:line="360" w:lineRule="auto"/>
        <w:ind w:left="630" w:hanging="27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Skenario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Saldo </w:t>
      </w: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Menurun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: </w:t>
      </w:r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Laba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dibandingkan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skenario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lain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penyusutan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Rp300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juta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pada 2020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dibandingkan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Rp350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juta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skenario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Normal).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PPh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badan juga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kena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4AAC">
        <w:rPr>
          <w:rFonts w:ascii="Times New Roman" w:hAnsi="Times New Roman" w:cs="Times New Roman"/>
          <w:sz w:val="24"/>
          <w:szCs w:val="24"/>
          <w:lang w:val="en-ID"/>
        </w:rPr>
        <w:t>skenario</w:t>
      </w:r>
      <w:proofErr w:type="spellEnd"/>
      <w:r w:rsidR="00534AA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Rp225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juta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pada 2020).</w:t>
      </w:r>
    </w:p>
    <w:p w14:paraId="66161E47" w14:textId="77F7F724" w:rsidR="00534AAC" w:rsidRPr="00895FFF" w:rsidRDefault="00895FFF" w:rsidP="00534AAC">
      <w:pPr>
        <w:numPr>
          <w:ilvl w:val="0"/>
          <w:numId w:val="1"/>
        </w:numPr>
        <w:tabs>
          <w:tab w:val="clear" w:pos="720"/>
          <w:tab w:val="num" w:pos="630"/>
        </w:tabs>
        <w:spacing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Tren Pajak: </w:t>
      </w:r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Tarif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menurun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25% (2020)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20% (2023–2026)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skenario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Normal, Garis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Lurus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dan Saldo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Menurun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tahun-tahun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terakhir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EE17935" w14:textId="77777777" w:rsidR="00895FFF" w:rsidRPr="00895FFF" w:rsidRDefault="00895FFF" w:rsidP="00534AA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Interpretasi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1AF3AFE9" w14:textId="77777777" w:rsidR="00895FFF" w:rsidRPr="00895FFF" w:rsidRDefault="00895FFF" w:rsidP="00534AAC">
      <w:pPr>
        <w:numPr>
          <w:ilvl w:val="0"/>
          <w:numId w:val="1"/>
        </w:numPr>
        <w:tabs>
          <w:tab w:val="clear" w:pos="720"/>
          <w:tab w:val="num" w:pos="630"/>
        </w:tabs>
        <w:spacing w:after="0" w:line="360" w:lineRule="auto"/>
        <w:ind w:left="630" w:hanging="27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Tax Holiday 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menghilangkan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beban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maksimal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. Ini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kebijakan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insentif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profitabilitas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1B04654" w14:textId="77777777" w:rsidR="00895FFF" w:rsidRPr="00895FFF" w:rsidRDefault="00895FFF" w:rsidP="00534AAC">
      <w:pPr>
        <w:numPr>
          <w:ilvl w:val="0"/>
          <w:numId w:val="1"/>
        </w:numPr>
        <w:tabs>
          <w:tab w:val="clear" w:pos="720"/>
          <w:tab w:val="num" w:pos="630"/>
        </w:tabs>
        <w:spacing w:after="0" w:line="360" w:lineRule="auto"/>
        <w:ind w:left="630" w:hanging="27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Normal dan Garis </w:t>
      </w: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Lurus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 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penurunan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tarif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25%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20%)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terutama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2022,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pentingnya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kebijakan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progresif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286BF56" w14:textId="77777777" w:rsidR="00895FFF" w:rsidRDefault="00895FFF" w:rsidP="00534AAC">
      <w:pPr>
        <w:numPr>
          <w:ilvl w:val="0"/>
          <w:numId w:val="1"/>
        </w:numPr>
        <w:tabs>
          <w:tab w:val="clear" w:pos="720"/>
          <w:tab w:val="num" w:pos="630"/>
        </w:tabs>
        <w:spacing w:after="0" w:line="360" w:lineRule="auto"/>
        <w:ind w:left="630" w:hanging="27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Saldo Menurun 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PPh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badan di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periode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penyusutan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mengorbankan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. Strategi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cocok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mengoptimalkan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tahun-tahun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81860B5" w14:textId="77777777" w:rsidR="00534AAC" w:rsidRPr="00895FFF" w:rsidRDefault="00534AAC" w:rsidP="00534AA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</w:pPr>
    </w:p>
    <w:p w14:paraId="76671045" w14:textId="52B7AEDF" w:rsidR="00895FFF" w:rsidRPr="00895FFF" w:rsidRDefault="00895FFF" w:rsidP="00534AA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</w:pP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t>Perbandingan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t>Arus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t xml:space="preserve"> Kas </w:t>
      </w: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t>Setelah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t xml:space="preserve"> Pajak</w:t>
      </w:r>
    </w:p>
    <w:p w14:paraId="641DF781" w14:textId="38ED078C" w:rsidR="00895FFF" w:rsidRPr="00895FFF" w:rsidRDefault="00895FFF" w:rsidP="00534AAC">
      <w:pPr>
        <w:numPr>
          <w:ilvl w:val="0"/>
          <w:numId w:val="1"/>
        </w:numPr>
        <w:tabs>
          <w:tab w:val="clear" w:pos="720"/>
          <w:tab w:val="num" w:pos="630"/>
        </w:tabs>
        <w:spacing w:after="0" w:line="360" w:lineRule="auto"/>
        <w:ind w:left="630" w:hanging="27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Skenario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Tax Holiday 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kas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tertinggi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mencapai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Rp1,05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miliar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pada 2026, </w:t>
      </w:r>
      <w:proofErr w:type="spellStart"/>
      <w:r w:rsidR="00534AAC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="00534AA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4AA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534AA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4AAC">
        <w:rPr>
          <w:rFonts w:ascii="Times New Roman" w:hAnsi="Times New Roman" w:cs="Times New Roman"/>
          <w:sz w:val="24"/>
          <w:szCs w:val="24"/>
          <w:lang w:val="en-ID"/>
        </w:rPr>
        <w:t>dikarenakan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penyusutan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ditambahkan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bersih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CAD092B" w14:textId="77777777" w:rsidR="00895FFF" w:rsidRPr="00895FFF" w:rsidRDefault="00895FFF" w:rsidP="00534AAC">
      <w:pPr>
        <w:numPr>
          <w:ilvl w:val="0"/>
          <w:numId w:val="1"/>
        </w:numPr>
        <w:tabs>
          <w:tab w:val="clear" w:pos="720"/>
          <w:tab w:val="num" w:pos="630"/>
        </w:tabs>
        <w:spacing w:after="0" w:line="360" w:lineRule="auto"/>
        <w:ind w:left="630" w:hanging="27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Skenario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Normal dan Garis </w:t>
      </w: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Lurus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 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kas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identik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meningkat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Rp312,5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juta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(2020)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Rp854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juta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(2026),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sejalan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bersih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penyusutan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konsisten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545B9BF" w14:textId="03D35459" w:rsidR="00895FFF" w:rsidRPr="00895FFF" w:rsidRDefault="00895FFF" w:rsidP="00534AAC">
      <w:pPr>
        <w:numPr>
          <w:ilvl w:val="0"/>
          <w:numId w:val="1"/>
        </w:numPr>
        <w:tabs>
          <w:tab w:val="clear" w:pos="720"/>
          <w:tab w:val="num" w:pos="630"/>
        </w:tabs>
        <w:spacing w:after="0" w:line="360" w:lineRule="auto"/>
        <w:ind w:left="630" w:hanging="27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Skenario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Saldo </w:t>
      </w: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Menurun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 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kas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dibandingkan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Normal</w:t>
      </w:r>
      <w:r w:rsidR="00534AA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4AAC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534AA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Garis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Lurus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Rp325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juta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vs Rp312,5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juta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pada 2020)</w:t>
      </w:r>
      <w:r w:rsidR="00534AA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penyusutan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kas non-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EF3A96F" w14:textId="77777777" w:rsidR="00895FFF" w:rsidRPr="00534AAC" w:rsidRDefault="00895FFF" w:rsidP="00534AAC">
      <w:pPr>
        <w:numPr>
          <w:ilvl w:val="0"/>
          <w:numId w:val="1"/>
        </w:numPr>
        <w:tabs>
          <w:tab w:val="clear" w:pos="720"/>
          <w:tab w:val="num" w:pos="630"/>
        </w:tabs>
        <w:spacing w:after="0" w:line="360" w:lineRule="auto"/>
        <w:ind w:left="630" w:hanging="27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Tren: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kas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meningkat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seiring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skenario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didorong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pertumbuhan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pengendalian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beban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operasional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2C5916D" w14:textId="77777777" w:rsidR="00534AAC" w:rsidRDefault="00534AAC" w:rsidP="00534A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DB5F635" w14:textId="77777777" w:rsidR="00534AAC" w:rsidRDefault="00534AAC" w:rsidP="00534A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23EA7702" w14:textId="77777777" w:rsidR="00534AAC" w:rsidRPr="00895FFF" w:rsidRDefault="00534AAC" w:rsidP="00534A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04B7C106" w14:textId="77777777" w:rsidR="00895FFF" w:rsidRPr="00895FFF" w:rsidRDefault="00895FFF" w:rsidP="00534AA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Interpretasi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1874B16A" w14:textId="77777777" w:rsidR="00895FFF" w:rsidRPr="00534AAC" w:rsidRDefault="00895FFF" w:rsidP="00534AAC">
      <w:pPr>
        <w:numPr>
          <w:ilvl w:val="0"/>
          <w:numId w:val="1"/>
        </w:numPr>
        <w:tabs>
          <w:tab w:val="clear" w:pos="720"/>
          <w:tab w:val="num" w:pos="630"/>
        </w:tabs>
        <w:spacing w:after="0" w:line="360" w:lineRule="auto"/>
        <w:ind w:left="630" w:hanging="27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Tax Holiday 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kas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tertinggi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likuiditas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maksimal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reinvestasi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operasional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86241CB" w14:textId="693D012B" w:rsidR="00534AAC" w:rsidRPr="00895FFF" w:rsidRDefault="00534AAC" w:rsidP="00534AAC">
      <w:pPr>
        <w:numPr>
          <w:ilvl w:val="0"/>
          <w:numId w:val="1"/>
        </w:numPr>
        <w:tabs>
          <w:tab w:val="clear" w:pos="720"/>
          <w:tab w:val="num" w:pos="630"/>
        </w:tabs>
        <w:spacing w:after="0" w:line="360" w:lineRule="auto"/>
        <w:ind w:left="630" w:hanging="27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Normal dan Garis </w:t>
      </w: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Lurus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 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kas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stabil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perencanaan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keuangan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jangka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panjang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FC6E5C1" w14:textId="77777777" w:rsidR="00895FFF" w:rsidRPr="00534AAC" w:rsidRDefault="00895FFF" w:rsidP="00534AAC">
      <w:pPr>
        <w:numPr>
          <w:ilvl w:val="0"/>
          <w:numId w:val="1"/>
        </w:numPr>
        <w:tabs>
          <w:tab w:val="clear" w:pos="720"/>
          <w:tab w:val="num" w:pos="630"/>
        </w:tabs>
        <w:spacing w:after="0" w:line="360" w:lineRule="auto"/>
        <w:ind w:left="630" w:hanging="27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Saldo Menurun 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kas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kompetitif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periode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penyusutan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(non-cash expense)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kas,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meskipun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bersihnya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D60496E" w14:textId="77777777" w:rsidR="00534AAC" w:rsidRDefault="00534AAC" w:rsidP="00534A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4463D36" w14:textId="77777777" w:rsidR="00534AAC" w:rsidRDefault="00534AAC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br w:type="page"/>
      </w:r>
    </w:p>
    <w:p w14:paraId="04C21EB1" w14:textId="4F7C72A0" w:rsidR="00895FFF" w:rsidRPr="00534AAC" w:rsidRDefault="00895FFF" w:rsidP="00534A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</w:pPr>
      <w:proofErr w:type="spellStart"/>
      <w:r w:rsidRPr="00534AAC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lastRenderedPageBreak/>
        <w:t>Keterkaitan</w:t>
      </w:r>
      <w:proofErr w:type="spellEnd"/>
      <w:r w:rsidRPr="00534AAC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t xml:space="preserve"> Keputusan </w:t>
      </w:r>
      <w:proofErr w:type="spellStart"/>
      <w:r w:rsidRPr="00534AAC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t>Fiskal</w:t>
      </w:r>
      <w:proofErr w:type="spellEnd"/>
      <w:r w:rsidRPr="00534AAC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t xml:space="preserve"> dan </w:t>
      </w:r>
      <w:proofErr w:type="spellStart"/>
      <w:r w:rsidRPr="00534AAC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t>Dampaknya</w:t>
      </w:r>
      <w:proofErr w:type="spellEnd"/>
    </w:p>
    <w:p w14:paraId="26202207" w14:textId="77777777" w:rsidR="00895FFF" w:rsidRPr="00895FFF" w:rsidRDefault="00895FFF" w:rsidP="00534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Keputusan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fiskal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pemilihan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penyusutan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pemanfaatan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insentif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(tax holiday),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bersih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kas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keterkaitannya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39C62316" w14:textId="77777777" w:rsidR="00895FFF" w:rsidRPr="00895FFF" w:rsidRDefault="00895FFF" w:rsidP="00534AAC">
      <w:pPr>
        <w:numPr>
          <w:ilvl w:val="0"/>
          <w:numId w:val="7"/>
        </w:numPr>
        <w:tabs>
          <w:tab w:val="clear" w:pos="360"/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Insentif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Pajak (Tax Holiday)</w:t>
      </w:r>
      <w:r w:rsidRPr="00895FFF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013CD3D8" w14:textId="77777777" w:rsidR="00895FFF" w:rsidRPr="00895FFF" w:rsidRDefault="00895FFF" w:rsidP="00534AAC">
      <w:pPr>
        <w:numPr>
          <w:ilvl w:val="1"/>
          <w:numId w:val="7"/>
        </w:numPr>
        <w:tabs>
          <w:tab w:val="clear" w:pos="1080"/>
        </w:tabs>
        <w:spacing w:after="0"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Dampak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: Dengan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tarif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0%,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skenario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Tax Holiday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bersih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kas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tertinggi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. Ini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insentif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profitabilitas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likuiditas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597B893" w14:textId="77777777" w:rsidR="00895FFF" w:rsidRPr="00895FFF" w:rsidRDefault="00895FFF" w:rsidP="00534AAC">
      <w:pPr>
        <w:numPr>
          <w:ilvl w:val="1"/>
          <w:numId w:val="7"/>
        </w:numPr>
        <w:tabs>
          <w:tab w:val="clear" w:pos="1080"/>
        </w:tabs>
        <w:spacing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Implikasi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Strategis</w:t>
      </w:r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Cocok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memaksimalkan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keuntungan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jangka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pendek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dana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ekspansi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bergantung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kebijakan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terbatas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periode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8908E3B" w14:textId="77777777" w:rsidR="00895FFF" w:rsidRPr="00895FFF" w:rsidRDefault="00895FFF" w:rsidP="00534AAC">
      <w:pPr>
        <w:numPr>
          <w:ilvl w:val="0"/>
          <w:numId w:val="7"/>
        </w:numPr>
        <w:tabs>
          <w:tab w:val="clear" w:pos="360"/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Metode </w:t>
      </w: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Penyusutan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(Garis </w:t>
      </w: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Lurus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vs Saldo </w:t>
      </w: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Menurun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)</w:t>
      </w:r>
      <w:r w:rsidRPr="00895FFF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5CAD66EE" w14:textId="77777777" w:rsidR="00895FFF" w:rsidRPr="00895FFF" w:rsidRDefault="00895FFF" w:rsidP="00534AAC">
      <w:pPr>
        <w:numPr>
          <w:ilvl w:val="1"/>
          <w:numId w:val="7"/>
        </w:numPr>
        <w:tabs>
          <w:tab w:val="clear" w:pos="1080"/>
          <w:tab w:val="num" w:pos="1440"/>
        </w:tabs>
        <w:spacing w:after="0"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Garis Lurus</w:t>
      </w:r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penyusutan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konsisten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bersih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kas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stabil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Cocok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mengutamakan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pelaporan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keuangan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diprediksi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konsisten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3529381" w14:textId="77777777" w:rsidR="00895FFF" w:rsidRPr="00895FFF" w:rsidRDefault="00895FFF" w:rsidP="00534AAC">
      <w:pPr>
        <w:numPr>
          <w:ilvl w:val="1"/>
          <w:numId w:val="7"/>
        </w:numPr>
        <w:tabs>
          <w:tab w:val="clear" w:pos="1080"/>
          <w:tab w:val="num" w:pos="1440"/>
        </w:tabs>
        <w:spacing w:after="0"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Saldo Menurun</w:t>
      </w:r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Penyusutan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periode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kena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PPh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badan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tahun-tahun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. Ini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kas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bermanfaat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likuiditas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investasi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pelunasan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utang,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mengorbankan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bersih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1F16394" w14:textId="77777777" w:rsidR="00895FFF" w:rsidRPr="00895FFF" w:rsidRDefault="00895FFF" w:rsidP="00534AAC">
      <w:pPr>
        <w:numPr>
          <w:ilvl w:val="1"/>
          <w:numId w:val="7"/>
        </w:numPr>
        <w:tabs>
          <w:tab w:val="clear" w:pos="1080"/>
          <w:tab w:val="num" w:pos="1440"/>
        </w:tabs>
        <w:spacing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Dampak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Pilihan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penyusutan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memengaruhi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pengakuan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kas. Saldo Menurun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menguntungkan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Garis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Lurus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stabil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jangka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panjang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485E295" w14:textId="77777777" w:rsidR="00895FFF" w:rsidRPr="00895FFF" w:rsidRDefault="00895FFF" w:rsidP="00534AAC">
      <w:pPr>
        <w:numPr>
          <w:ilvl w:val="0"/>
          <w:numId w:val="7"/>
        </w:numPr>
        <w:tabs>
          <w:tab w:val="clear" w:pos="360"/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Penurunan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Tarif Pajak</w:t>
      </w:r>
      <w:r w:rsidRPr="00895FFF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4F52595A" w14:textId="77777777" w:rsidR="00895FFF" w:rsidRPr="00895FFF" w:rsidRDefault="00895FFF" w:rsidP="00534AAC">
      <w:pPr>
        <w:numPr>
          <w:ilvl w:val="1"/>
          <w:numId w:val="7"/>
        </w:numPr>
        <w:tabs>
          <w:tab w:val="clear" w:pos="1080"/>
          <w:tab w:val="num" w:pos="630"/>
          <w:tab w:val="num" w:pos="1440"/>
        </w:tabs>
        <w:spacing w:after="0"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Dampak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Penurunan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tarif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25% (2020)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20% (2023–2026) pada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skenario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Normal, Garis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Lurus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dan Saldo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Menurun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bersih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kas di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tahun-tahun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terakhir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. Ini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kebijakan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progresif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profitabilitas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53AA8D7" w14:textId="77777777" w:rsidR="00895FFF" w:rsidRPr="00895FFF" w:rsidRDefault="00895FFF" w:rsidP="00534AAC">
      <w:pPr>
        <w:numPr>
          <w:ilvl w:val="1"/>
          <w:numId w:val="7"/>
        </w:numPr>
        <w:tabs>
          <w:tab w:val="clear" w:pos="1080"/>
          <w:tab w:val="num" w:pos="630"/>
          <w:tab w:val="num" w:pos="1440"/>
        </w:tabs>
        <w:spacing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Implikasi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Strategis</w:t>
      </w:r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: Perusahaan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memantau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kebijakan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mengoptimalkan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strategi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keuangan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terutama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peluang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insentif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66BFD19" w14:textId="77777777" w:rsidR="00895FFF" w:rsidRPr="00895FFF" w:rsidRDefault="00895FFF" w:rsidP="00534AAC">
      <w:pPr>
        <w:numPr>
          <w:ilvl w:val="0"/>
          <w:numId w:val="7"/>
        </w:numPr>
        <w:tabs>
          <w:tab w:val="clear" w:pos="360"/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Pertumbuhan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Pendapatan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Beban </w:t>
      </w: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Operasional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07D97C61" w14:textId="77777777" w:rsidR="00895FFF" w:rsidRPr="00895FFF" w:rsidRDefault="00895FFF" w:rsidP="00534AAC">
      <w:pPr>
        <w:numPr>
          <w:ilvl w:val="1"/>
          <w:numId w:val="7"/>
        </w:numPr>
        <w:tabs>
          <w:tab w:val="clear" w:pos="1080"/>
          <w:tab w:val="num" w:pos="720"/>
          <w:tab w:val="num" w:pos="1440"/>
        </w:tabs>
        <w:spacing w:after="0"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meningkat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100%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Rp1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miliar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(2020)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Rp2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miliar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(2026),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sementara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beban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operasional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tumbuh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lambat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Rp600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juta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Rp950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juta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). Ini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skenario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dampaknya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paling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pada Tax Holiday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D8555FA" w14:textId="77777777" w:rsidR="00895FFF" w:rsidRPr="00895FFF" w:rsidRDefault="00895FFF" w:rsidP="00534AAC">
      <w:pPr>
        <w:numPr>
          <w:ilvl w:val="1"/>
          <w:numId w:val="7"/>
        </w:numPr>
        <w:tabs>
          <w:tab w:val="clear" w:pos="1080"/>
          <w:tab w:val="num" w:pos="720"/>
          <w:tab w:val="num" w:pos="1440"/>
        </w:tabs>
        <w:spacing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Implikasi</w:t>
      </w:r>
      <w:proofErr w:type="spellEnd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Strategis</w:t>
      </w:r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Pengendalian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beban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operasional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peningkatan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kunci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memaksimalkan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fiskal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insentif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penyusutan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29C2A54" w14:textId="77777777" w:rsidR="00534AAC" w:rsidRDefault="00534AAC">
      <w:pP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br w:type="page"/>
      </w:r>
    </w:p>
    <w:p w14:paraId="3F402F43" w14:textId="62521929" w:rsidR="00895FFF" w:rsidRPr="00895FFF" w:rsidRDefault="00895FFF" w:rsidP="00534A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</w:pPr>
      <w:r w:rsidRPr="00895FF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lastRenderedPageBreak/>
        <w:t xml:space="preserve">Kesimpulan dan </w:t>
      </w: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D"/>
        </w:rPr>
        <w:t>Rekomendasi</w:t>
      </w:r>
      <w:proofErr w:type="spellEnd"/>
    </w:p>
    <w:p w14:paraId="1C61F635" w14:textId="77777777" w:rsidR="00895FFF" w:rsidRDefault="00895FFF" w:rsidP="00534AAC">
      <w:pPr>
        <w:numPr>
          <w:ilvl w:val="0"/>
          <w:numId w:val="8"/>
        </w:numPr>
        <w:tabs>
          <w:tab w:val="clear" w:pos="360"/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Tax Holiday</w:t>
      </w:r>
      <w:r w:rsidRPr="00895FFF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pilihan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terbaik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memaksimalkan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bersih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kas,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terutama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dana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ekspansi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investasi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mempersiapkan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strategi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periode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tax holiday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berakhir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C6FCDE6" w14:textId="3F3F6918" w:rsidR="009206D2" w:rsidRPr="00895FFF" w:rsidRDefault="009206D2" w:rsidP="009206D2">
      <w:pPr>
        <w:numPr>
          <w:ilvl w:val="0"/>
          <w:numId w:val="8"/>
        </w:numPr>
        <w:tabs>
          <w:tab w:val="clear" w:pos="360"/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Normal/Garis </w:t>
      </w:r>
      <w:proofErr w:type="spellStart"/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Lurus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 ideal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mengutamakan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stabilitas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prediktabilitas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keuangan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52F1310" w14:textId="77777777" w:rsidR="00895FFF" w:rsidRPr="00895FFF" w:rsidRDefault="00895FFF" w:rsidP="00534AAC">
      <w:pPr>
        <w:numPr>
          <w:ilvl w:val="0"/>
          <w:numId w:val="8"/>
        </w:numPr>
        <w:tabs>
          <w:tab w:val="clear" w:pos="360"/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Saldo Menurun</w:t>
      </w:r>
      <w:r w:rsidRPr="00895FFF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cocok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kas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melunasi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utang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investasi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meskipun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bersihnya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53CECDD" w14:textId="77777777" w:rsidR="00895FFF" w:rsidRPr="00895FFF" w:rsidRDefault="00895FFF" w:rsidP="00534AAC">
      <w:pPr>
        <w:numPr>
          <w:ilvl w:val="0"/>
          <w:numId w:val="8"/>
        </w:numPr>
        <w:tabs>
          <w:tab w:val="clear" w:pos="360"/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95FFF">
        <w:rPr>
          <w:rFonts w:ascii="Times New Roman" w:hAnsi="Times New Roman" w:cs="Times New Roman"/>
          <w:b/>
          <w:bCs/>
          <w:sz w:val="24"/>
          <w:szCs w:val="24"/>
          <w:lang w:val="en-ID"/>
        </w:rPr>
        <w:t>Keputusan Fiskal</w:t>
      </w:r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Pilihan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insentif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penyusutan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selaras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keuangan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likuiditas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strategi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pelaporan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keuangan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Pemantauan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kebijakan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memanfaatkan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peluang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insentif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D57AD75" w14:textId="77777777" w:rsidR="00895FFF" w:rsidRPr="00895FFF" w:rsidRDefault="00895FFF" w:rsidP="00895F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fiskal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memanfaatkan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insentif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pajak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penyusutan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laba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bersih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kas, yang pada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akhirnya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memengaruhi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kemampuan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tumbuh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5FFF"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 w:rsidRPr="0089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681F008" w14:textId="4A6B8138" w:rsidR="002A00DA" w:rsidRPr="00895FFF" w:rsidRDefault="002A00DA" w:rsidP="00895F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A00DA" w:rsidRPr="00895FFF" w:rsidSect="00895FFF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7FD88" w14:textId="77777777" w:rsidR="004C62C0" w:rsidRDefault="004C62C0" w:rsidP="00895FFF">
      <w:pPr>
        <w:spacing w:after="0" w:line="240" w:lineRule="auto"/>
      </w:pPr>
      <w:r>
        <w:separator/>
      </w:r>
    </w:p>
  </w:endnote>
  <w:endnote w:type="continuationSeparator" w:id="0">
    <w:p w14:paraId="336C1FBA" w14:textId="77777777" w:rsidR="004C62C0" w:rsidRDefault="004C62C0" w:rsidP="00895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94DD8" w14:textId="77777777" w:rsidR="004C62C0" w:rsidRDefault="004C62C0" w:rsidP="00895FFF">
      <w:pPr>
        <w:spacing w:after="0" w:line="240" w:lineRule="auto"/>
      </w:pPr>
      <w:r>
        <w:separator/>
      </w:r>
    </w:p>
  </w:footnote>
  <w:footnote w:type="continuationSeparator" w:id="0">
    <w:p w14:paraId="5C1411D2" w14:textId="77777777" w:rsidR="004C62C0" w:rsidRDefault="004C62C0" w:rsidP="00895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F6498" w14:textId="4AADD9F6" w:rsidR="00895FFF" w:rsidRPr="00895FFF" w:rsidRDefault="00895FFF">
    <w:pPr>
      <w:pStyle w:val="Header"/>
      <w:rPr>
        <w:sz w:val="20"/>
        <w:szCs w:val="20"/>
      </w:rPr>
    </w:pPr>
    <w:r w:rsidRPr="00895FFF">
      <w:rPr>
        <w:sz w:val="20"/>
        <w:szCs w:val="20"/>
      </w:rPr>
      <w:t>Alfina Damayanti_20050_C_Prak PPh Badan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41D1"/>
    <w:multiLevelType w:val="multilevel"/>
    <w:tmpl w:val="437E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F53A2"/>
    <w:multiLevelType w:val="multilevel"/>
    <w:tmpl w:val="5F1894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FB42F2"/>
    <w:multiLevelType w:val="multilevel"/>
    <w:tmpl w:val="DA3E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D9603B"/>
    <w:multiLevelType w:val="hybridMultilevel"/>
    <w:tmpl w:val="F61E837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F507E9"/>
    <w:multiLevelType w:val="multilevel"/>
    <w:tmpl w:val="64EE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6D7616"/>
    <w:multiLevelType w:val="multilevel"/>
    <w:tmpl w:val="EEF6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A32ADB"/>
    <w:multiLevelType w:val="multilevel"/>
    <w:tmpl w:val="9000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1E6DD3"/>
    <w:multiLevelType w:val="multilevel"/>
    <w:tmpl w:val="1F16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654CCE"/>
    <w:multiLevelType w:val="multilevel"/>
    <w:tmpl w:val="16065B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906723291">
    <w:abstractNumId w:val="0"/>
  </w:num>
  <w:num w:numId="2" w16cid:durableId="1421560882">
    <w:abstractNumId w:val="2"/>
  </w:num>
  <w:num w:numId="3" w16cid:durableId="1664431098">
    <w:abstractNumId w:val="6"/>
  </w:num>
  <w:num w:numId="4" w16cid:durableId="1716926686">
    <w:abstractNumId w:val="4"/>
  </w:num>
  <w:num w:numId="5" w16cid:durableId="1762137742">
    <w:abstractNumId w:val="5"/>
  </w:num>
  <w:num w:numId="6" w16cid:durableId="258367931">
    <w:abstractNumId w:val="7"/>
  </w:num>
  <w:num w:numId="7" w16cid:durableId="1002245634">
    <w:abstractNumId w:val="8"/>
  </w:num>
  <w:num w:numId="8" w16cid:durableId="1778790253">
    <w:abstractNumId w:val="1"/>
  </w:num>
  <w:num w:numId="9" w16cid:durableId="1490829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FF"/>
    <w:rsid w:val="0006334B"/>
    <w:rsid w:val="001E4AE6"/>
    <w:rsid w:val="00284321"/>
    <w:rsid w:val="002A00DA"/>
    <w:rsid w:val="003946CE"/>
    <w:rsid w:val="004C62C0"/>
    <w:rsid w:val="00534AAC"/>
    <w:rsid w:val="00585BC7"/>
    <w:rsid w:val="00603959"/>
    <w:rsid w:val="0063527B"/>
    <w:rsid w:val="00687365"/>
    <w:rsid w:val="006D08E0"/>
    <w:rsid w:val="00712D0E"/>
    <w:rsid w:val="00895FFF"/>
    <w:rsid w:val="008A09FF"/>
    <w:rsid w:val="009206D2"/>
    <w:rsid w:val="00C318D4"/>
    <w:rsid w:val="00D5778B"/>
    <w:rsid w:val="00D721D8"/>
    <w:rsid w:val="00EE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E5F1"/>
  <w15:chartTrackingRefBased/>
  <w15:docId w15:val="{58C2A6E9-A247-43ED-B75B-3003E469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F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F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FF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F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FFF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FFF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FFF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FFF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FFF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FFF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FFF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895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FFF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FFF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895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FFF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895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F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F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FFF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895F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5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FF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95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FFF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1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Alfina Damayanti</dc:creator>
  <cp:keywords/>
  <dc:description/>
  <cp:lastModifiedBy>Alfina Damayanti</cp:lastModifiedBy>
  <cp:revision>3</cp:revision>
  <dcterms:created xsi:type="dcterms:W3CDTF">2025-05-31T08:48:00Z</dcterms:created>
  <dcterms:modified xsi:type="dcterms:W3CDTF">2025-05-31T08:49:00Z</dcterms:modified>
</cp:coreProperties>
</file>