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 Sales Prediction Project Report</w:t>
      </w:r>
    </w:p>
    <w:p>
      <w:pPr>
        <w:jc w:val="center"/>
      </w:pPr>
      <w:r>
        <w:rPr>
          <w:i/>
          <w:color w:val="595959"/>
        </w:rPr>
        <w:t>Full-stack machine learning application</w:t>
      </w:r>
    </w:p>
    <w:p>
      <w:r>
        <w:t>Report date: 22 September 2026</w:t>
      </w:r>
    </w:p>
    <w:p>
      <w:pPr>
        <w:pStyle w:val="Heading1"/>
      </w:pPr>
      <w:r>
        <w:t>1. Executive summary</w:t>
      </w:r>
    </w:p>
    <w:p>
      <w:r>
        <w:t>This project delivers an end-to-end Amazon sales prediction application. It loads order-level sales data, prepares numeric and categorical features, trains a Random Forest regression model, exposes predictions through a Flask REST API, and presents business insights through a Streamlit dashboard.</w:t>
      </w:r>
    </w:p>
    <w:p>
      <w:pPr>
        <w:pStyle w:val="Heading1"/>
      </w:pPr>
      <w:r>
        <w:t>2. Dataset overview</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Measure</w:t>
            </w:r>
          </w:p>
        </w:tc>
        <w:tc>
          <w:tcPr>
            <w:tcW w:type="dxa" w:w="4968"/>
            <w:vAlign w:val="center"/>
          </w:tcPr>
          <w:p>
            <w:r/>
            <w:r>
              <w:rPr>
                <w:b/>
                <w:sz w:val="18"/>
              </w:rPr>
              <w:t>Value</w:t>
            </w:r>
          </w:p>
        </w:tc>
      </w:tr>
      <w:tr>
        <w:tc>
          <w:tcPr>
            <w:tcW w:type="dxa" w:w="4968"/>
            <w:vAlign w:val="center"/>
          </w:tcPr>
          <w:p>
            <w:r/>
            <w:r>
              <w:rPr>
                <w:b w:val="0"/>
                <w:sz w:val="18"/>
              </w:rPr>
              <w:t>Source file</w:t>
            </w:r>
          </w:p>
        </w:tc>
        <w:tc>
          <w:tcPr>
            <w:tcW w:type="dxa" w:w="4968"/>
            <w:vAlign w:val="center"/>
          </w:tcPr>
          <w:p>
            <w:r/>
            <w:r>
              <w:rPr>
                <w:b w:val="0"/>
                <w:sz w:val="18"/>
              </w:rPr>
              <w:t>amazon_cleaned.csv</w:t>
            </w:r>
          </w:p>
        </w:tc>
      </w:tr>
      <w:tr>
        <w:tc>
          <w:tcPr>
            <w:tcW w:type="dxa" w:w="4968"/>
            <w:vAlign w:val="center"/>
          </w:tcPr>
          <w:p>
            <w:r/>
            <w:r>
              <w:rPr>
                <w:b w:val="0"/>
                <w:sz w:val="18"/>
              </w:rPr>
              <w:t>Usable records</w:t>
            </w:r>
          </w:p>
        </w:tc>
        <w:tc>
          <w:tcPr>
            <w:tcW w:type="dxa" w:w="4968"/>
            <w:vAlign w:val="center"/>
          </w:tcPr>
          <w:p>
            <w:r/>
            <w:r>
              <w:rPr>
                <w:b w:val="0"/>
                <w:sz w:val="18"/>
              </w:rPr>
              <w:t>121,149</w:t>
            </w:r>
          </w:p>
        </w:tc>
      </w:tr>
      <w:tr>
        <w:tc>
          <w:tcPr>
            <w:tcW w:type="dxa" w:w="4968"/>
            <w:vAlign w:val="center"/>
          </w:tcPr>
          <w:p>
            <w:r/>
            <w:r>
              <w:rPr>
                <w:b w:val="0"/>
                <w:sz w:val="18"/>
              </w:rPr>
              <w:t>Dataset columns</w:t>
            </w:r>
          </w:p>
        </w:tc>
        <w:tc>
          <w:tcPr>
            <w:tcW w:type="dxa" w:w="4968"/>
            <w:vAlign w:val="center"/>
          </w:tcPr>
          <w:p>
            <w:r/>
            <w:r>
              <w:rPr>
                <w:b w:val="0"/>
                <w:sz w:val="18"/>
              </w:rPr>
              <w:t>23</w:t>
            </w:r>
          </w:p>
        </w:tc>
      </w:tr>
      <w:tr>
        <w:tc>
          <w:tcPr>
            <w:tcW w:type="dxa" w:w="4968"/>
            <w:vAlign w:val="center"/>
          </w:tcPr>
          <w:p>
            <w:r/>
            <w:r>
              <w:rPr>
                <w:b w:val="0"/>
                <w:sz w:val="18"/>
              </w:rPr>
              <w:t>Target variable</w:t>
            </w:r>
          </w:p>
        </w:tc>
        <w:tc>
          <w:tcPr>
            <w:tcW w:type="dxa" w:w="4968"/>
            <w:vAlign w:val="center"/>
          </w:tcPr>
          <w:p>
            <w:r/>
            <w:r>
              <w:rPr>
                <w:b w:val="0"/>
                <w:sz w:val="18"/>
              </w:rPr>
              <w:t>Amount (INR)</w:t>
            </w:r>
          </w:p>
        </w:tc>
      </w:tr>
      <w:tr>
        <w:tc>
          <w:tcPr>
            <w:tcW w:type="dxa" w:w="4968"/>
            <w:vAlign w:val="center"/>
          </w:tcPr>
          <w:p>
            <w:r/>
            <w:r>
              <w:rPr>
                <w:b w:val="0"/>
                <w:sz w:val="18"/>
              </w:rPr>
              <w:t>Total sales</w:t>
            </w:r>
          </w:p>
        </w:tc>
        <w:tc>
          <w:tcPr>
            <w:tcW w:type="dxa" w:w="4968"/>
            <w:vAlign w:val="center"/>
          </w:tcPr>
          <w:p>
            <w:r/>
            <w:r>
              <w:rPr>
                <w:b w:val="0"/>
                <w:sz w:val="18"/>
              </w:rPr>
              <w:t>INR 78,574,007.30</w:t>
            </w:r>
          </w:p>
        </w:tc>
      </w:tr>
      <w:tr>
        <w:tc>
          <w:tcPr>
            <w:tcW w:type="dxa" w:w="4968"/>
            <w:vAlign w:val="center"/>
          </w:tcPr>
          <w:p>
            <w:r/>
            <w:r>
              <w:rPr>
                <w:b w:val="0"/>
                <w:sz w:val="18"/>
              </w:rPr>
              <w:t>Average order amount</w:t>
            </w:r>
          </w:p>
        </w:tc>
        <w:tc>
          <w:tcPr>
            <w:tcW w:type="dxa" w:w="4968"/>
            <w:vAlign w:val="center"/>
          </w:tcPr>
          <w:p>
            <w:r/>
            <w:r>
              <w:rPr>
                <w:b w:val="0"/>
                <w:sz w:val="18"/>
              </w:rPr>
              <w:t>INR 648.57</w:t>
            </w:r>
          </w:p>
        </w:tc>
      </w:tr>
      <w:tr>
        <w:tc>
          <w:tcPr>
            <w:tcW w:type="dxa" w:w="4968"/>
            <w:vAlign w:val="center"/>
          </w:tcPr>
          <w:p>
            <w:r/>
            <w:r>
              <w:rPr>
                <w:b w:val="0"/>
                <w:sz w:val="18"/>
              </w:rPr>
              <w:t>Maximum order amount</w:t>
            </w:r>
          </w:p>
        </w:tc>
        <w:tc>
          <w:tcPr>
            <w:tcW w:type="dxa" w:w="4968"/>
            <w:vAlign w:val="center"/>
          </w:tcPr>
          <w:p>
            <w:r/>
            <w:r>
              <w:rPr>
                <w:b w:val="0"/>
                <w:sz w:val="18"/>
              </w:rPr>
              <w:t>INR 5,584.00</w:t>
            </w:r>
          </w:p>
        </w:tc>
      </w:tr>
    </w:tbl>
    <w:p>
      <w:r>
        <w:t>The data preparation step standardizes column names, converts Amount and Qty to numeric values, removes invalid target rows, fills missing categorical values, and derives order month and day-of-week features from Date.</w:t>
      </w:r>
    </w:p>
    <w:p>
      <w:pPr>
        <w:pStyle w:val="Heading1"/>
      </w:pPr>
      <w:r>
        <w:t>3. Technical architecture</w:t>
      </w:r>
    </w:p>
    <w:p>
      <w:r>
        <w:t>The application is organized into reusable modules so the frontend, backend, and training workflow share the same feature preparation and model pipeline.</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Layer</w:t>
            </w:r>
          </w:p>
        </w:tc>
        <w:tc>
          <w:tcPr>
            <w:tcW w:type="dxa" w:w="4968"/>
            <w:vAlign w:val="center"/>
          </w:tcPr>
          <w:p>
            <w:r/>
            <w:r>
              <w:rPr>
                <w:b/>
                <w:sz w:val="18"/>
              </w:rPr>
              <w:t>Implementation</w:t>
            </w:r>
          </w:p>
        </w:tc>
      </w:tr>
      <w:tr>
        <w:tc>
          <w:tcPr>
            <w:tcW w:type="dxa" w:w="4968"/>
            <w:vAlign w:val="center"/>
          </w:tcPr>
          <w:p>
            <w:r/>
            <w:r>
              <w:rPr>
                <w:b w:val="0"/>
                <w:sz w:val="18"/>
              </w:rPr>
              <w:t>Data</w:t>
            </w:r>
          </w:p>
        </w:tc>
        <w:tc>
          <w:tcPr>
            <w:tcW w:type="dxa" w:w="4968"/>
            <w:vAlign w:val="center"/>
          </w:tcPr>
          <w:p>
            <w:r/>
            <w:r>
              <w:rPr>
                <w:b w:val="0"/>
                <w:sz w:val="18"/>
              </w:rPr>
              <w:t>pandas with amazon_cleaned.csv</w:t>
            </w:r>
          </w:p>
        </w:tc>
      </w:tr>
      <w:tr>
        <w:tc>
          <w:tcPr>
            <w:tcW w:type="dxa" w:w="4968"/>
            <w:vAlign w:val="center"/>
          </w:tcPr>
          <w:p>
            <w:r/>
            <w:r>
              <w:rPr>
                <w:b w:val="0"/>
                <w:sz w:val="18"/>
              </w:rPr>
              <w:t>Preprocessing</w:t>
            </w:r>
          </w:p>
        </w:tc>
        <w:tc>
          <w:tcPr>
            <w:tcW w:type="dxa" w:w="4968"/>
            <w:vAlign w:val="center"/>
          </w:tcPr>
          <w:p>
            <w:r/>
            <w:r>
              <w:rPr>
                <w:b w:val="0"/>
                <w:sz w:val="18"/>
              </w:rPr>
              <w:t>Median imputation, StandardScaler, OneHotEncoder</w:t>
            </w:r>
          </w:p>
        </w:tc>
      </w:tr>
      <w:tr>
        <w:tc>
          <w:tcPr>
            <w:tcW w:type="dxa" w:w="4968"/>
            <w:vAlign w:val="center"/>
          </w:tcPr>
          <w:p>
            <w:r/>
            <w:r>
              <w:rPr>
                <w:b w:val="0"/>
                <w:sz w:val="18"/>
              </w:rPr>
              <w:t>Model</w:t>
            </w:r>
          </w:p>
        </w:tc>
        <w:tc>
          <w:tcPr>
            <w:tcW w:type="dxa" w:w="4968"/>
            <w:vAlign w:val="center"/>
          </w:tcPr>
          <w:p>
            <w:r/>
            <w:r>
              <w:rPr>
                <w:b w:val="0"/>
                <w:sz w:val="18"/>
              </w:rPr>
              <w:t>RandomForestRegressor, 180 estimators</w:t>
            </w:r>
          </w:p>
        </w:tc>
      </w:tr>
      <w:tr>
        <w:tc>
          <w:tcPr>
            <w:tcW w:type="dxa" w:w="4968"/>
            <w:vAlign w:val="center"/>
          </w:tcPr>
          <w:p>
            <w:r/>
            <w:r>
              <w:rPr>
                <w:b w:val="0"/>
                <w:sz w:val="18"/>
              </w:rPr>
              <w:t>Backend</w:t>
            </w:r>
          </w:p>
        </w:tc>
        <w:tc>
          <w:tcPr>
            <w:tcW w:type="dxa" w:w="4968"/>
            <w:vAlign w:val="center"/>
          </w:tcPr>
          <w:p>
            <w:r/>
            <w:r>
              <w:rPr>
                <w:b w:val="0"/>
                <w:sz w:val="18"/>
              </w:rPr>
              <w:t>Flask endpoints: health, dataset, model_info, predict</w:t>
            </w:r>
          </w:p>
        </w:tc>
      </w:tr>
      <w:tr>
        <w:tc>
          <w:tcPr>
            <w:tcW w:type="dxa" w:w="4968"/>
            <w:vAlign w:val="center"/>
          </w:tcPr>
          <w:p>
            <w:r/>
            <w:r>
              <w:rPr>
                <w:b w:val="0"/>
                <w:sz w:val="18"/>
              </w:rPr>
              <w:t>Frontend</w:t>
            </w:r>
          </w:p>
        </w:tc>
        <w:tc>
          <w:tcPr>
            <w:tcW w:type="dxa" w:w="4968"/>
            <w:vAlign w:val="center"/>
          </w:tcPr>
          <w:p>
            <w:r/>
            <w:r>
              <w:rPr>
                <w:b w:val="0"/>
                <w:sz w:val="18"/>
              </w:rPr>
              <w:t>Streamlit overview, prediction, and model insights pages</w:t>
            </w:r>
          </w:p>
        </w:tc>
      </w:tr>
      <w:tr>
        <w:tc>
          <w:tcPr>
            <w:tcW w:type="dxa" w:w="4968"/>
            <w:vAlign w:val="center"/>
          </w:tcPr>
          <w:p>
            <w:r/>
            <w:r>
              <w:rPr>
                <w:b w:val="0"/>
                <w:sz w:val="18"/>
              </w:rPr>
              <w:t>Persistence</w:t>
            </w:r>
          </w:p>
        </w:tc>
        <w:tc>
          <w:tcPr>
            <w:tcW w:type="dxa" w:w="4968"/>
            <w:vAlign w:val="center"/>
          </w:tcPr>
          <w:p>
            <w:r/>
            <w:r>
              <w:rPr>
                <w:b w:val="0"/>
                <w:sz w:val="18"/>
              </w:rPr>
              <w:t>joblib model.pkl and metrics.pkl artifacts</w:t>
            </w:r>
          </w:p>
        </w:tc>
      </w:tr>
    </w:tbl>
    <w:p>
      <w:pPr>
        <w:pStyle w:val="Heading1"/>
      </w:pPr>
      <w:r>
        <w:t>4. Model performance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r/>
            <w:r>
              <w:rPr>
                <w:b/>
                <w:sz w:val="18"/>
              </w:rPr>
              <w:t>Metric</w:t>
            </w:r>
          </w:p>
        </w:tc>
        <w:tc>
          <w:tcPr>
            <w:tcW w:type="dxa" w:w="3312"/>
            <w:vAlign w:val="center"/>
          </w:tcPr>
          <w:p>
            <w:r/>
            <w:r>
              <w:rPr>
                <w:b/>
                <w:sz w:val="18"/>
              </w:rPr>
              <w:t>Result</w:t>
            </w:r>
          </w:p>
        </w:tc>
        <w:tc>
          <w:tcPr>
            <w:tcW w:type="dxa" w:w="3312"/>
            <w:vAlign w:val="center"/>
          </w:tcPr>
          <w:p>
            <w:r/>
            <w:r>
              <w:rPr>
                <w:b/>
                <w:sz w:val="18"/>
              </w:rPr>
              <w:t>Interpretation</w:t>
            </w:r>
          </w:p>
        </w:tc>
      </w:tr>
      <w:tr>
        <w:tc>
          <w:tcPr>
            <w:tcW w:type="dxa" w:w="3312"/>
            <w:vAlign w:val="center"/>
          </w:tcPr>
          <w:p>
            <w:r/>
            <w:r>
              <w:rPr>
                <w:b w:val="0"/>
                <w:sz w:val="18"/>
              </w:rPr>
              <w:t>MAE</w:t>
            </w:r>
          </w:p>
        </w:tc>
        <w:tc>
          <w:tcPr>
            <w:tcW w:type="dxa" w:w="3312"/>
            <w:vAlign w:val="center"/>
          </w:tcPr>
          <w:p>
            <w:r/>
            <w:r>
              <w:rPr>
                <w:b w:val="0"/>
                <w:sz w:val="18"/>
              </w:rPr>
              <w:t>INR 118.12</w:t>
            </w:r>
          </w:p>
        </w:tc>
        <w:tc>
          <w:tcPr>
            <w:tcW w:type="dxa" w:w="3312"/>
            <w:vAlign w:val="center"/>
          </w:tcPr>
          <w:p>
            <w:r/>
            <w:r>
              <w:rPr>
                <w:b w:val="0"/>
                <w:sz w:val="18"/>
              </w:rPr>
              <w:t>Average absolute prediction error</w:t>
            </w:r>
          </w:p>
        </w:tc>
      </w:tr>
      <w:tr>
        <w:tc>
          <w:tcPr>
            <w:tcW w:type="dxa" w:w="3312"/>
            <w:vAlign w:val="center"/>
          </w:tcPr>
          <w:p>
            <w:r/>
            <w:r>
              <w:rPr>
                <w:b w:val="0"/>
                <w:sz w:val="18"/>
              </w:rPr>
              <w:t>RMSE</w:t>
            </w:r>
          </w:p>
        </w:tc>
        <w:tc>
          <w:tcPr>
            <w:tcW w:type="dxa" w:w="3312"/>
            <w:vAlign w:val="center"/>
          </w:tcPr>
          <w:p>
            <w:r/>
            <w:r>
              <w:rPr>
                <w:b w:val="0"/>
                <w:sz w:val="18"/>
              </w:rPr>
              <w:t>INR 181.57</w:t>
            </w:r>
          </w:p>
        </w:tc>
        <w:tc>
          <w:tcPr>
            <w:tcW w:type="dxa" w:w="3312"/>
            <w:vAlign w:val="center"/>
          </w:tcPr>
          <w:p>
            <w:r/>
            <w:r>
              <w:rPr>
                <w:b w:val="0"/>
                <w:sz w:val="18"/>
              </w:rPr>
              <w:t>Penalizes larger errors</w:t>
            </w:r>
          </w:p>
        </w:tc>
      </w:tr>
      <w:tr>
        <w:tc>
          <w:tcPr>
            <w:tcW w:type="dxa" w:w="3312"/>
            <w:vAlign w:val="center"/>
          </w:tcPr>
          <w:p>
            <w:r/>
            <w:r>
              <w:rPr>
                <w:b w:val="0"/>
                <w:sz w:val="18"/>
              </w:rPr>
              <w:t>R2</w:t>
            </w:r>
          </w:p>
        </w:tc>
        <w:tc>
          <w:tcPr>
            <w:tcW w:type="dxa" w:w="3312"/>
            <w:vAlign w:val="center"/>
          </w:tcPr>
          <w:p>
            <w:r/>
            <w:r>
              <w:rPr>
                <w:b w:val="0"/>
                <w:sz w:val="18"/>
              </w:rPr>
              <w:t>0.5814</w:t>
            </w:r>
          </w:p>
        </w:tc>
        <w:tc>
          <w:tcPr>
            <w:tcW w:type="dxa" w:w="3312"/>
            <w:vAlign w:val="center"/>
          </w:tcPr>
          <w:p>
            <w:r/>
            <w:r>
              <w:rPr>
                <w:b w:val="0"/>
                <w:sz w:val="18"/>
              </w:rPr>
              <w:t>Explained variance on the test split</w:t>
            </w:r>
          </w:p>
        </w:tc>
      </w:tr>
    </w:tbl>
    <w:p>
      <w:r>
        <w:t>The model uses an 80/20 train-test split with random_state=42. Predictions are clipped at zero because a sales amount cannot be negative.</w:t>
      </w:r>
    </w:p>
    <w:p>
      <w:pPr>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diagnostics.png"/>
                    <pic:cNvPicPr/>
                  </pic:nvPicPr>
                  <pic:blipFill>
                    <a:blip r:embed="rId9"/>
                    <a:stretch>
                      <a:fillRect/>
                    </a:stretch>
                  </pic:blipFill>
                  <pic:spPr>
                    <a:xfrm>
                      <a:off x="0" y="0"/>
                      <a:ext cx="5943600" cy="2476500"/>
                    </a:xfrm>
                    <a:prstGeom prst="rect"/>
                  </pic:spPr>
                </pic:pic>
              </a:graphicData>
            </a:graphic>
          </wp:inline>
        </w:drawing>
      </w:r>
    </w:p>
    <w:p>
      <w:pPr>
        <w:jc w:val="center"/>
      </w:pPr>
      <w:r>
        <w:rPr>
          <w:i/>
        </w:rPr>
        <w:t>Figure 1. Actual versus predicted values and residual distribution.</w:t>
      </w:r>
    </w:p>
    <w:p>
      <w:pPr>
        <w:pStyle w:val="Heading1"/>
      </w:pPr>
      <w:r>
        <w:t>5. User interface output</w:t>
      </w:r>
    </w:p>
    <w:p>
      <w:r>
        <w:t>The Streamlit interface contains three views: Overview, Predict sales, and Model insights. The Overview page reports total sales, average order value, order count, monthly sales, category performance, and recent records. The Predict sales page accepts order attributes and displays an estimated amount in INR. Model insights displays the metrics and diagnostic plots.</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Sample input</w:t>
            </w:r>
          </w:p>
        </w:tc>
        <w:tc>
          <w:tcPr>
            <w:tcW w:type="dxa" w:w="4968"/>
            <w:vAlign w:val="center"/>
          </w:tcPr>
          <w:p>
            <w:r/>
            <w:r>
              <w:rPr>
                <w:b/>
                <w:sz w:val="18"/>
              </w:rPr>
              <w:t>Value</w:t>
            </w:r>
          </w:p>
        </w:tc>
      </w:tr>
      <w:tr>
        <w:tc>
          <w:tcPr>
            <w:tcW w:type="dxa" w:w="4968"/>
            <w:vAlign w:val="center"/>
          </w:tcPr>
          <w:p>
            <w:r/>
            <w:r>
              <w:rPr>
                <w:b w:val="0"/>
                <w:sz w:val="18"/>
              </w:rPr>
              <w:t>Qty</w:t>
            </w:r>
          </w:p>
        </w:tc>
        <w:tc>
          <w:tcPr>
            <w:tcW w:type="dxa" w:w="4968"/>
            <w:vAlign w:val="center"/>
          </w:tcPr>
          <w:p>
            <w:r/>
            <w:r>
              <w:rPr>
                <w:b w:val="0"/>
                <w:sz w:val="18"/>
              </w:rPr>
              <w:t>1</w:t>
            </w:r>
          </w:p>
        </w:tc>
      </w:tr>
      <w:tr>
        <w:tc>
          <w:tcPr>
            <w:tcW w:type="dxa" w:w="4968"/>
            <w:vAlign w:val="center"/>
          </w:tcPr>
          <w:p>
            <w:r/>
            <w:r>
              <w:rPr>
                <w:b w:val="0"/>
                <w:sz w:val="18"/>
              </w:rPr>
              <w:t>Status</w:t>
            </w:r>
          </w:p>
        </w:tc>
        <w:tc>
          <w:tcPr>
            <w:tcW w:type="dxa" w:w="4968"/>
            <w:vAlign w:val="center"/>
          </w:tcPr>
          <w:p>
            <w:r/>
            <w:r>
              <w:rPr>
                <w:b w:val="0"/>
                <w:sz w:val="18"/>
              </w:rPr>
              <w:t>Shipped</w:t>
            </w:r>
          </w:p>
        </w:tc>
      </w:tr>
      <w:tr>
        <w:tc>
          <w:tcPr>
            <w:tcW w:type="dxa" w:w="4968"/>
            <w:vAlign w:val="center"/>
          </w:tcPr>
          <w:p>
            <w:r/>
            <w:r>
              <w:rPr>
                <w:b w:val="0"/>
                <w:sz w:val="18"/>
              </w:rPr>
              <w:t>Fulfilment</w:t>
            </w:r>
          </w:p>
        </w:tc>
        <w:tc>
          <w:tcPr>
            <w:tcW w:type="dxa" w:w="4968"/>
            <w:vAlign w:val="center"/>
          </w:tcPr>
          <w:p>
            <w:r/>
            <w:r>
              <w:rPr>
                <w:b w:val="0"/>
                <w:sz w:val="18"/>
              </w:rPr>
              <w:t>Amazon</w:t>
            </w:r>
          </w:p>
        </w:tc>
      </w:tr>
      <w:tr>
        <w:tc>
          <w:tcPr>
            <w:tcW w:type="dxa" w:w="4968"/>
            <w:vAlign w:val="center"/>
          </w:tcPr>
          <w:p>
            <w:r/>
            <w:r>
              <w:rPr>
                <w:b w:val="0"/>
                <w:sz w:val="18"/>
              </w:rPr>
              <w:t>Sales Channel</w:t>
            </w:r>
          </w:p>
        </w:tc>
        <w:tc>
          <w:tcPr>
            <w:tcW w:type="dxa" w:w="4968"/>
            <w:vAlign w:val="center"/>
          </w:tcPr>
          <w:p>
            <w:r/>
            <w:r>
              <w:rPr>
                <w:b w:val="0"/>
                <w:sz w:val="18"/>
              </w:rPr>
              <w:t>Amazon.in</w:t>
            </w:r>
          </w:p>
        </w:tc>
      </w:tr>
      <w:tr>
        <w:tc>
          <w:tcPr>
            <w:tcW w:type="dxa" w:w="4968"/>
            <w:vAlign w:val="center"/>
          </w:tcPr>
          <w:p>
            <w:r/>
            <w:r>
              <w:rPr>
                <w:b w:val="0"/>
                <w:sz w:val="18"/>
              </w:rPr>
              <w:t>ship-service-level</w:t>
            </w:r>
          </w:p>
        </w:tc>
        <w:tc>
          <w:tcPr>
            <w:tcW w:type="dxa" w:w="4968"/>
            <w:vAlign w:val="center"/>
          </w:tcPr>
          <w:p>
            <w:r/>
            <w:r>
              <w:rPr>
                <w:b w:val="0"/>
                <w:sz w:val="18"/>
              </w:rPr>
              <w:t>Expedited</w:t>
            </w:r>
          </w:p>
        </w:tc>
      </w:tr>
      <w:tr>
        <w:tc>
          <w:tcPr>
            <w:tcW w:type="dxa" w:w="4968"/>
            <w:vAlign w:val="center"/>
          </w:tcPr>
          <w:p>
            <w:r/>
            <w:r>
              <w:rPr>
                <w:b w:val="0"/>
                <w:sz w:val="18"/>
              </w:rPr>
              <w:t>Category</w:t>
            </w:r>
          </w:p>
        </w:tc>
        <w:tc>
          <w:tcPr>
            <w:tcW w:type="dxa" w:w="4968"/>
            <w:vAlign w:val="center"/>
          </w:tcPr>
          <w:p>
            <w:r/>
            <w:r>
              <w:rPr>
                <w:b w:val="0"/>
                <w:sz w:val="18"/>
              </w:rPr>
              <w:t>Top</w:t>
            </w:r>
          </w:p>
        </w:tc>
      </w:tr>
      <w:tr>
        <w:tc>
          <w:tcPr>
            <w:tcW w:type="dxa" w:w="4968"/>
            <w:vAlign w:val="center"/>
          </w:tcPr>
          <w:p>
            <w:r/>
            <w:r>
              <w:rPr>
                <w:b w:val="0"/>
                <w:sz w:val="18"/>
              </w:rPr>
              <w:t>Size</w:t>
            </w:r>
          </w:p>
        </w:tc>
        <w:tc>
          <w:tcPr>
            <w:tcW w:type="dxa" w:w="4968"/>
            <w:vAlign w:val="center"/>
          </w:tcPr>
          <w:p>
            <w:r/>
            <w:r>
              <w:rPr>
                <w:b w:val="0"/>
                <w:sz w:val="18"/>
              </w:rPr>
              <w:t>M</w:t>
            </w:r>
          </w:p>
        </w:tc>
      </w:tr>
      <w:tr>
        <w:tc>
          <w:tcPr>
            <w:tcW w:type="dxa" w:w="4968"/>
            <w:vAlign w:val="center"/>
          </w:tcPr>
          <w:p>
            <w:r/>
            <w:r>
              <w:rPr>
                <w:b w:val="0"/>
                <w:sz w:val="18"/>
              </w:rPr>
              <w:t>Courier Status</w:t>
            </w:r>
          </w:p>
        </w:tc>
        <w:tc>
          <w:tcPr>
            <w:tcW w:type="dxa" w:w="4968"/>
            <w:vAlign w:val="center"/>
          </w:tcPr>
          <w:p>
            <w:r/>
            <w:r>
              <w:rPr>
                <w:b w:val="0"/>
                <w:sz w:val="18"/>
              </w:rPr>
              <w:t>Shipped</w:t>
            </w:r>
          </w:p>
        </w:tc>
      </w:tr>
      <w:tr>
        <w:tc>
          <w:tcPr>
            <w:tcW w:type="dxa" w:w="4968"/>
            <w:vAlign w:val="center"/>
          </w:tcPr>
          <w:p>
            <w:r/>
            <w:r>
              <w:rPr>
                <w:b w:val="0"/>
                <w:sz w:val="18"/>
              </w:rPr>
              <w:t>ship-state</w:t>
            </w:r>
          </w:p>
        </w:tc>
        <w:tc>
          <w:tcPr>
            <w:tcW w:type="dxa" w:w="4968"/>
            <w:vAlign w:val="center"/>
          </w:tcPr>
          <w:p>
            <w:r/>
            <w:r>
              <w:rPr>
                <w:b w:val="0"/>
                <w:sz w:val="18"/>
              </w:rPr>
              <w:t>MAHARASHTRA</w:t>
            </w:r>
          </w:p>
        </w:tc>
      </w:tr>
      <w:tr>
        <w:tc>
          <w:tcPr>
            <w:tcW w:type="dxa" w:w="4968"/>
            <w:vAlign w:val="center"/>
          </w:tcPr>
          <w:p>
            <w:r/>
            <w:r>
              <w:rPr>
                <w:b w:val="0"/>
                <w:sz w:val="18"/>
              </w:rPr>
              <w:t>B2B</w:t>
            </w:r>
          </w:p>
        </w:tc>
        <w:tc>
          <w:tcPr>
            <w:tcW w:type="dxa" w:w="4968"/>
            <w:vAlign w:val="center"/>
          </w:tcPr>
          <w:p>
            <w:r/>
            <w:r>
              <w:rPr>
                <w:b w:val="0"/>
                <w:sz w:val="18"/>
              </w:rPr>
              <w:t>False</w:t>
            </w:r>
          </w:p>
        </w:tc>
      </w:tr>
      <w:tr>
        <w:tc>
          <w:tcPr>
            <w:tcW w:type="dxa" w:w="4968"/>
            <w:vAlign w:val="center"/>
          </w:tcPr>
          <w:p>
            <w:r/>
            <w:r>
              <w:rPr>
                <w:b w:val="0"/>
                <w:sz w:val="18"/>
              </w:rPr>
              <w:t>order_month</w:t>
            </w:r>
          </w:p>
        </w:tc>
        <w:tc>
          <w:tcPr>
            <w:tcW w:type="dxa" w:w="4968"/>
            <w:vAlign w:val="center"/>
          </w:tcPr>
          <w:p>
            <w:r/>
            <w:r>
              <w:rPr>
                <w:b w:val="0"/>
                <w:sz w:val="18"/>
              </w:rPr>
              <w:t>5</w:t>
            </w:r>
          </w:p>
        </w:tc>
      </w:tr>
      <w:tr>
        <w:tc>
          <w:tcPr>
            <w:tcW w:type="dxa" w:w="4968"/>
            <w:vAlign w:val="center"/>
          </w:tcPr>
          <w:p>
            <w:r/>
            <w:r>
              <w:rPr>
                <w:b w:val="0"/>
                <w:sz w:val="18"/>
              </w:rPr>
              <w:t>order_day_of_week</w:t>
            </w:r>
          </w:p>
        </w:tc>
        <w:tc>
          <w:tcPr>
            <w:tcW w:type="dxa" w:w="4968"/>
            <w:vAlign w:val="center"/>
          </w:tcPr>
          <w:p>
            <w:r/>
            <w:r>
              <w:rPr>
                <w:b w:val="0"/>
                <w:sz w:val="18"/>
              </w:rPr>
              <w:t>2</w:t>
            </w:r>
          </w:p>
        </w:tc>
      </w:tr>
    </w:tbl>
    <w:p>
      <w:r>
        <w:t>Sample UI/API prediction: INR 489.62</w:t>
      </w:r>
    </w:p>
    <w:p>
      <w:pPr>
        <w:jc w:val="center"/>
      </w:pPr>
      <w:r>
        <w:drawing>
          <wp:inline xmlns:a="http://schemas.openxmlformats.org/drawingml/2006/main" xmlns:pic="http://schemas.openxmlformats.org/drawingml/2006/picture">
            <wp:extent cx="5943600" cy="3359898"/>
            <wp:docPr id="2" name="Picture 2"/>
            <wp:cNvGraphicFramePr>
              <a:graphicFrameLocks noChangeAspect="1"/>
            </wp:cNvGraphicFramePr>
            <a:graphic>
              <a:graphicData uri="http://schemas.openxmlformats.org/drawingml/2006/picture">
                <pic:pic>
                  <pic:nvPicPr>
                    <pic:cNvPr id="0" name="overview_ui.png"/>
                    <pic:cNvPicPr/>
                  </pic:nvPicPr>
                  <pic:blipFill>
                    <a:blip r:embed="rId10"/>
                    <a:stretch>
                      <a:fillRect/>
                    </a:stretch>
                  </pic:blipFill>
                  <pic:spPr>
                    <a:xfrm>
                      <a:off x="0" y="0"/>
                      <a:ext cx="5943600" cy="3359898"/>
                    </a:xfrm>
                    <a:prstGeom prst="rect"/>
                  </pic:spPr>
                </pic:pic>
              </a:graphicData>
            </a:graphic>
          </wp:inline>
        </w:drawing>
      </w:r>
    </w:p>
    <w:p>
      <w:pPr>
        <w:jc w:val="center"/>
      </w:pPr>
      <w:r>
        <w:rPr>
          <w:i/>
        </w:rPr>
        <w:t>Figure 2. Live Streamlit overview page.</w:t>
      </w:r>
    </w:p>
    <w:p>
      <w:pPr>
        <w:pStyle w:val="Heading1"/>
      </w:pPr>
      <w:r>
        <w:t>6. API output</w:t>
      </w:r>
    </w:p>
    <w:p>
      <w:r>
        <w:t>POST /predict returns a JSON response in this format:</w:t>
      </w:r>
    </w:p>
    <w:p>
      <w:pPr>
        <w:pStyle w:val="IntenseQuote"/>
      </w:pPr>
      <w:r>
        <w:t>{</w:t>
        <w:br/>
        <w:t xml:space="preserve">  "predicted_amount": 489.62,</w:t>
        <w:br/>
        <w:t xml:space="preserve">  "currency": "INR"</w:t>
        <w:br/>
        <w:t>}</w:t>
      </w:r>
    </w:p>
    <w:p>
      <w:pPr>
        <w:pStyle w:val="Heading1"/>
      </w:pPr>
      <w:r>
        <w:t>7. Project structure and execution</w:t>
      </w:r>
    </w:p>
    <w:p>
      <w:pPr>
        <w:pStyle w:val="NoSpacing"/>
      </w:pPr>
      <w:r>
        <w:t>data/amazon_cleaned.csv</w:t>
        <w:br/>
        <w:t>model/model.pkl, metrics.pkl, diagnostics.png</w:t>
        <w:br/>
        <w:t>backend/app.py</w:t>
        <w:br/>
        <w:t>frontend/ui.py</w:t>
        <w:br/>
        <w:t>ml_pipeline.py</w:t>
        <w:br/>
        <w:t>train_model.py</w:t>
        <w:br/>
        <w:t>generate_report.py</w:t>
        <w:br/>
        <w:t>requirements.txt</w:t>
        <w:br/>
        <w:t>README.md</w:t>
      </w:r>
    </w:p>
    <w:p>
      <w:r>
        <w:t>Run the application with:</w:t>
      </w:r>
    </w:p>
    <w:p>
      <w:pPr>
        <w:pStyle w:val="IntenseQuote"/>
      </w:pPr>
      <w:r>
        <w:t>python train_model.py</w:t>
        <w:br/>
        <w:t>python backend\app.py</w:t>
        <w:br/>
        <w:t>streamlit run frontend\ui.py</w:t>
      </w:r>
    </w:p>
    <w:p>
      <w:pPr>
        <w:pStyle w:val="Heading1"/>
      </w:pPr>
      <w:r>
        <w:t>8. Conclusion</w:t>
      </w:r>
    </w:p>
    <w:p>
      <w:r>
        <w:t>The completed solution provides a reproducible machine-learning workflow and a practical business-facing interface for Amazon sales analysis. The modular structure makes it straightforward to retrain the model, extend the API, or add further dashboard visualizations.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