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5F0E8"/>
  <w:body>
    <w:p>
      <w:pPr>
        <w:spacing w:after="6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Daftar Advisory — Revenue Model Summary</w:t>
      </w:r>
    </w:p>
    <w:p>
      <w:pPr>
        <w:spacing w:after="200"/>
      </w:pPr>
      <w:r>
        <w:rPr>
          <w:rFonts w:ascii="Georgia" w:cs="Georgia" w:eastAsia="Georgia" w:hAnsi="Georgia"/>
          <w:i/>
          <w:iCs/>
          <w:color w:val="4A5568"/>
          <w:sz w:val="20"/>
          <w:szCs w:val="20"/>
        </w:rPr>
        <w:t xml:space="preserve">12-month launch model · Base case · figures in USD · revised after independent review · decision-grade estimates, not guarantees</w:t>
      </w:r>
    </w:p>
    <w:p>
      <w:pPr>
        <w:spacing w:after="160" w:line="31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model traces revenue from outreach through a funnel — discovery calls, proposals, then wins — across the three launch angles, prioritized Investor Readiness → SME Finance Advisory → Fractional Finance Desk because Investor Readiness carries the highest single-project fee and the strongest near-term pipeline. In the base case it produces roughly $140,642 of booked revenue and $70,518 of net cash before tax in Year 1, against $48,350 of operating cost plus startup outlays. Project fees are now assumed collected 50% at signing and 50% at delivery (roughly 3–4 weeks later), so collected cash ($135,068) lags booked revenue, and the first months run negative before the business compounds.</w:t>
      </w:r>
    </w:p>
    <w:p>
      <w:pPr>
        <w:spacing w:after="120" w:before="240"/>
      </w:pPr>
      <w:r>
        <w:rPr>
          <w:rFonts w:ascii="Georgia" w:cs="Georgia" w:eastAsia="Georgia" w:hAnsi="Georgia"/>
          <w:b/>
          <w:bCs/>
          <w:color w:val="C4603A"/>
          <w:sz w:val="28"/>
          <w:szCs w:val="28"/>
        </w:rPr>
        <w:t xml:space="preserve">Scenario range</w:t>
      </w:r>
    </w:p>
    <w:p>
      <w:pPr>
        <w:spacing w:after="120" w:line="31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scenario selector drives the whole model from one cell. Conservative and Aggressive scale win rate and fees together; Base reproduces the original booked figure exactly. Net-cash figures are lower than the prior version because cash timing, startup costs, and an expanded cost base are now reflected.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Win × / Fee 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Booked Y1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Net cash Y1</w:t>
            </w:r>
          </w:p>
        </w:tc>
      </w:tr>
      <w:tr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Conservative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0.70 / 0.85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$88,959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$21,092</w:t>
            </w:r>
          </w:p>
        </w:tc>
      </w:tr>
      <w:tr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shd w:fill="EDE8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Base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shd w:fill="EDE8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1.00 / 1.00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shd w:fill="EDE8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$140,642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shd w:fill="EDE8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$70,518</w:t>
            </w:r>
          </w:p>
        </w:tc>
      </w:tr>
      <w:tr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Aggressive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1.30 / 1.15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$200,460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$127,576</w:t>
            </w:r>
          </w:p>
        </w:tc>
      </w:tr>
    </w:tbl>
    <w:p>
      <w:pPr>
        <w:spacing w:after="120" w:before="240"/>
      </w:pPr>
      <w:r>
        <w:rPr>
          <w:rFonts w:ascii="Georgia" w:cs="Georgia" w:eastAsia="Georgia" w:hAnsi="Georgia"/>
          <w:b/>
          <w:bCs/>
          <w:color w:val="C4603A"/>
          <w:sz w:val="28"/>
          <w:szCs w:val="28"/>
        </w:rPr>
        <w:t xml:space="preserve">What actually moves the number</w:t>
      </w:r>
    </w:p>
    <w:p>
      <w:pPr>
        <w:spacing w:after="120" w:line="31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Single-variable pressure tests, holding everything else at base, reveal where the model is fragile. Pipeline volume and conversion dominate; within the tested ±28% fee range, pricing matters far less than activity — though a steeper price cut would change this.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  <w:gridCol w:w="2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Assumption change (single variable)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Booked Y1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vs Base</w:t>
            </w:r>
          </w:p>
        </w:tc>
      </w:tr>
      <w:tr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Outreach stays flat at 15/mo (no ramp)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$83,007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C4603A"/>
                <w:sz w:val="20"/>
                <w:szCs w:val="20"/>
              </w:rPr>
              <w:t xml:space="preserve">−41%</w:t>
            </w:r>
          </w:p>
        </w:tc>
      </w:tr>
      <w:tr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shd w:fill="FAF8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Discovery-call rate 20% → 12%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shd w:fill="FAF8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$86,216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shd w:fill="FAF8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C4603A"/>
                <w:sz w:val="20"/>
                <w:szCs w:val="20"/>
              </w:rPr>
              <w:t xml:space="preserve">−39%</w:t>
            </w:r>
          </w:p>
        </w:tc>
      </w:tr>
      <w:tr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No retainer revenue at all (upsell + Finance Desk)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$90,385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C4603A"/>
                <w:sz w:val="20"/>
                <w:szCs w:val="20"/>
              </w:rPr>
              <w:t xml:space="preserve">−36%</w:t>
            </w:r>
          </w:p>
        </w:tc>
      </w:tr>
      <w:tr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shd w:fill="FAF8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Proposal rate 45% → 30%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shd w:fill="FAF8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$93,762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shd w:fill="FAF8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C4603A"/>
                <w:sz w:val="20"/>
                <w:szCs w:val="20"/>
              </w:rPr>
              <w:t xml:space="preserve">−33%</w:t>
            </w:r>
          </w:p>
        </w:tc>
      </w:tr>
      <w:tr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Win rate −10 pts across the year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$100,700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C4603A"/>
                <w:sz w:val="20"/>
                <w:szCs w:val="20"/>
              </w:rPr>
              <w:t xml:space="preserve">−28%</w:t>
            </w:r>
          </w:p>
        </w:tc>
      </w:tr>
      <w:tr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shd w:fill="FAF8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Finance Desk retainer $3.5k → $2.5k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shd w:fill="FAF8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$134,153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shd w:fill="FAF8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4A5568"/>
                <w:sz w:val="20"/>
                <w:szCs w:val="20"/>
              </w:rPr>
              <w:t xml:space="preserve">−5%</w:t>
            </w:r>
          </w:p>
        </w:tc>
      </w:tr>
      <w:tr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Investor Ready fee $12.5k → $9k (per-project)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$124,002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4A5568"/>
                <w:sz w:val="20"/>
                <w:szCs w:val="20"/>
              </w:rPr>
              <w:t xml:space="preserve">−12%</w:t>
            </w:r>
          </w:p>
        </w:tc>
      </w:tr>
      <w:tr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shd w:fill="FAF8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Win rate +10 pts across the year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shd w:fill="FAF8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A1A2E"/>
                <w:sz w:val="20"/>
                <w:szCs w:val="20"/>
              </w:rPr>
              <w:t xml:space="preserve">$180,585</w:t>
            </w:r>
          </w:p>
        </w:tc>
        <w:tc>
          <w:tcPr>
            <w:tcBorders>
              <w:top w:val="none"/>
              <w:left w:val="none"/>
              <w:bottom w:val="single" w:color="D6CFC4" w:sz="4"/>
              <w:right w:val="none"/>
            </w:tcBorders>
            <w:shd w:fill="FAF8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0"/>
                <w:szCs w:val="20"/>
              </w:rPr>
              <w:t xml:space="preserve">+28%</w:t>
            </w:r>
          </w:p>
        </w:tc>
      </w:tr>
    </w:tbl>
    <w:p>
      <w:pPr>
        <w:spacing w:after="120" w:before="240"/>
      </w:pPr>
      <w:r>
        <w:rPr>
          <w:rFonts w:ascii="Georgia" w:cs="Georgia" w:eastAsia="Georgia" w:hAnsi="Georgia"/>
          <w:b/>
          <w:bCs/>
          <w:color w:val="C4603A"/>
          <w:sz w:val="28"/>
          <w:szCs w:val="28"/>
        </w:rPr>
        <w:t xml:space="preserve">Three things to watch</w:t>
      </w:r>
    </w:p>
    <w:p>
      <w:pPr>
        <w:spacing w:after="120" w:line="31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Volume beats price. A flat outreach pace or a weak call rate each cuts revenue by ~40%, while a $3,500 per-project cut to the Investor Ready fee (from $12.5k to $9k) costs only 12%, and a $1,000 cut to the Finance Desk retainer costs about 5%. The constraint is getting in the room, not what you charge once there.</w:t>
      </w:r>
    </w:p>
    <w:p>
      <w:pPr>
        <w:spacing w:after="120" w:line="31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Retainers contribute about 36% of Year-1 booked revenue. Strip out all retainer revenue — both the project upsell and the direct Finance Desk product — and Year-1 gross falls 36%. The Finance Desk is not a nice-to-have; it is the compounding engine, and the case for it rests on converting project clients after trust is built.</w:t>
      </w:r>
    </w:p>
    <w:p>
      <w:pPr>
        <w:spacing w:after="160" w:line="31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Upside is capped by capacity, not demand. Pushing the discovery-call rate above 30% adds almost nothing, because the lead-source capacity cap binds. The new Capacity sheet confirms one founder can deliver the base pipeline at about 54% utilization — room to grow, but tight scenarios should be checked before adding wins.</w:t>
      </w:r>
    </w:p>
    <w:p>
      <w:pPr>
        <w:spacing w:after="120" w:before="240"/>
      </w:pPr>
      <w:r>
        <w:rPr>
          <w:rFonts w:ascii="Georgia" w:cs="Georgia" w:eastAsia="Georgia" w:hAnsi="Georgia"/>
          <w:b/>
          <w:bCs/>
          <w:color w:val="C4603A"/>
          <w:sz w:val="28"/>
          <w:szCs w:val="28"/>
        </w:rPr>
        <w:t xml:space="preserve">Cash reality</w:t>
      </w:r>
    </w:p>
    <w:p>
      <w:pPr>
        <w:spacing w:after="160" w:line="312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With 50/50 collection and Month-0 setup costs, the cash curve starts underwater: Month 1 nets about −$8,600, Month 2 is near breakeven, and the business turns cash-positive from Month 3. Starting from $15,000 of cash, the balance dips to roughly $6,300 before climbing to about $85,500 by year-end. The trough is the first month, not a mid-year dip — the founder draw and startup outlays are the binding cost through the thin opening quarter. Annual net cash remains positive while the win-rate multiplier stays above roughly 0.37 of base; at 0.33 of base, the full year ends slightly negative.</w:t>
      </w:r>
    </w:p>
    <w:p>
      <w:pPr>
        <w:spacing w:after="0" w:line="312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4A5568"/>
          <w:sz w:val="22"/>
          <w:szCs w:val="22"/>
        </w:rPr>
        <w:t xml:space="preserve">Currency note: fees are quoted in USD while founder costs are JOD-denominated. USD/JOD is effectively pegged near 1.41, but a 10% adverse move is now modelled via an FX-shock input on the Assumptions sheet.</w:t>
      </w:r>
    </w:p>
    <w:sectPr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2026-05-28T09:52:27.567Z</dcterms:created>
  <dcterms:modified xsi:type="dcterms:W3CDTF">2026-05-28T09:52:27.568Z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