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F1EA"/>
  <w:body>
    <w:p>
      <w:pPr>
        <w:pBdr>
          <w:bottom w:val="single" w:color="A8341F" w:sz="16" w:space="4"/>
        </w:pBdr>
        <w:spacing w:after="120" w:before="60"/>
      </w:pPr>
      <w:r>
        <w:rPr>
          <w:sz w:val="2"/>
          <w:szCs w:val="2"/>
        </w:rPr>
        <w:t xml:space="preserve"/>
      </w:r>
    </w:p>
    <w:p>
      <w:pPr>
        <w:spacing w:after="120" w:before="140"/>
      </w:pPr>
      <w:r>
        <w:rPr>
          <w:rFonts w:ascii="Fraunces" w:cs="Fraunces" w:eastAsia="Fraunces" w:hAnsi="Fraunces"/>
          <w:color w:val="1A1814"/>
          <w:sz w:val="30"/>
          <w:szCs w:val="30"/>
        </w:rPr>
        <w:t xml:space="preserve">Daftar </w:t>
      </w:r>
      <w:r>
        <w:rPr>
          <w:rFonts w:ascii="Fraunces" w:cs="Fraunces" w:eastAsia="Fraunces" w:hAnsi="Fraunces"/>
          <w:i/>
          <w:iCs/>
          <w:color w:val="A8341F"/>
          <w:sz w:val="30"/>
          <w:szCs w:val="30"/>
        </w:rPr>
        <w:t xml:space="preserve">Advisory</w:t>
      </w:r>
      <w:r>
        <w:rPr>
          <w:rFonts w:ascii="Fraunces" w:cs="Fraunces" w:eastAsia="Fraunces" w:hAnsi="Fraunces"/>
          <w:i/>
          <w:iCs/>
          <w:color w:val="A8341F"/>
          <w:sz w:val="30"/>
          <w:szCs w:val="30"/>
        </w:rPr>
        <w:t xml:space="preserve">.</w:t>
      </w:r>
    </w:p>
    <w:p>
      <w:pPr>
        <w:spacing w:after="40" w:before="80"/>
      </w:pPr>
      <w:r>
        <w:rPr>
          <w:rFonts w:ascii="JetBrains Mono" w:cs="JetBrains Mono" w:eastAsia="JetBrains Mono" w:hAnsi="JetBrains Mono"/>
          <w:color w:val="78726A"/>
          <w:spacing w:val="24"/>
          <w:sz w:val="15"/>
          <w:szCs w:val="15"/>
        </w:rPr>
        <w:t xml:space="preserve">INTERNAL SERVICES PLAYBOOK  ·  A-01</w:t>
      </w:r>
    </w:p>
    <w:p>
      <w:pPr>
        <w:spacing w:after="60" w:before="40"/>
      </w:pPr>
      <w:r>
        <w:rPr>
          <w:rFonts w:ascii="JetBrains Mono" w:cs="JetBrains Mono" w:eastAsia="JetBrains Mono" w:hAnsi="JetBrains Mono"/>
          <w:color w:val="A8341F"/>
          <w:spacing w:val="24"/>
          <w:sz w:val="16"/>
          <w:szCs w:val="16"/>
        </w:rPr>
        <w:t xml:space="preserve">AREA A  /  TECHNICAL FINANCE</w:t>
      </w:r>
    </w:p>
    <w:p>
      <w:pPr>
        <w:spacing w:after="140" w:before="60"/>
      </w:pPr>
      <w:r>
        <w:rPr>
          <w:rFonts w:ascii="Fraunces" w:cs="Fraunces" w:eastAsia="Fraunces" w:hAnsi="Fraunces"/>
          <w:b w:val="false"/>
          <w:bCs w:val="false"/>
          <w:i w:val="false"/>
          <w:iCs w:val="false"/>
          <w:color w:val="1A1814"/>
          <w:sz w:val="30"/>
          <w:szCs w:val="30"/>
        </w:rPr>
        <w:t xml:space="preserve">IFRS Financial </w:t>
      </w:r>
      <w:r>
        <w:rPr>
          <w:rFonts w:ascii="Fraunces" w:cs="Fraunces" w:eastAsia="Fraunces" w:hAnsi="Fraunces"/>
          <w:b w:val="false"/>
          <w:bCs w:val="false"/>
          <w:i/>
          <w:iCs/>
          <w:color w:val="A8341F"/>
          <w:sz w:val="30"/>
          <w:szCs w:val="30"/>
        </w:rPr>
        <w:t xml:space="preserve">Statements.</w:t>
      </w:r>
    </w:p>
    <w:p>
      <w:pPr>
        <w:spacing w:after="120" w:line="300"/>
        <w:jc w:val="left"/>
      </w:pPr>
      <w:r>
        <w:rPr>
          <w:rFonts w:ascii="Fraunces" w:cs="Fraunces" w:eastAsia="Fraunces" w:hAnsi="Fraunces"/>
          <w:b w:val="false"/>
          <w:bCs w:val="false"/>
          <w:i/>
          <w:iCs/>
          <w:color w:val="A8341F"/>
          <w:sz w:val="21"/>
          <w:szCs w:val="21"/>
        </w:rPr>
        <w:t xml:space="preserve">Standalone or consolidated IFRS statements — including first-time adoption and restatement — delivered as a working file the client owns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OUTCOME</w:t>
            </w:r>
          </w:p>
        </w:tc>
        <w:tc>
          <w:tcPr>
            <w:tcW w:type="dxa" w:w="6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Financial statements your auditor can sign.</w:t>
            </w:r>
          </w:p>
        </w:tc>
      </w:tr>
      <w:tr>
        <w:trPr>
          <w:tblHeader w:val="false"/>
        </w:trPr>
        <w:tc>
          <w:tcPr>
            <w:tcW w:type="dxa" w:w="30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FEE</w:t>
            </w:r>
          </w:p>
        </w:tc>
        <w:tc>
          <w:tcPr>
            <w:tcW w:type="dxa" w:w="6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USD 4,500–16,000 · SAR 17,000–60,000</w:t>
            </w:r>
          </w:p>
        </w:tc>
      </w:tr>
      <w:tr>
        <w:trPr>
          <w:tblHeader w:val="false"/>
        </w:trPr>
        <w:tc>
          <w:tcPr>
            <w:tcW w:type="dxa" w:w="30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TIMELINE</w:t>
            </w:r>
          </w:p>
        </w:tc>
        <w:tc>
          <w:tcPr>
            <w:tcW w:type="dxa" w:w="636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3–8 weeks depending on scope</w:t>
            </w:r>
          </w:p>
        </w:tc>
      </w:tr>
      <w:tr>
        <w:trPr>
          <w:tblHeader w:val="false"/>
        </w:trPr>
        <w:tc>
          <w:tcPr>
            <w:tcW w:type="dxa" w:w="30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CODE</w:t>
            </w:r>
          </w:p>
        </w:tc>
        <w:tc>
          <w:tcPr>
            <w:tcW w:type="dxa" w:w="6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A-01</w:t>
            </w:r>
          </w:p>
        </w:tc>
      </w:tr>
    </w:tbl>
    <w:p>
      <w:pPr>
        <w:spacing w:after="80"/>
      </w:pPr>
      <w:r>
        <w:rPr>
          <w:sz w:val="2"/>
          <w:szCs w:val="2"/>
        </w:rPr>
        <w:t xml:space="preserve"/>
      </w:r>
    </w:p>
    <w:p>
      <w:pPr>
        <w:spacing w:after="80" w:before="60"/>
      </w:pPr>
      <w:r>
        <w:rPr>
          <w:rFonts w:ascii="JetBrains Mono" w:cs="JetBrains Mono" w:eastAsia="JetBrains Mono" w:hAnsi="JetBrains Mono"/>
          <w:color w:val="78726A"/>
          <w:spacing w:val="18"/>
          <w:sz w:val="14"/>
          <w:szCs w:val="14"/>
        </w:rPr>
        <w:t xml:space="preserve">AHMAD AL HINAITI  ·  AMMAN 2026  ·  NOT FOR EXTERNAL DISTRIBUTION</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01  /  DEFINITION</w:t>
      </w:r>
    </w:p>
    <w:p>
      <w:pPr>
        <w:spacing w:after="120" w:before="40"/>
      </w:pPr>
      <w:r>
        <w:rPr>
          <w:rFonts w:ascii="Fraunces" w:cs="Fraunces" w:eastAsia="Fraunces" w:hAnsi="Fraunces"/>
          <w:b w:val="false"/>
          <w:bCs w:val="false"/>
          <w:i w:val="false"/>
          <w:iCs w:val="false"/>
          <w:color w:val="78726A"/>
          <w:sz w:val="21"/>
          <w:szCs w:val="21"/>
        </w:rPr>
        <w:t xml:space="preserve">What this service </w:t>
      </w:r>
      <w:r>
        <w:rPr>
          <w:rFonts w:ascii="Fraunces" w:cs="Fraunces" w:eastAsia="Fraunces" w:hAnsi="Fraunces"/>
          <w:b w:val="false"/>
          <w:bCs w:val="false"/>
          <w:i/>
          <w:iCs/>
          <w:color w:val="A8341F"/>
          <w:sz w:val="21"/>
          <w:szCs w:val="21"/>
        </w:rPr>
        <w:t xml:space="preserve">is.</w:t>
      </w:r>
    </w:p>
    <w:p>
      <w:pPr>
        <w:spacing w:after="120" w:line="300"/>
        <w:jc w:val="left"/>
      </w:pPr>
      <w:r>
        <w:rPr>
          <w:rFonts w:ascii="Fraunces" w:cs="Fraunces" w:eastAsia="Fraunces" w:hAnsi="Fraunces"/>
          <w:b w:val="false"/>
          <w:bCs w:val="false"/>
          <w:i w:val="false"/>
          <w:iCs w:val="false"/>
          <w:color w:val="1A1814"/>
          <w:sz w:val="21"/>
          <w:szCs w:val="21"/>
        </w:rPr>
        <w:t xml:space="preserve">A complete set of IFRS-compliant financial statements — statement of financial position, statement of profit or loss and other comprehensive income, statement of changes in equity, statement of cash flows, and full notes to the financial statements. Built from a trial balance with formula-driven TB → Notes → FS linkage, tied out to source documents, and delivered with the working file so the client's team can maintain and extend the model. Prepared under the client's applicable framework: for KSA entities, IFRS Accounting Standards as endorsed in Saudi Arabia — the endorsed IASB standards plus the additional SOCPA disclosures (Zakat, Sharia, and CMA/SAMA regulatory items), which is the correct basis-of-preparation and audit-opinion language, not unmodified IFRS; for UAE and Jordan entities, IFRS as issued by the IASB; or IFRS for SMEs where the entity qualifies.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02  /  WHO BUYS IT</w:t>
      </w:r>
    </w:p>
    <w:p>
      <w:pPr>
        <w:spacing w:after="120" w:before="40"/>
      </w:pPr>
      <w:r>
        <w:rPr>
          <w:rFonts w:ascii="Fraunces" w:cs="Fraunces" w:eastAsia="Fraunces" w:hAnsi="Fraunces"/>
          <w:b w:val="false"/>
          <w:bCs w:val="false"/>
          <w:i w:val="false"/>
          <w:iCs w:val="false"/>
          <w:color w:val="78726A"/>
          <w:sz w:val="21"/>
          <w:szCs w:val="21"/>
        </w:rPr>
        <w:t xml:space="preserve">Trigger events and buyer </w:t>
      </w:r>
      <w:r>
        <w:rPr>
          <w:rFonts w:ascii="Fraunces" w:cs="Fraunces" w:eastAsia="Fraunces" w:hAnsi="Fraunces"/>
          <w:b w:val="false"/>
          <w:bCs w:val="false"/>
          <w:i/>
          <w:iCs/>
          <w:color w:val="A8341F"/>
          <w:sz w:val="21"/>
          <w:szCs w:val="21"/>
        </w:rPr>
        <w:t xml:space="preserve">profile.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Founders and CFOs preparing for a first external audit after years of internal-only reporting — typically triggered by a banking facility application, a funding round, or a regulatory filing requirement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Family groups whose bookkeeper produces management accounts in Excel that will not survive audit scrutiny — typically SAR 30–200M revenue range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Subsidiaries of GCC or international groups that need IFRS consolidation aligned to parent-company reporting — trigger event is the group auditor's opening balance review; eligible subsidiaries may also elect IFRS 19 reduced-disclosure reporting (early adoption permitted in KSA from December 2024) where the parent files public full-IFRS consolidated statements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UAE entities above AED 50M revenue that must maintain audited financial statements under the Corporate Tax Law — first filing deadline 30 September 2025 surfaced widespread gaps in the FY24 working-capital closing</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Entities whose reporting period reaches FY2027 — IFRS 18 replaces IAS 1 from 1 January 2027 (endorsed by SOCPA in KSA, December 2024) and restructures the face of profit or loss; first-time application requires restated comparatives, so FY2026 statements are already the readiness window</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Jordanian entities preparing for ASE listing, CBJ/EBRD facility applications, or consolidation into a regional group</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03  /  WHAT'S INCLUDED</w:t>
      </w:r>
    </w:p>
    <w:p>
      <w:pPr>
        <w:spacing w:after="120" w:before="40"/>
      </w:pPr>
      <w:r>
        <w:rPr>
          <w:rFonts w:ascii="Fraunces" w:cs="Fraunces" w:eastAsia="Fraunces" w:hAnsi="Fraunces"/>
          <w:b w:val="false"/>
          <w:bCs w:val="false"/>
          <w:i w:val="false"/>
          <w:iCs w:val="false"/>
          <w:color w:val="78726A"/>
          <w:sz w:val="21"/>
          <w:szCs w:val="21"/>
        </w:rPr>
        <w:t xml:space="preserve">The specific deliverables </w:t>
      </w:r>
      <w:r>
        <w:rPr>
          <w:rFonts w:ascii="Fraunces" w:cs="Fraunces" w:eastAsia="Fraunces" w:hAnsi="Fraunces"/>
          <w:b w:val="false"/>
          <w:bCs w:val="false"/>
          <w:i/>
          <w:iCs/>
          <w:color w:val="A8341F"/>
          <w:sz w:val="21"/>
          <w:szCs w:val="21"/>
        </w:rPr>
        <w:t xml:space="preserve">list.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Review of the client's trial balance and underlying general ledger</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Full set of primary statements: SOFP, SOPL and OCI, SOCE, SOCF</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Complete notes to the financial statements including accounting policies, critical estimates and judgements, and disclosures required by the applicable IFRS framework</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TB → Notes → FS linkage architecture in Excel — formula-driven, with named ranges and a single master trial-balance sheet as the driver</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Prior-year comparative restatement where required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First-time adoption transitional disclosures under IFRS 1 where applicable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IFRS 18 presentation alignment where the reporting period falls in or after FY2027 — the income statement mapped into the required operating, investing, and financing categories, with management-defined performance measures (MPMs) reconciled in the notes and comparatives restated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Draft accounting policies memo tied to the filing framework, stating the basis of preparation precisely — for KSA work, "IFRS Accounting Standards as endorsed in Saudi Arabia" rather than unmodified IFRS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One review pass and one round of revisions included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Delivery of the working file in editable Excel format with full formula visibility — no locked cells, no hidden sheets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04  /  WHAT'S EXCLUDED</w:t>
      </w:r>
    </w:p>
    <w:p>
      <w:pPr>
        <w:spacing w:after="120" w:before="40"/>
      </w:pPr>
      <w:r>
        <w:rPr>
          <w:rFonts w:ascii="Fraunces" w:cs="Fraunces" w:eastAsia="Fraunces" w:hAnsi="Fraunces"/>
          <w:b w:val="false"/>
          <w:bCs w:val="false"/>
          <w:i w:val="false"/>
          <w:iCs w:val="false"/>
          <w:color w:val="78726A"/>
          <w:sz w:val="21"/>
          <w:szCs w:val="21"/>
        </w:rPr>
        <w:t xml:space="preserve">The scope-creep </w:t>
      </w:r>
      <w:r>
        <w:rPr>
          <w:rFonts w:ascii="Fraunces" w:cs="Fraunces" w:eastAsia="Fraunces" w:hAnsi="Fraunces"/>
          <w:b w:val="false"/>
          <w:bCs w:val="false"/>
          <w:i/>
          <w:iCs/>
          <w:color w:val="A8341F"/>
          <w:sz w:val="21"/>
          <w:szCs w:val="21"/>
        </w:rPr>
        <w:t xml:space="preserve">guard.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Audit opinion, review report, or compilation report — this is advisory work only and does not constitute assurance under ISA, ISRE, or ISRS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Tax return preparation or filing — separate engagement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Management accounts or monthly close support — covered under Lane D fractional retainer</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Inventory count observation or any physical verification procedures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Valuation of non-financial assets (intangibles, biological assets, investment property at fair value) — client arranges valuer separately; we incorporate the valuation report into the statements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Actuarial input for defined-benefit pension schemes — client arranges actuary; we book the entries and draft the disclosures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Communication with the client's tax authority, lenders, or auditor on behalf of the client — client owns all external communications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05  /  DELIVERY METHODOLOGY</w:t>
      </w:r>
    </w:p>
    <w:p>
      <w:pPr>
        <w:spacing w:after="120" w:before="40"/>
      </w:pPr>
      <w:r>
        <w:rPr>
          <w:rFonts w:ascii="Fraunces" w:cs="Fraunces" w:eastAsia="Fraunces" w:hAnsi="Fraunces"/>
          <w:b w:val="false"/>
          <w:bCs w:val="false"/>
          <w:i w:val="false"/>
          <w:iCs w:val="false"/>
          <w:color w:val="78726A"/>
          <w:sz w:val="21"/>
          <w:szCs w:val="21"/>
        </w:rPr>
        <w:t xml:space="preserve">Week-by-week work </w:t>
      </w:r>
      <w:r>
        <w:rPr>
          <w:rFonts w:ascii="Fraunces" w:cs="Fraunces" w:eastAsia="Fraunces" w:hAnsi="Fraunces"/>
          <w:b w:val="false"/>
          <w:bCs w:val="false"/>
          <w:i/>
          <w:iCs/>
          <w:color w:val="A8341F"/>
          <w:sz w:val="21"/>
          <w:szCs w:val="21"/>
        </w:rPr>
        <w:t xml:space="preserve">plan.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1 — Kickoff, trial balance handover, chart-of-accounts mapping to IFRS line items, identification of consolidation scope and elimination entries where applicable. First-draft linkage sheet built. Confirm the filing framework precisely and whether the reporting period triggers IFRS 18 first-time presentation.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2 — Statement of financial position and statement of profit or loss drafted. All class-of-asset and class-of-liability subtotals reconciled to the trial balance. Revenue, cost of sales, and other operating lines agreed to source.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3 — Statement of changes in equity and statement of cash flows drafted. Cash flow built using the indirect method from SOFP and SOPL movements. Opening and closing cash agreed to bank reconciliations.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4 — Notes drafted in full. Accounting policies, critical estimates, related-party disclosures, financial-risk disclosures, and any entity-specific disclosures required by the framework.</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5 — Internal tie-out check. Every figure in the notes traced to the primary statements; every primary statement total traced to the trial balance; every disclosure tested against the applicable IFRS. Client review meeting.</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6+ — One revision round incorporated. Final file delivered with working papers binder (scope document, chart-of-accounts mapping, reconciliations, source-document index, policy memo). Handover call with client's finance lead.</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06  /  FEE LOGIC</w:t>
      </w:r>
    </w:p>
    <w:p>
      <w:pPr>
        <w:spacing w:after="120" w:before="40"/>
      </w:pPr>
      <w:r>
        <w:rPr>
          <w:rFonts w:ascii="Fraunces" w:cs="Fraunces" w:eastAsia="Fraunces" w:hAnsi="Fraunces"/>
          <w:b w:val="false"/>
          <w:bCs w:val="false"/>
          <w:i w:val="false"/>
          <w:iCs w:val="false"/>
          <w:color w:val="78726A"/>
          <w:sz w:val="21"/>
          <w:szCs w:val="21"/>
        </w:rPr>
        <w:t xml:space="preserve">How the price is </w:t>
      </w:r>
      <w:r>
        <w:rPr>
          <w:rFonts w:ascii="Fraunces" w:cs="Fraunces" w:eastAsia="Fraunces" w:hAnsi="Fraunces"/>
          <w:b w:val="false"/>
          <w:bCs w:val="false"/>
          <w:i/>
          <w:iCs/>
          <w:color w:val="A8341F"/>
          <w:sz w:val="21"/>
          <w:szCs w:val="21"/>
        </w:rPr>
        <w:t xml:space="preserve">set.</w:t>
      </w:r>
    </w:p>
    <w:p>
      <w:pPr>
        <w:spacing w:after="120" w:line="300"/>
        <w:jc w:val="left"/>
      </w:pPr>
      <w:r>
        <w:rPr>
          <w:rFonts w:ascii="Fraunces" w:cs="Fraunces" w:eastAsia="Fraunces" w:hAnsi="Fraunces"/>
          <w:b w:val="false"/>
          <w:bCs w:val="false"/>
          <w:i w:val="false"/>
          <w:iCs w:val="false"/>
          <w:color w:val="1A1814"/>
          <w:sz w:val="21"/>
          <w:szCs w:val="21"/>
        </w:rPr>
        <w:t xml:space="preserve">Fee is set by complexity tier, not hours. Tier 1 — single-entity, under SAR 30M revenue, simple chart of accounts: USD 4,500. Tier 2 — single-entity, SAR 30–150M, some IFRS-specific complexity (IFRS 15 revenue, IFRS 16 leases, impairment, or IFRS 18 first-time presentation): USD 7,500–10,000. Tier 3 — consolidation up to five entities, or single-entity with material IFRS complexity (construction POC, financial instruments, share-based payments): USD 11,000–16,000. Above five consolidation entities or material restatement: priced as bespoke engagement. All fees fixed at engagement letter stage; scope changes require written addendum.</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07  /  RISK FLAGS</w:t>
      </w:r>
    </w:p>
    <w:p>
      <w:pPr>
        <w:spacing w:after="120" w:before="40"/>
      </w:pPr>
      <w:r>
        <w:rPr>
          <w:rFonts w:ascii="Fraunces" w:cs="Fraunces" w:eastAsia="Fraunces" w:hAnsi="Fraunces"/>
          <w:b w:val="false"/>
          <w:bCs w:val="false"/>
          <w:i w:val="false"/>
          <w:iCs w:val="false"/>
          <w:color w:val="78726A"/>
          <w:sz w:val="21"/>
          <w:szCs w:val="21"/>
        </w:rPr>
        <w:t xml:space="preserve">What can go wrong, how to </w:t>
      </w:r>
      <w:r>
        <w:rPr>
          <w:rFonts w:ascii="Fraunces" w:cs="Fraunces" w:eastAsia="Fraunces" w:hAnsi="Fraunces"/>
          <w:b w:val="false"/>
          <w:bCs w:val="false"/>
          <w:i/>
          <w:iCs/>
          <w:color w:val="A8341F"/>
          <w:sz w:val="21"/>
          <w:szCs w:val="21"/>
        </w:rPr>
        <w:t xml:space="preserve">handle it.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Incomplete or unreliable trial balance — most common failure mode. Guard: first-week kickoff includes a trial-balance integrity review; if the TB does not tie or the chart of accounts is unusable, we raise a scope change before starting preparation work</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Client expectation that the deliverable is 'audit-ready' in the sense of a signed opinion — managed at engagement letter stage with explicit non-attest disclaimer; reinforced in the kickoff meeting</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IFRS 18 first-time application requires retrospective restatement of comparative periods — confirm at scoping whether the engagement period triggers it; the restated comparatives are work to be priced in, not a footnote to be added at the end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Auditor raises post-delivery queries that require rework — one revision round included; additional rework billed at USD 500/session. Set the expectation upfront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Inventory or revenue-cutoff positions that require site visit or physical verification — flag early, either scope them in at quoted rate or carve them out with a written exclusion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Consolidation scope creep: client adds entities mid-engagement — handled via change-order mechanism in the engagement letter</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08  /  REFERRAL-OUT PROTOCOL</w:t>
      </w:r>
    </w:p>
    <w:p>
      <w:pPr>
        <w:spacing w:after="120" w:before="40"/>
      </w:pPr>
      <w:r>
        <w:rPr>
          <w:rFonts w:ascii="Fraunces" w:cs="Fraunces" w:eastAsia="Fraunces" w:hAnsi="Fraunces"/>
          <w:b w:val="false"/>
          <w:bCs w:val="false"/>
          <w:i w:val="false"/>
          <w:iCs w:val="false"/>
          <w:color w:val="78726A"/>
          <w:sz w:val="21"/>
          <w:szCs w:val="21"/>
        </w:rPr>
        <w:t xml:space="preserve">If it is not a fit, where to </w:t>
      </w:r>
      <w:r>
        <w:rPr>
          <w:rFonts w:ascii="Fraunces" w:cs="Fraunces" w:eastAsia="Fraunces" w:hAnsi="Fraunces"/>
          <w:b w:val="false"/>
          <w:bCs w:val="false"/>
          <w:i/>
          <w:iCs/>
          <w:color w:val="A8341F"/>
          <w:sz w:val="21"/>
          <w:szCs w:val="21"/>
        </w:rPr>
        <w:t xml:space="preserve">send them.</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 the client needs a signed audit opinion → refer to a JACPA-licensed firm in Jordan, SOCPA-licensed firm in KSA, or UAE Ministry of Economy-licensed auditor depending on jurisdiction. Maintain a short list of two or three firms per geography for this purpose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 the client needs tax return preparation → refer to a licensed tax agent (FTA-registered in UAE, ZATCA-licensed in KSA)</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 the client needs monthly bookkeeping or controller-level staff — not fractional oversight but day-to-day finance operations → refer to a local bookkeeping firm; we do not compete in that segment</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09  /  A NOTE ON DELIVERY</w:t>
      </w:r>
    </w:p>
    <w:p>
      <w:pPr>
        <w:spacing w:after="120" w:before="40"/>
      </w:pPr>
      <w:r>
        <w:rPr>
          <w:rFonts w:ascii="Fraunces" w:cs="Fraunces" w:eastAsia="Fraunces" w:hAnsi="Fraunces"/>
          <w:b w:val="false"/>
          <w:bCs w:val="false"/>
          <w:i w:val="false"/>
          <w:iCs w:val="false"/>
          <w:color w:val="78726A"/>
          <w:sz w:val="21"/>
          <w:szCs w:val="21"/>
        </w:rPr>
        <w:t xml:space="preserve">The standard, not the </w:t>
      </w:r>
      <w:r>
        <w:rPr>
          <w:rFonts w:ascii="Fraunces" w:cs="Fraunces" w:eastAsia="Fraunces" w:hAnsi="Fraunces"/>
          <w:b w:val="false"/>
          <w:bCs w:val="false"/>
          <w:i/>
          <w:iCs/>
          <w:color w:val="A8341F"/>
          <w:sz w:val="21"/>
          <w:szCs w:val="21"/>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A NOTE ON DELIVERY *This is the practice's foundation product. Every engagement sells the next three: technical review, audit readiness, and fractional retainer. Deliver the working file with pride — the client should feel that what they received is transparently better than what they would have received from a mid-tier firm at twice the price. That feeling is the referral engine.*</w:t>
            </w:r>
          </w:p>
        </w:tc>
      </w:tr>
    </w:tbl>
    <w:p>
      <w:pPr>
        <w:spacing w:after="80"/>
      </w:pPr>
      <w:r>
        <w:rPr>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6"/>
      </w:pBdr>
      <w:tabs>
        <w:tab w:val="right" w:pos="9360"/>
      </w:tabs>
    </w:pPr>
    <w:r>
      <w:rPr>
        <w:rFonts w:ascii="JetBrains Mono" w:cs="JetBrains Mono" w:eastAsia="JetBrains Mono" w:hAnsi="JetBrains Mono"/>
        <w:color w:val="78726A"/>
        <w:spacing w:val="20"/>
        <w:sz w:val="13"/>
        <w:szCs w:val="13"/>
      </w:rPr>
      <w:t xml:space="preserve">INTERNAL  ·  AHMAD AL HINAITI</w:t>
    </w:r>
    <w:r>
      <w:rPr>
        <w:rFonts w:ascii="JetBrains Mono" w:cs="JetBrains Mono" w:eastAsia="JetBrains Mono" w:hAnsi="JetBrains Mono"/>
        <w:color w:val="78726A"/>
        <w:sz w:val="13"/>
        <w:szCs w:val="13"/>
      </w:rPr>
      <w:t xml:space="preserve">	</w:t>
    </w:r>
    <w:r>
      <w:rPr>
        <w:rFonts w:ascii="JetBrains Mono" w:cs="JetBrains Mono" w:eastAsia="JetBrains Mono" w:hAnsi="JetBrains Mono"/>
        <w:color w:val="78726A"/>
        <w:spacing w:val="20"/>
        <w:sz w:val="13"/>
        <w:szCs w:val="13"/>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6" w:sz="4" w:space="6"/>
      </w:pBdr>
      <w:tabs>
        <w:tab w:val="right" w:pos="9360"/>
      </w:tabs>
    </w:pPr>
    <w:r>
      <w:rPr>
        <w:rFonts w:ascii="JetBrains Mono" w:cs="JetBrains Mono" w:eastAsia="JetBrains Mono" w:hAnsi="JetBrains Mono"/>
        <w:color w:val="78726A"/>
        <w:spacing w:val="20"/>
        <w:sz w:val="13"/>
        <w:szCs w:val="13"/>
      </w:rPr>
      <w:t xml:space="preserve">DAFTAR  ·  ADVISORY</w:t>
    </w:r>
    <w:r>
      <w:rPr>
        <w:rFonts w:ascii="JetBrains Mono" w:cs="JetBrains Mono" w:eastAsia="JetBrains Mono" w:hAnsi="JetBrains Mono"/>
        <w:color w:val="78726A"/>
        <w:spacing w:val="20"/>
        <w:sz w:val="13"/>
        <w:szCs w:val="13"/>
      </w:rPr>
      <w:t xml:space="preserve">	A-01  ·  IFRS FINANCIAL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unces" w:cs="Fraunces" w:eastAsia="Fraunces" w:hAnsi="Fraunces"/>
        <w:color w:val="1A18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Daftar_Services_A01_IFRS_Financial_Statements</dc:title>
  <dc:creator>Daftar Advisory</dc:creator>
  <cp:lastModifiedBy>Un-named</cp:lastModifiedBy>
  <cp:revision>1</cp:revision>
  <dcterms:created xsi:type="dcterms:W3CDTF">2026-06-01T23:25:36.491Z</dcterms:created>
  <dcterms:modified xsi:type="dcterms:W3CDTF">2026-06-01T23:25:36.491Z</dcterms:modified>
</cp:coreProperties>
</file>

<file path=docProps/custom.xml><?xml version="1.0" encoding="utf-8"?>
<Properties xmlns="http://schemas.openxmlformats.org/officeDocument/2006/custom-properties" xmlns:vt="http://schemas.openxmlformats.org/officeDocument/2006/docPropsVTypes"/>
</file>